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简体" w:hAnsi="宋体" w:eastAsia="方正小标宋简体"/>
          <w:szCs w:val="21"/>
        </w:rPr>
      </w:pPr>
      <w:bookmarkStart w:id="0" w:name="_Toc15306267"/>
    </w:p>
    <w:p>
      <w:pPr>
        <w:pStyle w:val="2"/>
        <w:spacing w:before="93"/>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6514"/>
      <w:bookmarkStart w:id="2" w:name="_Toc15377425"/>
      <w:bookmarkStart w:id="3" w:name="_Toc15378441"/>
      <w:bookmarkStart w:id="4" w:name="_Toc15377193"/>
      <w:bookmarkStart w:id="5" w:name="_Toc15396597"/>
      <w:bookmarkStart w:id="6"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29057"/>
      <w:bookmarkStart w:id="8" w:name="_Toc25713"/>
      <w:bookmarkStart w:id="9" w:name="_Toc1397"/>
      <w:bookmarkStart w:id="10" w:name="_Toc15805"/>
      <w:bookmarkStart w:id="11" w:name="_Toc27368"/>
      <w:r>
        <w:rPr>
          <w:rFonts w:hint="eastAsia" w:ascii="方正小标宋简体" w:hAnsi="方正小标宋简体" w:eastAsia="方正小标宋简体" w:cs="方正小标宋简体"/>
          <w:sz w:val="72"/>
          <w:szCs w:val="72"/>
        </w:rPr>
        <w:t>大竹县石河镇李家学校</w:t>
      </w:r>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bookmarkStart w:id="12" w:name="_Toc24614"/>
      <w:r>
        <w:rPr>
          <w:rFonts w:hint="eastAsia" w:ascii="方正小标宋简体" w:hAnsi="宋体" w:eastAsia="方正小标宋简体"/>
          <w:sz w:val="52"/>
          <w:szCs w:val="52"/>
        </w:rPr>
        <w:t>(单位决算)</w:t>
      </w:r>
      <w:bookmarkEnd w:id="12"/>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p>
    <w:p>
      <w:pPr>
        <w:pStyle w:val="11"/>
      </w:pPr>
      <w:bookmarkStart w:id="102" w:name="_GoBack"/>
      <w:r>
        <w:rPr>
          <w:rFonts w:hint="eastAsia"/>
          <w:highlight w:val="none"/>
        </w:rPr>
        <w:t>公开时间：2024年10月18日</w:t>
      </w:r>
      <w:bookmarkEnd w:id="102"/>
    </w:p>
    <w:sdt>
      <w:sdtPr>
        <w:rPr>
          <w:rFonts w:ascii="宋体" w:hAnsi="宋体"/>
        </w:rPr>
        <w:id w:val="147461286"/>
        <w:docPartObj>
          <w:docPartGallery w:val="Table of Contents"/>
          <w:docPartUnique/>
        </w:docPartObj>
      </w:sdtPr>
      <w:sdtEndPr>
        <w:rPr>
          <w:rFonts w:ascii="宋体" w:hAnsi="宋体"/>
          <w:b/>
        </w:rPr>
      </w:sdtEndPr>
      <w:sdtContent>
        <w:p>
          <w:pPr>
            <w:jc w:val="center"/>
          </w:pPr>
          <w:r>
            <w:rPr>
              <w:rFonts w:ascii="宋体" w:hAnsi="宋体"/>
              <w:sz w:val="44"/>
              <w:szCs w:val="44"/>
            </w:rPr>
            <w:t>目录</w:t>
          </w:r>
          <w:r>
            <w:fldChar w:fldCharType="begin"/>
          </w:r>
          <w:r>
            <w:instrText xml:space="preserve">TOC \o "1-2" \h \u </w:instrText>
          </w:r>
          <w:r>
            <w:fldChar w:fldCharType="separate"/>
          </w:r>
        </w:p>
        <w:p>
          <w:pPr>
            <w:pStyle w:val="11"/>
            <w:tabs>
              <w:tab w:val="right" w:leader="dot" w:pos="8306"/>
              <w:tab w:val="clear" w:pos="8296"/>
            </w:tabs>
          </w:pPr>
          <w:r>
            <w:fldChar w:fldCharType="begin"/>
          </w:r>
          <w:r>
            <w:instrText xml:space="preserve"> HYPERLINK \l "_Toc25574" </w:instrText>
          </w:r>
          <w:r>
            <w:fldChar w:fldCharType="separate"/>
          </w:r>
          <w:r>
            <w:rPr>
              <w:rFonts w:hint="eastAsia" w:ascii="黑体" w:hAnsi="黑体" w:eastAsia="黑体"/>
            </w:rPr>
            <w:t>第一部分 单位概况</w:t>
          </w:r>
          <w:r>
            <w:tab/>
          </w:r>
          <w:r>
            <w:fldChar w:fldCharType="begin"/>
          </w:r>
          <w:r>
            <w:instrText xml:space="preserve"> PAGEREF _Toc25574 \h </w:instrText>
          </w:r>
          <w:r>
            <w:fldChar w:fldCharType="separate"/>
          </w:r>
          <w:r>
            <w:t>1</w:t>
          </w:r>
          <w:r>
            <w:fldChar w:fldCharType="end"/>
          </w:r>
          <w:r>
            <w:fldChar w:fldCharType="end"/>
          </w:r>
        </w:p>
        <w:p>
          <w:pPr>
            <w:pStyle w:val="12"/>
            <w:tabs>
              <w:tab w:val="right" w:leader="dot" w:pos="8306"/>
              <w:tab w:val="clear" w:pos="8296"/>
            </w:tabs>
          </w:pPr>
          <w:r>
            <w:fldChar w:fldCharType="begin"/>
          </w:r>
          <w:r>
            <w:instrText xml:space="preserve"> HYPERLINK \l "_Toc11226" </w:instrText>
          </w:r>
          <w:r>
            <w:fldChar w:fldCharType="separate"/>
          </w:r>
          <w:r>
            <w:rPr>
              <w:rFonts w:hint="eastAsia" w:ascii="黑体" w:hAnsi="黑体" w:eastAsia="黑体"/>
            </w:rPr>
            <w:t>一、 主要职责</w:t>
          </w:r>
          <w:r>
            <w:tab/>
          </w:r>
          <w:r>
            <w:fldChar w:fldCharType="begin"/>
          </w:r>
          <w:r>
            <w:instrText xml:space="preserve"> PAGEREF _Toc11226 \h </w:instrText>
          </w:r>
          <w:r>
            <w:fldChar w:fldCharType="separate"/>
          </w:r>
          <w:r>
            <w:t>1</w:t>
          </w:r>
          <w:r>
            <w:fldChar w:fldCharType="end"/>
          </w:r>
          <w:r>
            <w:fldChar w:fldCharType="end"/>
          </w:r>
        </w:p>
        <w:p>
          <w:pPr>
            <w:pStyle w:val="12"/>
            <w:tabs>
              <w:tab w:val="right" w:leader="dot" w:pos="8306"/>
              <w:tab w:val="clear" w:pos="8296"/>
            </w:tabs>
          </w:pPr>
          <w:r>
            <w:fldChar w:fldCharType="begin"/>
          </w:r>
          <w:r>
            <w:instrText xml:space="preserve"> HYPERLINK \l "_Toc28244" </w:instrText>
          </w:r>
          <w:r>
            <w:fldChar w:fldCharType="separate"/>
          </w:r>
          <w:r>
            <w:rPr>
              <w:rFonts w:hint="eastAsia" w:ascii="黑体" w:hAnsi="黑体" w:eastAsia="黑体"/>
            </w:rPr>
            <w:t>二、 机构设置</w:t>
          </w:r>
          <w:r>
            <w:tab/>
          </w:r>
          <w:r>
            <w:fldChar w:fldCharType="begin"/>
          </w:r>
          <w:r>
            <w:instrText xml:space="preserve"> PAGEREF _Toc28244 \h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"_Toc23579" </w:instrText>
          </w:r>
          <w:r>
            <w:fldChar w:fldCharType="separate"/>
          </w:r>
          <w:r>
            <w:rPr>
              <w:rFonts w:hint="eastAsia" w:ascii="黑体" w:hAnsi="黑体" w:eastAsia="黑体"/>
            </w:rPr>
            <w:t>第二部分 2023年度</w:t>
          </w:r>
          <w:r>
            <w:rPr>
              <w:rFonts w:hint="eastAsia" w:ascii="黑体" w:hAnsi="黑体" w:eastAsia="黑体"/>
              <w:bCs/>
            </w:rPr>
            <w:t>单位决算情况说明</w:t>
          </w:r>
          <w:r>
            <w:tab/>
          </w:r>
          <w:r>
            <w:fldChar w:fldCharType="begin"/>
          </w:r>
          <w:r>
            <w:instrText xml:space="preserve"> PAGEREF _Toc23579 \h </w:instrText>
          </w:r>
          <w:r>
            <w:fldChar w:fldCharType="separate"/>
          </w:r>
          <w:r>
            <w:t>2</w:t>
          </w:r>
          <w:r>
            <w:fldChar w:fldCharType="end"/>
          </w:r>
          <w:r>
            <w:fldChar w:fldCharType="end"/>
          </w:r>
        </w:p>
        <w:p>
          <w:pPr>
            <w:pStyle w:val="12"/>
            <w:tabs>
              <w:tab w:val="right" w:leader="dot" w:pos="8306"/>
              <w:tab w:val="clear" w:pos="8296"/>
            </w:tabs>
          </w:pPr>
          <w:r>
            <w:fldChar w:fldCharType="begin"/>
          </w:r>
          <w:r>
            <w:instrText xml:space="preserve"> HYPERLINK \l "_Toc9875"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_Toc9875 \h </w:instrText>
          </w:r>
          <w:r>
            <w:fldChar w:fldCharType="separate"/>
          </w:r>
          <w:r>
            <w:t>2</w:t>
          </w:r>
          <w:r>
            <w:fldChar w:fldCharType="end"/>
          </w:r>
          <w:r>
            <w:fldChar w:fldCharType="end"/>
          </w:r>
        </w:p>
        <w:p>
          <w:pPr>
            <w:pStyle w:val="12"/>
            <w:tabs>
              <w:tab w:val="right" w:leader="dot" w:pos="8306"/>
              <w:tab w:val="clear" w:pos="8296"/>
            </w:tabs>
          </w:pPr>
          <w:r>
            <w:fldChar w:fldCharType="begin"/>
          </w:r>
          <w:r>
            <w:instrText xml:space="preserve"> HYPERLINK \l "_Toc12659"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_Toc12659 \h </w:instrText>
          </w:r>
          <w:r>
            <w:fldChar w:fldCharType="separate"/>
          </w:r>
          <w:r>
            <w:t>2</w:t>
          </w:r>
          <w:r>
            <w:fldChar w:fldCharType="end"/>
          </w:r>
          <w:r>
            <w:fldChar w:fldCharType="end"/>
          </w:r>
        </w:p>
        <w:p>
          <w:pPr>
            <w:pStyle w:val="12"/>
            <w:tabs>
              <w:tab w:val="right" w:leader="dot" w:pos="8306"/>
              <w:tab w:val="clear" w:pos="8296"/>
            </w:tabs>
          </w:pPr>
          <w:r>
            <w:fldChar w:fldCharType="begin"/>
          </w:r>
          <w:r>
            <w:instrText xml:space="preserve"> HYPERLINK \l "_Toc30046"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_Toc30046 \h </w:instrText>
          </w:r>
          <w:r>
            <w:fldChar w:fldCharType="separate"/>
          </w:r>
          <w:r>
            <w:t>3</w:t>
          </w:r>
          <w:r>
            <w:fldChar w:fldCharType="end"/>
          </w:r>
          <w:r>
            <w:fldChar w:fldCharType="end"/>
          </w:r>
        </w:p>
        <w:p>
          <w:pPr>
            <w:pStyle w:val="12"/>
            <w:tabs>
              <w:tab w:val="right" w:leader="dot" w:pos="8306"/>
              <w:tab w:val="clear" w:pos="8296"/>
            </w:tabs>
          </w:pPr>
          <w:r>
            <w:fldChar w:fldCharType="begin"/>
          </w:r>
          <w:r>
            <w:instrText xml:space="preserve"> HYPERLINK \l "_Toc1937"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_Toc1937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"_Toc29387"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_Toc29387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"_Toc10571"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_Toc10571 \h </w:instrText>
          </w:r>
          <w:r>
            <w:fldChar w:fldCharType="separate"/>
          </w:r>
          <w:r>
            <w:t>7</w:t>
          </w:r>
          <w:r>
            <w:fldChar w:fldCharType="end"/>
          </w:r>
          <w:r>
            <w:fldChar w:fldCharType="end"/>
          </w:r>
        </w:p>
        <w:p>
          <w:pPr>
            <w:pStyle w:val="12"/>
            <w:tabs>
              <w:tab w:val="right" w:leader="dot" w:pos="8306"/>
              <w:tab w:val="clear" w:pos="8296"/>
            </w:tabs>
          </w:pPr>
          <w:r>
            <w:fldChar w:fldCharType="begin"/>
          </w:r>
          <w:r>
            <w:instrText xml:space="preserve"> HYPERLINK \l "_Toc5958"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_Toc5958 \h </w:instrText>
          </w:r>
          <w:r>
            <w:fldChar w:fldCharType="separate"/>
          </w:r>
          <w:r>
            <w:t>8</w:t>
          </w:r>
          <w:r>
            <w:fldChar w:fldCharType="end"/>
          </w:r>
          <w:r>
            <w:fldChar w:fldCharType="end"/>
          </w:r>
        </w:p>
        <w:p>
          <w:pPr>
            <w:pStyle w:val="12"/>
            <w:tabs>
              <w:tab w:val="right" w:leader="dot" w:pos="8306"/>
              <w:tab w:val="clear" w:pos="8296"/>
            </w:tabs>
          </w:pPr>
          <w:r>
            <w:fldChar w:fldCharType="begin"/>
          </w:r>
          <w:r>
            <w:instrText xml:space="preserve"> HYPERLINK \l "_Toc14850"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_Toc14850 \h </w:instrText>
          </w:r>
          <w:r>
            <w:fldChar w:fldCharType="separate"/>
          </w:r>
          <w:r>
            <w:t>9</w:t>
          </w:r>
          <w:r>
            <w:fldChar w:fldCharType="end"/>
          </w:r>
          <w:r>
            <w:fldChar w:fldCharType="end"/>
          </w:r>
        </w:p>
        <w:p>
          <w:pPr>
            <w:pStyle w:val="12"/>
            <w:tabs>
              <w:tab w:val="right" w:leader="dot" w:pos="8306"/>
              <w:tab w:val="clear" w:pos="8296"/>
            </w:tabs>
          </w:pPr>
          <w:r>
            <w:fldChar w:fldCharType="begin"/>
          </w:r>
          <w:r>
            <w:instrText xml:space="preserve"> HYPERLINK \l "_Toc3314" </w:instrText>
          </w:r>
          <w:r>
            <w:fldChar w:fldCharType="separate"/>
          </w:r>
          <w:r>
            <w:rPr>
              <w:rFonts w:hint="eastAsia" w:ascii="黑体" w:hAnsi="黑体" w:eastAsia="黑体"/>
            </w:rPr>
            <w:t>九、 国有资本经营预算支出决算情况说明</w:t>
          </w:r>
          <w:r>
            <w:tab/>
          </w:r>
          <w:r>
            <w:fldChar w:fldCharType="begin"/>
          </w:r>
          <w:r>
            <w:instrText xml:space="preserve"> PAGEREF _Toc3314 \h </w:instrText>
          </w:r>
          <w:r>
            <w:fldChar w:fldCharType="separate"/>
          </w:r>
          <w:r>
            <w:t>9</w:t>
          </w:r>
          <w:r>
            <w:fldChar w:fldCharType="end"/>
          </w:r>
          <w:r>
            <w:fldChar w:fldCharType="end"/>
          </w:r>
        </w:p>
        <w:p>
          <w:pPr>
            <w:pStyle w:val="12"/>
            <w:tabs>
              <w:tab w:val="right" w:leader="dot" w:pos="8306"/>
              <w:tab w:val="clear" w:pos="8296"/>
            </w:tabs>
          </w:pPr>
          <w:r>
            <w:fldChar w:fldCharType="begin"/>
          </w:r>
          <w:r>
            <w:instrText xml:space="preserve"> HYPERLINK \l "_Toc7975" </w:instrText>
          </w:r>
          <w:r>
            <w:fldChar w:fldCharType="separate"/>
          </w:r>
          <w:r>
            <w:rPr>
              <w:rFonts w:hint="eastAsia" w:ascii="黑体" w:hAnsi="黑体" w:eastAsia="黑体"/>
            </w:rPr>
            <w:t>十、 其他重要事项的情况说明</w:t>
          </w:r>
          <w:r>
            <w:tab/>
          </w:r>
          <w:r>
            <w:fldChar w:fldCharType="begin"/>
          </w:r>
          <w:r>
            <w:instrText xml:space="preserve"> PAGEREF _Toc7975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"_Toc21038"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_Toc21038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"_Toc7187" </w:instrText>
          </w:r>
          <w:r>
            <w:fldChar w:fldCharType="separate"/>
          </w:r>
          <w:r>
            <w:rPr>
              <w:rFonts w:ascii="仿宋_GB2312" w:eastAsia="仿宋_GB2312"/>
              <w:szCs w:val="32"/>
            </w:rPr>
            <w:t>1.</w:t>
          </w:r>
          <w:r>
            <w:rPr>
              <w:rFonts w:hint="eastAsia" w:ascii="仿宋_GB2312" w:eastAsia="仿宋_GB2312"/>
              <w:szCs w:val="32"/>
            </w:rPr>
            <w:t>财政拨款收入：指单位从同级财政部门取得的财政预算资金。</w:t>
          </w:r>
          <w:r>
            <w:tab/>
          </w:r>
          <w:r>
            <w:fldChar w:fldCharType="begin"/>
          </w:r>
          <w:r>
            <w:instrText xml:space="preserve"> PAGEREF _Toc7187 \h </w:instrText>
          </w:r>
          <w:r>
            <w:fldChar w:fldCharType="separate"/>
          </w:r>
          <w:r>
            <w:t>11</w:t>
          </w:r>
          <w:r>
            <w:fldChar w:fldCharType="end"/>
          </w:r>
          <w:r>
            <w:fldChar w:fldCharType="end"/>
          </w:r>
        </w:p>
        <w:p>
          <w:pPr>
            <w:pStyle w:val="11"/>
            <w:tabs>
              <w:tab w:val="right" w:leader="dot" w:pos="8306"/>
              <w:tab w:val="clear" w:pos="8296"/>
            </w:tabs>
          </w:pPr>
          <w:r>
            <w:fldChar w:fldCharType="begin"/>
          </w:r>
          <w:r>
            <w:instrText xml:space="preserve"> HYPERLINK \l "_Toc30117"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_Toc30117 \h </w:instrText>
          </w:r>
          <w:r>
            <w:fldChar w:fldCharType="separate"/>
          </w:r>
          <w:r>
            <w:t>1</w:t>
          </w:r>
          <w:r>
            <w:rPr>
              <w:rFonts w:hint="eastAsia"/>
            </w:rPr>
            <w:t>3</w:t>
          </w:r>
          <w:r>
            <w:fldChar w:fldCharType="end"/>
          </w:r>
          <w:r>
            <w:fldChar w:fldCharType="end"/>
          </w:r>
        </w:p>
        <w:p>
          <w:pPr>
            <w:pStyle w:val="12"/>
            <w:tabs>
              <w:tab w:val="right" w:leader="dot" w:pos="8306"/>
              <w:tab w:val="clear" w:pos="8296"/>
            </w:tabs>
          </w:pPr>
          <w:r>
            <w:fldChar w:fldCharType="begin"/>
          </w:r>
          <w:r>
            <w:instrText xml:space="preserve"> HYPERLINK \l "_Toc25245" </w:instrText>
          </w:r>
          <w:r>
            <w:fldChar w:fldCharType="separate"/>
          </w:r>
          <w:r>
            <w:rPr>
              <w:rFonts w:hint="eastAsia"/>
              <w:szCs w:val="32"/>
            </w:rPr>
            <w:t>部门预算项目支出绩效自评表（2023年度）</w:t>
          </w:r>
          <w:r>
            <w:tab/>
          </w:r>
          <w:r>
            <w:fldChar w:fldCharType="end"/>
          </w:r>
          <w:r>
            <w:rPr>
              <w:rFonts w:hint="eastAsia"/>
            </w:rPr>
            <w:t>13</w:t>
          </w:r>
        </w:p>
        <w:p>
          <w:pPr>
            <w:pStyle w:val="11"/>
            <w:tabs>
              <w:tab w:val="right" w:leader="dot" w:pos="8306"/>
              <w:tab w:val="clear" w:pos="8296"/>
            </w:tabs>
          </w:pPr>
          <w:r>
            <w:fldChar w:fldCharType="begin"/>
          </w:r>
          <w:r>
            <w:instrText xml:space="preserve"> HYPERLINK \l "_Toc4189" </w:instrText>
          </w:r>
          <w:r>
            <w:fldChar w:fldCharType="separate"/>
          </w:r>
          <w:r>
            <w:rPr>
              <w:rFonts w:hint="eastAsia" w:ascii="黑体" w:hAnsi="黑体" w:eastAsia="黑体"/>
              <w:szCs w:val="44"/>
            </w:rPr>
            <w:t>第</w:t>
          </w:r>
          <w:r>
            <w:rPr>
              <w:rFonts w:hint="eastAsia" w:ascii="黑体" w:hAnsi="黑体" w:eastAsia="黑体"/>
            </w:rPr>
            <w:t>五部分 附表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"_Toc17424" </w:instrText>
          </w:r>
          <w:r>
            <w:fldChar w:fldCharType="separate"/>
          </w:r>
          <w:r>
            <w:rPr>
              <w:rFonts w:hint="eastAsia" w:ascii="仿宋" w:hAnsi="仿宋" w:eastAsia="仿宋"/>
            </w:rPr>
            <w:t>一、收入支出决算总表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"_Toc24912" </w:instrText>
          </w:r>
          <w:r>
            <w:fldChar w:fldCharType="separate"/>
          </w:r>
          <w:r>
            <w:rPr>
              <w:rFonts w:hint="eastAsia" w:ascii="仿宋" w:hAnsi="仿宋" w:eastAsia="仿宋"/>
            </w:rPr>
            <w:t>二、收入决算表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"_Toc21234" </w:instrText>
          </w:r>
          <w:r>
            <w:fldChar w:fldCharType="separate"/>
          </w:r>
          <w:r>
            <w:rPr>
              <w:rFonts w:hint="eastAsia" w:ascii="仿宋" w:hAnsi="仿宋" w:eastAsia="仿宋"/>
            </w:rPr>
            <w:t>三、支出决算表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"_Toc2710" </w:instrText>
          </w:r>
          <w:r>
            <w:fldChar w:fldCharType="separate"/>
          </w:r>
          <w:r>
            <w:rPr>
              <w:rFonts w:hint="eastAsia" w:ascii="仿宋" w:hAnsi="仿宋" w:eastAsia="仿宋"/>
            </w:rPr>
            <w:t>四、财政拨款收入支出决算总表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"_Toc17409" </w:instrText>
          </w:r>
          <w:r>
            <w:fldChar w:fldCharType="separate"/>
          </w:r>
          <w:r>
            <w:rPr>
              <w:rFonts w:hint="eastAsia" w:ascii="仿宋" w:hAnsi="仿宋" w:eastAsia="仿宋"/>
            </w:rPr>
            <w:t>五、财政拨款支出决算明细表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"_Toc9455" </w:instrText>
          </w:r>
          <w:r>
            <w:fldChar w:fldCharType="separate"/>
          </w:r>
          <w:r>
            <w:rPr>
              <w:rFonts w:hint="eastAsia" w:ascii="仿宋" w:hAnsi="仿宋" w:eastAsia="仿宋"/>
            </w:rPr>
            <w:t>六、一般公共预算财政拨款支出决算表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"_Toc4105" </w:instrText>
          </w:r>
          <w:r>
            <w:fldChar w:fldCharType="separate"/>
          </w:r>
          <w:r>
            <w:rPr>
              <w:rFonts w:hint="eastAsia" w:ascii="仿宋" w:hAnsi="仿宋" w:eastAsia="仿宋"/>
            </w:rPr>
            <w:t>七、一般公共预算财政拨款支出决算明细表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"_Toc17597" </w:instrText>
          </w:r>
          <w:r>
            <w:fldChar w:fldCharType="separate"/>
          </w:r>
          <w:r>
            <w:rPr>
              <w:rFonts w:hint="eastAsia" w:ascii="仿宋" w:hAnsi="仿宋" w:eastAsia="仿宋"/>
            </w:rPr>
            <w:t>八、一般公共预算财政拨款基本支出决算表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"_Toc9605" </w:instrText>
          </w:r>
          <w:r>
            <w:fldChar w:fldCharType="separate"/>
          </w:r>
          <w:r>
            <w:rPr>
              <w:rFonts w:hint="eastAsia" w:ascii="仿宋" w:hAnsi="仿宋" w:eastAsia="仿宋"/>
            </w:rPr>
            <w:t>九、一般公共预算财政拨款项目支出决算表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"_Toc9133" </w:instrText>
          </w:r>
          <w:r>
            <w:fldChar w:fldCharType="separate"/>
          </w:r>
          <w:r>
            <w:rPr>
              <w:rFonts w:hint="eastAsia" w:ascii="仿宋" w:hAnsi="仿宋" w:eastAsia="仿宋"/>
            </w:rPr>
            <w:t>十、政府性基金预算财政拨款收入支出决算表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"_Toc12329" </w:instrText>
          </w:r>
          <w:r>
            <w:fldChar w:fldCharType="separate"/>
          </w:r>
          <w:r>
            <w:rPr>
              <w:rFonts w:hint="eastAsia" w:ascii="仿宋" w:hAnsi="仿宋" w:eastAsia="仿宋"/>
            </w:rPr>
            <w:t>十一、国有资本经营预算财政拨款收入支出决算表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"_Toc31887" </w:instrText>
          </w:r>
          <w:r>
            <w:fldChar w:fldCharType="separate"/>
          </w:r>
          <w:r>
            <w:rPr>
              <w:rFonts w:hint="eastAsia" w:ascii="仿宋" w:hAnsi="仿宋" w:eastAsia="仿宋"/>
            </w:rPr>
            <w:t>十二、国有资本经营预算财政拨款支出决算表</w:t>
          </w:r>
          <w:r>
            <w:tab/>
          </w:r>
          <w:r>
            <w:rPr>
              <w:rFonts w:hint="eastAsia"/>
            </w:rPr>
            <w:t>28</w:t>
          </w:r>
          <w:r>
            <w:rPr>
              <w:rFonts w:hint="eastAsia"/>
            </w:rPr>
            <w:fldChar w:fldCharType="end"/>
          </w:r>
        </w:p>
        <w:p>
          <w:pPr>
            <w:pStyle w:val="12"/>
            <w:tabs>
              <w:tab w:val="right" w:leader="dot" w:pos="8306"/>
              <w:tab w:val="clear" w:pos="8296"/>
            </w:tabs>
          </w:pPr>
          <w:r>
            <w:fldChar w:fldCharType="begin"/>
          </w:r>
          <w:r>
            <w:instrText xml:space="preserve"> HYPERLINK \l "_Toc28093" </w:instrText>
          </w:r>
          <w:r>
            <w:fldChar w:fldCharType="separate"/>
          </w:r>
          <w:r>
            <w:rPr>
              <w:rFonts w:hint="eastAsia" w:ascii="仿宋" w:hAnsi="仿宋" w:eastAsia="仿宋"/>
            </w:rPr>
            <w:t>十三、财政拨款“三公”经费支出决算表</w:t>
          </w:r>
          <w:r>
            <w:tab/>
          </w:r>
          <w:r>
            <w:rPr>
              <w:rFonts w:hint="eastAsia"/>
            </w:rPr>
            <w:t>28</w:t>
          </w:r>
          <w:r>
            <w:rPr>
              <w:rFonts w:hint="eastAsia"/>
            </w:rPr>
            <w:fldChar w:fldCharType="end"/>
          </w:r>
        </w:p>
        <w:p>
          <w:pPr>
            <w:rPr>
              <w:b/>
            </w:rPr>
          </w:pPr>
          <w:r>
            <w:fldChar w:fldCharType="end"/>
          </w:r>
        </w:p>
      </w:sdtContent>
    </w:sdt>
    <w:p>
      <w:pPr>
        <w:rPr>
          <w:b/>
        </w:rPr>
      </w:pPr>
    </w:p>
    <w:p>
      <w:pPr>
        <w:widowControl/>
        <w:adjustRightInd w:val="0"/>
        <w:snapToGrid w:val="0"/>
        <w:spacing w:line="440" w:lineRule="exact"/>
        <w:ind w:firstLine="1155" w:firstLineChars="550"/>
        <w:jc w:val="left"/>
        <w:rPr>
          <w:rFonts w:ascii="黑体" w:hAnsi="黑体" w:eastAsia="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5396599"/>
      <w:bookmarkStart w:id="14" w:name="_Toc15377196"/>
    </w:p>
    <w:p>
      <w:pPr>
        <w:pStyle w:val="3"/>
        <w:jc w:val="center"/>
        <w:rPr>
          <w:rStyle w:val="28"/>
          <w:rFonts w:ascii="黑体" w:hAnsi="黑体" w:eastAsia="黑体"/>
          <w:b/>
          <w:bCs w:val="0"/>
        </w:rPr>
      </w:pPr>
      <w:bookmarkStart w:id="15" w:name="_Toc25574"/>
      <w:r>
        <w:rPr>
          <w:rFonts w:hint="eastAsia" w:ascii="黑体" w:hAnsi="黑体" w:eastAsia="黑体"/>
          <w:b w:val="0"/>
        </w:rPr>
        <w:t>第一部分 单位</w:t>
      </w:r>
      <w:r>
        <w:rPr>
          <w:rStyle w:val="28"/>
          <w:rFonts w:hint="eastAsia" w:ascii="黑体" w:hAnsi="黑体" w:eastAsia="黑体"/>
          <w:b w:val="0"/>
          <w:bCs w:val="0"/>
        </w:rPr>
        <w:t>概况</w:t>
      </w:r>
      <w:bookmarkEnd w:id="13"/>
      <w:bookmarkEnd w:id="14"/>
      <w:bookmarkEnd w:id="15"/>
    </w:p>
    <w:p>
      <w:pPr>
        <w:widowControl/>
        <w:jc w:val="left"/>
        <w:rPr>
          <w:rFonts w:ascii="黑体" w:eastAsia="黑体"/>
          <w:sz w:val="32"/>
          <w:szCs w:val="32"/>
        </w:rPr>
      </w:pPr>
    </w:p>
    <w:p>
      <w:pPr>
        <w:pStyle w:val="4"/>
        <w:numPr>
          <w:ilvl w:val="0"/>
          <w:numId w:val="1"/>
        </w:numPr>
        <w:rPr>
          <w:rFonts w:ascii="黑体" w:hAnsi="黑体" w:eastAsia="黑体" w:cs="Times New Roman"/>
          <w:b w:val="0"/>
          <w:kern w:val="44"/>
          <w:sz w:val="44"/>
          <w:szCs w:val="44"/>
        </w:rPr>
      </w:pPr>
      <w:bookmarkStart w:id="16" w:name="_Toc11226"/>
      <w:bookmarkStart w:id="17" w:name="_Toc15396600"/>
      <w:bookmarkStart w:id="18" w:name="_Toc15377197"/>
      <w:r>
        <w:rPr>
          <w:rFonts w:hint="eastAsia" w:ascii="黑体" w:hAnsi="黑体" w:eastAsia="黑体" w:cs="Times New Roman"/>
          <w:b w:val="0"/>
          <w:kern w:val="44"/>
          <w:sz w:val="44"/>
          <w:szCs w:val="44"/>
        </w:rPr>
        <w:t>主要职责</w:t>
      </w:r>
      <w:bookmarkEnd w:id="16"/>
    </w:p>
    <w:p>
      <w:pPr>
        <w:spacing w:line="500" w:lineRule="exact"/>
        <w:ind w:firstLine="640" w:firstLineChars="200"/>
      </w:pPr>
      <w:r>
        <w:rPr>
          <w:rFonts w:hint="eastAsia" w:ascii="仿宋" w:hAnsi="仿宋" w:eastAsia="仿宋" w:cs="仿宋"/>
          <w:sz w:val="32"/>
          <w:szCs w:val="32"/>
        </w:rPr>
        <w:t>宣传贯彻执行党和国家的教育方针、教育政策、教育法律和教育法规，贯彻执行上级教育行政部门的行政规章。根据县委、县政府制定的教育事业发展规划，结合实际制定并组织实施本校的教育事业发展规划。在县委、县政府的领导下实施中小学义务教育，巩固提高教育成果。按照上级有关部门的规定，负责对学校教育的财务和基建进行管理。按照中小学义务教育课程计划开齐课程开足课时，认真实施中小学的教育教学管理，全面推进素质教育，全面提高教育教学质量。</w:t>
      </w:r>
    </w:p>
    <w:p/>
    <w:p>
      <w:pPr>
        <w:pStyle w:val="4"/>
        <w:numPr>
          <w:ilvl w:val="0"/>
          <w:numId w:val="1"/>
        </w:numPr>
        <w:rPr>
          <w:rFonts w:ascii="黑体" w:hAnsi="黑体" w:eastAsia="黑体" w:cs="Times New Roman"/>
          <w:b w:val="0"/>
          <w:kern w:val="44"/>
          <w:sz w:val="44"/>
          <w:szCs w:val="44"/>
        </w:rPr>
      </w:pPr>
      <w:bookmarkStart w:id="19" w:name="_Toc28244"/>
      <w:r>
        <w:rPr>
          <w:rFonts w:hint="eastAsia" w:ascii="黑体" w:hAnsi="黑体" w:eastAsia="黑体" w:cs="Times New Roman"/>
          <w:b w:val="0"/>
          <w:kern w:val="44"/>
          <w:sz w:val="44"/>
          <w:szCs w:val="44"/>
        </w:rPr>
        <w:t>机构设置</w:t>
      </w:r>
      <w:bookmarkEnd w:id="19"/>
    </w:p>
    <w:p>
      <w:pPr>
        <w:pStyle w:val="2"/>
        <w:adjustRightInd w:val="0"/>
        <w:snapToGrid w:val="0"/>
        <w:spacing w:before="93" w:line="600" w:lineRule="exact"/>
        <w:ind w:firstLine="672" w:firstLineChars="210"/>
        <w:rPr>
          <w:rFonts w:ascii="仿宋" w:hAnsi="仿宋" w:eastAsia="仿宋" w:cs="仿宋"/>
          <w:kern w:val="2"/>
          <w:sz w:val="32"/>
          <w:szCs w:val="32"/>
        </w:rPr>
      </w:pPr>
      <w:r>
        <w:rPr>
          <w:rFonts w:hint="eastAsia" w:ascii="仿宋" w:hAnsi="仿宋" w:eastAsia="仿宋" w:cs="仿宋"/>
          <w:kern w:val="2"/>
          <w:sz w:val="32"/>
          <w:szCs w:val="32"/>
        </w:rPr>
        <w:t>大竹县石河镇李家学校为一级预算单位，下属的二级预算单位0个，下设独立编制机构0个，其中行政机构0个，参照公务员法管理的事业机构0个，其它事业机构0个。</w:t>
      </w:r>
    </w:p>
    <w:p>
      <w:pPr>
        <w:pStyle w:val="2"/>
        <w:spacing w:before="93"/>
        <w:ind w:firstLine="640" w:firstLineChars="200"/>
      </w:pPr>
      <w:r>
        <w:rPr>
          <w:rFonts w:hint="eastAsia" w:ascii="仿宋" w:hAnsi="仿宋" w:eastAsia="仿宋" w:cs="仿宋_GB2312"/>
          <w:sz w:val="32"/>
          <w:szCs w:val="32"/>
        </w:rPr>
        <w:t>纳入大竹县石河镇李家学校2</w:t>
      </w:r>
      <w:r>
        <w:rPr>
          <w:rFonts w:ascii="仿宋" w:hAnsi="仿宋" w:eastAsia="仿宋" w:cs="仿宋_GB2312"/>
          <w:sz w:val="32"/>
          <w:szCs w:val="32"/>
        </w:rPr>
        <w:t>02</w:t>
      </w:r>
      <w:r>
        <w:rPr>
          <w:rFonts w:hint="eastAsia" w:ascii="仿宋" w:hAnsi="仿宋" w:eastAsia="仿宋" w:cs="仿宋_GB2312"/>
          <w:sz w:val="32"/>
          <w:szCs w:val="32"/>
        </w:rPr>
        <w:t>2年度部门决算编制范围的二级预算单位包括：无。</w:t>
      </w:r>
    </w:p>
    <w:p/>
    <w:bookmarkEnd w:id="17"/>
    <w:bookmarkEnd w:id="18"/>
    <w:p>
      <w:pPr>
        <w:widowControl/>
        <w:jc w:val="left"/>
        <w:rPr>
          <w:rFonts w:ascii="仿宋" w:hAnsi="仿宋" w:eastAsia="仿宋" w:cs="仿宋_GB2312"/>
          <w:kern w:val="0"/>
          <w:sz w:val="32"/>
          <w:szCs w:val="32"/>
        </w:rPr>
      </w:pPr>
      <w:r>
        <w:rPr>
          <w:rFonts w:ascii="仿宋" w:hAnsi="仿宋" w:eastAsia="仿宋" w:cs="仿宋_GB2312"/>
          <w:kern w:val="0"/>
          <w:sz w:val="32"/>
          <w:szCs w:val="32"/>
        </w:rPr>
        <w:br w:type="page"/>
      </w:r>
    </w:p>
    <w:p>
      <w:pPr>
        <w:pStyle w:val="3"/>
        <w:ind w:right="440"/>
        <w:jc w:val="center"/>
        <w:rPr>
          <w:rStyle w:val="28"/>
          <w:rFonts w:ascii="黑体" w:hAnsi="黑体" w:eastAsia="黑体"/>
          <w:b w:val="0"/>
          <w:bCs/>
        </w:rPr>
      </w:pPr>
      <w:bookmarkStart w:id="20" w:name="_Toc15377204"/>
      <w:bookmarkStart w:id="21" w:name="_Toc23579"/>
      <w:bookmarkStart w:id="22" w:name="_Toc15396602"/>
      <w:r>
        <w:rPr>
          <w:rFonts w:hint="eastAsia" w:ascii="黑体" w:hAnsi="黑体" w:eastAsia="黑体"/>
          <w:b w:val="0"/>
        </w:rPr>
        <w:t>第二部分 2023年度</w:t>
      </w:r>
      <w:r>
        <w:rPr>
          <w:rStyle w:val="28"/>
          <w:rFonts w:hint="eastAsia" w:ascii="黑体" w:hAnsi="黑体" w:eastAsia="黑体"/>
          <w:b w:val="0"/>
          <w:bCs/>
        </w:rPr>
        <w:t>单位决算情况说明</w:t>
      </w:r>
      <w:bookmarkEnd w:id="20"/>
      <w:bookmarkEnd w:id="21"/>
      <w:bookmarkEnd w:id="22"/>
    </w:p>
    <w:p/>
    <w:p>
      <w:pPr>
        <w:pStyle w:val="27"/>
        <w:numPr>
          <w:ilvl w:val="0"/>
          <w:numId w:val="2"/>
        </w:numPr>
        <w:spacing w:line="600" w:lineRule="exact"/>
        <w:ind w:firstLineChars="0"/>
        <w:outlineLvl w:val="1"/>
        <w:rPr>
          <w:rStyle w:val="29"/>
          <w:rFonts w:ascii="黑体" w:hAnsi="黑体" w:eastAsia="黑体"/>
          <w:b w:val="0"/>
        </w:rPr>
      </w:pPr>
      <w:bookmarkStart w:id="23" w:name="_Toc9875"/>
      <w:bookmarkStart w:id="24" w:name="_Toc15377205"/>
      <w:bookmarkStart w:id="25"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3"/>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861.95</w:t>
      </w:r>
      <w:r>
        <w:rPr>
          <w:rFonts w:hint="eastAsia" w:ascii="仿宋" w:hAnsi="仿宋" w:eastAsia="仿宋"/>
          <w:sz w:val="32"/>
          <w:szCs w:val="32"/>
        </w:rPr>
        <w:t>万元。与2022年度相比，收、支总计各增加130.81万元，增长17.89%。主要变动原因是生均公用经费提高和项目支出增加。</w:t>
      </w:r>
    </w:p>
    <w:p>
      <w:pPr>
        <w:pStyle w:val="2"/>
        <w:spacing w:before="93"/>
        <w:rPr>
          <w:rFonts w:ascii="仿宋" w:hAnsi="仿宋" w:eastAsia="仿宋"/>
          <w:sz w:val="32"/>
          <w:szCs w:val="32"/>
          <w:highlight w:val="yellow"/>
        </w:rPr>
      </w:pPr>
      <w:r>
        <w:pict>
          <v:shape id="_x0000_s1026" o:spid="_x0000_s1026" o:spt="75" type="#_x0000_t75" style="position:absolute;left:0pt;margin-left:-5.1pt;margin-top:4.7pt;height:221.95pt;width:422.2pt;z-index:251660288;mso-width-relative:page;mso-height-relative:page;" o:ole="t" filled="f" o:preferrelative="t" stroked="f" coordsize="21600,21600">
            <v:path/>
            <v:fill on="f" focussize="0,0"/>
            <v:stroke on="f" joinstyle="miter"/>
            <v:imagedata r:id="rId9" o:title=""/>
            <o:lock v:ext="edit" aspectratio="t"/>
          </v:shape>
          <o:OLEObject Type="Embed" ProgID="Excel.Sheet.8" ShapeID="_x0000_s1026" DrawAspect="Content" ObjectID="_1468075725" r:id="rId8">
            <o:LockedField>false</o:LockedField>
          </o:OLEObject>
        </w:pict>
      </w:r>
    </w:p>
    <w:p>
      <w:pPr>
        <w:pStyle w:val="2"/>
        <w:spacing w:before="93"/>
        <w:rPr>
          <w:rFonts w:ascii="仿宋" w:hAnsi="仿宋" w:eastAsia="仿宋"/>
          <w:sz w:val="32"/>
          <w:szCs w:val="32"/>
          <w:highlight w:val="yellow"/>
        </w:rPr>
      </w:pPr>
    </w:p>
    <w:p>
      <w:pPr>
        <w:pStyle w:val="2"/>
        <w:spacing w:before="93"/>
        <w:rPr>
          <w:rFonts w:ascii="仿宋" w:hAnsi="仿宋" w:eastAsia="仿宋"/>
          <w:sz w:val="32"/>
          <w:szCs w:val="32"/>
          <w:highlight w:val="yellow"/>
        </w:rPr>
      </w:pPr>
    </w:p>
    <w:p>
      <w:pPr>
        <w:pStyle w:val="2"/>
        <w:spacing w:before="93"/>
        <w:rPr>
          <w:rFonts w:ascii="仿宋" w:hAnsi="仿宋" w:eastAsia="仿宋"/>
          <w:sz w:val="32"/>
          <w:szCs w:val="32"/>
          <w:highlight w:val="yellow"/>
        </w:rPr>
      </w:pPr>
    </w:p>
    <w:p>
      <w:pPr>
        <w:pStyle w:val="2"/>
        <w:spacing w:before="93"/>
        <w:rPr>
          <w:rFonts w:ascii="仿宋" w:hAnsi="仿宋" w:eastAsia="仿宋"/>
          <w:sz w:val="32"/>
          <w:szCs w:val="32"/>
          <w:highlight w:val="yellow"/>
        </w:rPr>
      </w:pPr>
    </w:p>
    <w:p>
      <w:pPr>
        <w:pStyle w:val="2"/>
        <w:spacing w:before="93"/>
        <w:rPr>
          <w:rFonts w:ascii="仿宋" w:hAnsi="仿宋" w:eastAsia="仿宋"/>
          <w:sz w:val="32"/>
          <w:szCs w:val="32"/>
          <w:highlight w:val="yellow"/>
        </w:rPr>
      </w:pPr>
    </w:p>
    <w:p>
      <w:pPr>
        <w:spacing w:line="600" w:lineRule="exact"/>
        <w:ind w:firstLine="640" w:firstLineChars="200"/>
        <w:outlineLvl w:val="1"/>
        <w:rPr>
          <w:rFonts w:ascii="仿宋_GB2312" w:eastAsia="仿宋_GB2312"/>
          <w:sz w:val="32"/>
          <w:szCs w:val="32"/>
        </w:rPr>
      </w:pPr>
      <w:r>
        <w:rPr>
          <w:rFonts w:hint="eastAsia" w:ascii="仿宋" w:hAnsi="仿宋" w:eastAsia="仿宋"/>
          <w:sz w:val="32"/>
          <w:szCs w:val="32"/>
        </w:rPr>
        <w:t>（图1：2023年收、支决算总计变动情况图）</w:t>
      </w:r>
    </w:p>
    <w:p>
      <w:pPr>
        <w:pStyle w:val="27"/>
        <w:numPr>
          <w:ilvl w:val="0"/>
          <w:numId w:val="2"/>
        </w:numPr>
        <w:spacing w:line="600" w:lineRule="exact"/>
        <w:ind w:firstLineChars="0"/>
        <w:outlineLvl w:val="1"/>
        <w:rPr>
          <w:rStyle w:val="29"/>
          <w:rFonts w:ascii="黑体" w:hAnsi="黑体" w:eastAsia="黑体"/>
          <w:b w:val="0"/>
        </w:rPr>
      </w:pPr>
      <w:bookmarkStart w:id="26" w:name="_Toc15396604"/>
      <w:bookmarkStart w:id="27" w:name="_Toc12659"/>
      <w:bookmarkStart w:id="28" w:name="_Toc15377206"/>
      <w:r>
        <w:rPr>
          <w:rFonts w:hint="eastAsia" w:ascii="黑体" w:hAnsi="黑体" w:eastAsia="黑体"/>
          <w:sz w:val="32"/>
          <w:szCs w:val="32"/>
        </w:rPr>
        <w:t>收</w:t>
      </w:r>
      <w:r>
        <w:rPr>
          <w:rStyle w:val="29"/>
          <w:rFonts w:hint="eastAsia" w:ascii="黑体" w:hAnsi="黑体" w:eastAsia="黑体"/>
          <w:b w:val="0"/>
        </w:rPr>
        <w:t>入决算情况说明</w:t>
      </w:r>
      <w:bookmarkEnd w:id="26"/>
      <w:bookmarkEnd w:id="27"/>
      <w:bookmarkEnd w:id="28"/>
    </w:p>
    <w:p>
      <w:pPr>
        <w:spacing w:line="600" w:lineRule="exact"/>
        <w:ind w:firstLine="640" w:firstLineChars="200"/>
        <w:outlineLvl w:val="1"/>
        <w:rPr>
          <w:rFonts w:ascii="仿宋" w:hAnsi="仿宋" w:eastAsia="仿宋"/>
          <w:sz w:val="32"/>
          <w:szCs w:val="32"/>
        </w:rPr>
      </w:pPr>
      <w:bookmarkStart w:id="29" w:name="_Toc8429"/>
      <w:r>
        <w:rPr>
          <w:rFonts w:hint="eastAsia" w:ascii="仿宋" w:hAnsi="仿宋" w:eastAsia="仿宋"/>
          <w:sz w:val="32"/>
          <w:szCs w:val="32"/>
        </w:rPr>
        <w:t>2023年度本年收入合计</w:t>
      </w:r>
      <w:r>
        <w:rPr>
          <w:rFonts w:hint="eastAsia" w:ascii="仿宋" w:hAnsi="仿宋" w:eastAsia="仿宋"/>
          <w:b/>
          <w:sz w:val="32"/>
          <w:szCs w:val="32"/>
        </w:rPr>
        <w:t>861.95</w:t>
      </w:r>
      <w:r>
        <w:rPr>
          <w:rFonts w:hint="eastAsia" w:ascii="仿宋" w:hAnsi="仿宋" w:eastAsia="仿宋"/>
          <w:sz w:val="32"/>
          <w:szCs w:val="32"/>
        </w:rPr>
        <w:t>万元，其中：一般公共预算财政拨款收入</w:t>
      </w:r>
      <w:r>
        <w:rPr>
          <w:rFonts w:hint="eastAsia" w:ascii="仿宋" w:hAnsi="仿宋" w:eastAsia="仿宋"/>
          <w:b/>
          <w:sz w:val="32"/>
          <w:szCs w:val="32"/>
        </w:rPr>
        <w:t>861.95</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bookmarkEnd w:id="29"/>
    </w:p>
    <w:p>
      <w:pPr>
        <w:spacing w:line="600" w:lineRule="exact"/>
        <w:rPr>
          <w:rFonts w:ascii="仿宋" w:hAnsi="仿宋" w:eastAsia="仿宋"/>
          <w:b/>
          <w:sz w:val="32"/>
          <w:szCs w:val="32"/>
        </w:rPr>
      </w:pPr>
    </w:p>
    <w:p>
      <w:pPr>
        <w:spacing w:line="600" w:lineRule="exact"/>
        <w:rPr>
          <w:rFonts w:ascii="仿宋" w:hAnsi="仿宋" w:eastAsia="仿宋"/>
          <w:b/>
          <w:sz w:val="32"/>
          <w:szCs w:val="32"/>
        </w:rPr>
      </w:pPr>
      <w:r>
        <w:rPr>
          <w:rFonts w:ascii="仿宋" w:hAnsi="仿宋" w:eastAsia="仿宋"/>
          <w:sz w:val="32"/>
          <w:szCs w:val="32"/>
          <w:shd w:val="pct10" w:color="auto" w:fill="FFFFFF"/>
        </w:rPr>
        <w:pict>
          <v:shape id="_x0000_s1027" o:spid="_x0000_s1027" o:spt="75" type="#_x0000_t75" style="position:absolute;left:0pt;margin-left:7.2pt;margin-top:3pt;height:199.5pt;width:413.8pt;z-index:251661312;mso-width-relative:page;mso-height-relative:page;" o:ole="t" filled="f" o:preferrelative="t" stroked="f" coordsize="21600,21600">
            <v:path/>
            <v:fill on="f" focussize="0,0"/>
            <v:stroke on="f" joinstyle="miter"/>
            <v:imagedata r:id="rId11" o:title=""/>
            <o:lock v:ext="edit" aspectratio="t"/>
          </v:shape>
          <o:OLEObject Type="Embed" ProgID="Excel.Sheet.8" ShapeID="_x0000_s1027" DrawAspect="Content" ObjectID="_1468075726" r:id="rId10">
            <o:LockedField>false</o:LockedField>
          </o:OLEObject>
        </w:pict>
      </w: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pStyle w:val="2"/>
        <w:spacing w:before="93"/>
      </w:pPr>
    </w:p>
    <w:p>
      <w:pPr>
        <w:pStyle w:val="2"/>
        <w:spacing w:before="93"/>
        <w:rPr>
          <w:rFonts w:ascii="仿宋" w:hAnsi="仿宋" w:eastAsia="仿宋"/>
          <w:sz w:val="32"/>
          <w:szCs w:val="32"/>
        </w:rPr>
      </w:pPr>
    </w:p>
    <w:p>
      <w:pPr>
        <w:spacing w:line="600" w:lineRule="exact"/>
        <w:ind w:firstLine="640" w:firstLineChars="200"/>
        <w:jc w:val="center"/>
        <w:outlineLvl w:val="1"/>
        <w:rPr>
          <w:rFonts w:ascii="仿宋" w:hAnsi="仿宋" w:eastAsia="仿宋"/>
          <w:sz w:val="32"/>
          <w:szCs w:val="32"/>
        </w:rPr>
      </w:pPr>
      <w:r>
        <w:rPr>
          <w:rFonts w:hint="eastAsia" w:ascii="仿宋" w:hAnsi="仿宋" w:eastAsia="仿宋"/>
          <w:sz w:val="32"/>
          <w:szCs w:val="32"/>
        </w:rPr>
        <w:t>（图2：2023年收入决算结构图）</w:t>
      </w:r>
    </w:p>
    <w:p>
      <w:pPr>
        <w:pStyle w:val="27"/>
        <w:numPr>
          <w:ilvl w:val="0"/>
          <w:numId w:val="2"/>
        </w:numPr>
        <w:spacing w:line="600" w:lineRule="exact"/>
        <w:ind w:firstLineChars="0"/>
        <w:outlineLvl w:val="1"/>
        <w:rPr>
          <w:rStyle w:val="29"/>
          <w:rFonts w:ascii="黑体" w:hAnsi="黑体" w:eastAsia="黑体"/>
          <w:b w:val="0"/>
        </w:rPr>
      </w:pPr>
      <w:bookmarkStart w:id="30" w:name="_Toc15377207"/>
      <w:bookmarkStart w:id="31" w:name="_Toc30046"/>
      <w:bookmarkStart w:id="32" w:name="_Toc15396605"/>
      <w:r>
        <w:rPr>
          <w:rFonts w:hint="eastAsia" w:ascii="黑体" w:hAnsi="黑体" w:eastAsia="黑体"/>
          <w:sz w:val="32"/>
          <w:szCs w:val="32"/>
        </w:rPr>
        <w:t>支</w:t>
      </w:r>
      <w:r>
        <w:rPr>
          <w:rStyle w:val="29"/>
          <w:rFonts w:hint="eastAsia" w:ascii="黑体" w:hAnsi="黑体" w:eastAsia="黑体"/>
          <w:b w:val="0"/>
        </w:rPr>
        <w:t>出决算情况说明</w:t>
      </w:r>
      <w:bookmarkEnd w:id="30"/>
      <w:bookmarkEnd w:id="31"/>
      <w:bookmarkEnd w:id="32"/>
    </w:p>
    <w:p>
      <w:pPr>
        <w:spacing w:line="600" w:lineRule="exact"/>
        <w:ind w:firstLine="640" w:firstLineChars="200"/>
        <w:outlineLvl w:val="1"/>
        <w:rPr>
          <w:rFonts w:ascii="仿宋" w:hAnsi="仿宋" w:eastAsia="仿宋"/>
          <w:sz w:val="32"/>
          <w:szCs w:val="32"/>
          <w:shd w:val="pct10" w:color="auto" w:fill="FFFFFF"/>
        </w:rPr>
      </w:pPr>
      <w:bookmarkStart w:id="33" w:name="_Toc21983"/>
      <w:r>
        <w:rPr>
          <w:rFonts w:hint="eastAsia" w:ascii="仿宋" w:hAnsi="仿宋" w:eastAsia="仿宋"/>
          <w:sz w:val="32"/>
          <w:szCs w:val="32"/>
        </w:rPr>
        <w:t>2023年度本年支出合计</w:t>
      </w:r>
      <w:r>
        <w:rPr>
          <w:rFonts w:hint="eastAsia" w:ascii="仿宋" w:hAnsi="仿宋" w:eastAsia="仿宋"/>
          <w:b/>
          <w:sz w:val="32"/>
          <w:szCs w:val="32"/>
        </w:rPr>
        <w:t>861.95</w:t>
      </w:r>
      <w:r>
        <w:rPr>
          <w:rFonts w:hint="eastAsia" w:ascii="仿宋" w:hAnsi="仿宋" w:eastAsia="仿宋"/>
          <w:sz w:val="32"/>
          <w:szCs w:val="32"/>
        </w:rPr>
        <w:t>万元，其中：基本支出</w:t>
      </w:r>
      <w:r>
        <w:rPr>
          <w:rFonts w:hint="eastAsia" w:ascii="仿宋" w:hAnsi="仿宋" w:eastAsia="仿宋"/>
          <w:b/>
          <w:sz w:val="32"/>
          <w:szCs w:val="32"/>
        </w:rPr>
        <w:t>852.81</w:t>
      </w:r>
      <w:r>
        <w:rPr>
          <w:rFonts w:hint="eastAsia" w:ascii="仿宋" w:hAnsi="仿宋" w:eastAsia="仿宋"/>
          <w:sz w:val="32"/>
          <w:szCs w:val="32"/>
        </w:rPr>
        <w:t>万元，占</w:t>
      </w:r>
      <w:r>
        <w:rPr>
          <w:rFonts w:hint="eastAsia" w:ascii="仿宋" w:hAnsi="仿宋" w:eastAsia="仿宋"/>
          <w:b/>
          <w:sz w:val="32"/>
          <w:szCs w:val="32"/>
        </w:rPr>
        <w:t>98.94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rPr>
        <w:t>12.13</w:t>
      </w:r>
      <w:r>
        <w:rPr>
          <w:rFonts w:hint="eastAsia" w:ascii="仿宋" w:hAnsi="仿宋" w:eastAsia="仿宋"/>
          <w:sz w:val="32"/>
          <w:szCs w:val="32"/>
        </w:rPr>
        <w:t>万元，占</w:t>
      </w:r>
      <w:r>
        <w:rPr>
          <w:rFonts w:hint="eastAsia" w:ascii="仿宋" w:hAnsi="仿宋" w:eastAsia="仿宋"/>
          <w:b/>
          <w:sz w:val="32"/>
          <w:szCs w:val="32"/>
        </w:rPr>
        <w:t>1.41</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33"/>
    </w:p>
    <w:p>
      <w:pPr>
        <w:pStyle w:val="2"/>
        <w:spacing w:before="93"/>
        <w:rPr>
          <w:rFonts w:ascii="仿宋" w:hAnsi="仿宋" w:eastAsia="仿宋"/>
          <w:sz w:val="32"/>
          <w:szCs w:val="32"/>
          <w:shd w:val="pct10" w:color="auto" w:fill="FFFFFF"/>
        </w:rPr>
      </w:pPr>
      <w:r>
        <w:rPr>
          <w:rFonts w:ascii="仿宋" w:hAnsi="仿宋" w:eastAsia="仿宋"/>
          <w:sz w:val="32"/>
          <w:szCs w:val="32"/>
          <w:shd w:val="pct10" w:color="auto" w:fill="FFFFFF"/>
        </w:rPr>
        <w:pict>
          <v:shape id="_x0000_s1028" o:spid="_x0000_s1028" o:spt="75" type="#_x0000_t75" style="position:absolute;left:0pt;margin-left:5pt;margin-top:21.25pt;height:194.45pt;width:412.25pt;z-index:251662336;mso-width-relative:page;mso-height-relative:page;" o:ole="t" filled="f" o:preferrelative="t" stroked="f" coordsize="21600,21600">
            <v:path/>
            <v:fill on="f" focussize="0,0"/>
            <v:stroke on="f" joinstyle="miter"/>
            <v:imagedata r:id="rId13" o:title=""/>
            <o:lock v:ext="edit" aspectratio="t"/>
          </v:shape>
          <o:OLEObject Type="Embed" ProgID="Excel.Sheet.8" ShapeID="_x0000_s1028" DrawAspect="Content" ObjectID="_1468075727" r:id="rId12">
            <o:LockedField>false</o:LockedField>
          </o:OLEObject>
        </w:pict>
      </w:r>
    </w:p>
    <w:p>
      <w:pPr>
        <w:pStyle w:val="2"/>
        <w:spacing w:before="93"/>
        <w:rPr>
          <w:rFonts w:ascii="仿宋" w:hAnsi="仿宋" w:eastAsia="仿宋"/>
          <w:sz w:val="32"/>
          <w:szCs w:val="32"/>
          <w:shd w:val="pct10" w:color="auto" w:fill="FFFFFF"/>
        </w:rPr>
      </w:pPr>
    </w:p>
    <w:p>
      <w:pPr>
        <w:pStyle w:val="2"/>
        <w:spacing w:before="93"/>
        <w:rPr>
          <w:rFonts w:ascii="仿宋" w:hAnsi="仿宋" w:eastAsia="仿宋"/>
          <w:sz w:val="32"/>
          <w:szCs w:val="32"/>
          <w:shd w:val="pct10" w:color="auto" w:fill="FFFFFF"/>
        </w:rPr>
      </w:pPr>
    </w:p>
    <w:p>
      <w:pPr>
        <w:pStyle w:val="2"/>
        <w:spacing w:before="93"/>
        <w:rPr>
          <w:rFonts w:ascii="仿宋" w:hAnsi="仿宋" w:eastAsia="仿宋"/>
          <w:sz w:val="32"/>
          <w:szCs w:val="32"/>
          <w:shd w:val="pct10" w:color="auto" w:fill="FFFFFF"/>
        </w:rPr>
      </w:pPr>
    </w:p>
    <w:p>
      <w:pPr>
        <w:pStyle w:val="2"/>
        <w:spacing w:before="93"/>
        <w:rPr>
          <w:rFonts w:ascii="仿宋" w:hAnsi="仿宋" w:eastAsia="仿宋"/>
          <w:sz w:val="32"/>
          <w:szCs w:val="32"/>
          <w:shd w:val="pct10" w:color="auto" w:fill="FFFFFF"/>
        </w:rPr>
      </w:pPr>
    </w:p>
    <w:p>
      <w:pPr>
        <w:pStyle w:val="2"/>
        <w:spacing w:before="93"/>
        <w:rPr>
          <w:rFonts w:ascii="仿宋" w:hAnsi="仿宋" w:eastAsia="仿宋"/>
          <w:sz w:val="32"/>
          <w:szCs w:val="32"/>
          <w:shd w:val="pct10" w:color="auto" w:fill="FFFFFF"/>
        </w:rPr>
      </w:pPr>
    </w:p>
    <w:p>
      <w:pPr>
        <w:spacing w:line="600" w:lineRule="exact"/>
        <w:ind w:firstLine="643" w:firstLineChars="200"/>
        <w:jc w:val="center"/>
        <w:rPr>
          <w:rFonts w:ascii="仿宋_GB2312" w:eastAsia="仿宋_GB2312"/>
          <w:sz w:val="32"/>
          <w:szCs w:val="32"/>
          <w:highlight w:val="yellow"/>
        </w:rPr>
      </w:pPr>
      <w:r>
        <w:rPr>
          <w:rFonts w:hint="eastAsia" w:ascii="仿宋" w:hAnsi="仿宋" w:eastAsia="仿宋"/>
          <w:b/>
          <w:sz w:val="32"/>
          <w:szCs w:val="32"/>
        </w:rPr>
        <w:t>（图3：2023年支出决算结构图）</w:t>
      </w:r>
    </w:p>
    <w:p>
      <w:pPr>
        <w:spacing w:line="600" w:lineRule="exact"/>
        <w:ind w:firstLine="640" w:firstLineChars="200"/>
        <w:outlineLvl w:val="1"/>
        <w:rPr>
          <w:rStyle w:val="29"/>
          <w:rFonts w:ascii="黑体" w:hAnsi="黑体" w:eastAsia="黑体"/>
          <w:b w:val="0"/>
        </w:rPr>
      </w:pPr>
      <w:bookmarkStart w:id="34" w:name="_Toc1937"/>
      <w:bookmarkStart w:id="35" w:name="_Toc15377208"/>
      <w:bookmarkStart w:id="36"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4"/>
      <w:bookmarkEnd w:id="35"/>
      <w:bookmarkEnd w:id="36"/>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861.95</w:t>
      </w:r>
      <w:r>
        <w:rPr>
          <w:rFonts w:hint="eastAsia" w:ascii="仿宋" w:hAnsi="仿宋" w:eastAsia="仿宋"/>
          <w:sz w:val="32"/>
          <w:szCs w:val="32"/>
        </w:rPr>
        <w:t>万元。与2022年度相比，收、支总计各增加</w:t>
      </w:r>
      <w:r>
        <w:rPr>
          <w:rFonts w:ascii="仿宋" w:hAnsi="仿宋" w:eastAsia="仿宋"/>
          <w:sz w:val="32"/>
          <w:szCs w:val="32"/>
        </w:rPr>
        <w:t>130.81</w:t>
      </w:r>
      <w:r>
        <w:rPr>
          <w:rFonts w:hint="eastAsia" w:ascii="仿宋" w:hAnsi="仿宋" w:eastAsia="仿宋"/>
          <w:sz w:val="32"/>
          <w:szCs w:val="32"/>
        </w:rPr>
        <w:t>万元，增长17.89%。主要变动原因是生均公用经费提高和项目支出增加。</w:t>
      </w:r>
    </w:p>
    <w:p>
      <w:pPr>
        <w:pStyle w:val="2"/>
        <w:spacing w:before="93"/>
      </w:pPr>
      <w:r>
        <w:pict>
          <v:shape id="_x0000_s1029" o:spid="_x0000_s1029" o:spt="75" type="#_x0000_t75" style="position:absolute;left:0pt;margin-left:7.35pt;margin-top:6.8pt;height:222.25pt;width:421.2pt;z-index:251663360;mso-width-relative:page;mso-height-relative:page;" o:ole="t" filled="f" o:preferrelative="t" stroked="f" coordsize="21600,21600">
            <v:path/>
            <v:fill on="f" focussize="0,0"/>
            <v:stroke on="f" joinstyle="miter"/>
            <v:imagedata r:id="rId15" o:title=""/>
            <o:lock v:ext="edit" aspectratio="t"/>
          </v:shape>
          <o:OLEObject Type="Embed" ProgID="Excel.Sheet.8" ShapeID="_x0000_s1029" DrawAspect="Content" ObjectID="_1468075728" r:id="rId14">
            <o:LockedField>false</o:LockedField>
          </o:OLEObject>
        </w:pict>
      </w: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sz w:val="32"/>
          <w:szCs w:val="32"/>
          <w:highlight w:val="yellow"/>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（图4：2023年财政拨款收、支决算总计变动情况）</w:t>
      </w:r>
    </w:p>
    <w:p>
      <w:pPr>
        <w:spacing w:line="600" w:lineRule="exact"/>
        <w:ind w:firstLine="640" w:firstLineChars="200"/>
        <w:outlineLvl w:val="1"/>
        <w:rPr>
          <w:rStyle w:val="29"/>
          <w:rFonts w:ascii="黑体" w:hAnsi="黑体" w:eastAsia="黑体"/>
          <w:b w:val="0"/>
        </w:rPr>
      </w:pPr>
      <w:bookmarkStart w:id="37" w:name="_Toc15396607"/>
      <w:bookmarkStart w:id="38" w:name="_Toc29387"/>
      <w:bookmarkStart w:id="39"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7"/>
      <w:bookmarkEnd w:id="38"/>
      <w:bookmarkEnd w:id="39"/>
    </w:p>
    <w:p>
      <w:pPr>
        <w:spacing w:line="600" w:lineRule="exact"/>
        <w:ind w:firstLine="643" w:firstLineChars="200"/>
        <w:outlineLvl w:val="2"/>
        <w:rPr>
          <w:rFonts w:ascii="仿宋" w:hAnsi="仿宋" w:eastAsia="仿宋"/>
          <w:b/>
          <w:sz w:val="32"/>
          <w:szCs w:val="32"/>
        </w:rPr>
      </w:pPr>
      <w:bookmarkStart w:id="40" w:name="_Toc15377210"/>
      <w:r>
        <w:rPr>
          <w:rFonts w:hint="eastAsia" w:ascii="仿宋" w:hAnsi="仿宋" w:eastAsia="仿宋"/>
          <w:b/>
          <w:sz w:val="32"/>
          <w:szCs w:val="32"/>
        </w:rPr>
        <w:t>（一）一般公共预算财政拨款支出决算总体情况</w:t>
      </w:r>
      <w:bookmarkEnd w:id="40"/>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hint="eastAsia" w:ascii="仿宋" w:hAnsi="仿宋" w:eastAsia="仿宋"/>
          <w:b/>
          <w:sz w:val="32"/>
          <w:szCs w:val="32"/>
        </w:rPr>
        <w:t>861.95</w:t>
      </w:r>
      <w:r>
        <w:rPr>
          <w:rFonts w:hint="eastAsia" w:ascii="仿宋" w:hAnsi="仿宋" w:eastAsia="仿宋"/>
          <w:sz w:val="32"/>
          <w:szCs w:val="32"/>
        </w:rPr>
        <w:t>万元，占本年支出合计的100%。与2022年度相比，一般公共预算财政拨款支出增加130.81万元，增长17.89%。主要变动原因是生均公用经费提高和项目支出增加。</w:t>
      </w:r>
    </w:p>
    <w:p>
      <w:pPr>
        <w:pStyle w:val="2"/>
        <w:spacing w:before="93"/>
        <w:rPr>
          <w:rFonts w:ascii="仿宋" w:hAnsi="仿宋" w:eastAsia="仿宋"/>
          <w:sz w:val="32"/>
          <w:szCs w:val="32"/>
        </w:rPr>
      </w:pPr>
      <w:r>
        <w:pict>
          <v:shape id="_x0000_s1030" o:spid="_x0000_s1030" o:spt="75" type="#_x0000_t75" style="position:absolute;left:0pt;margin-left:55.55pt;margin-top:3pt;height:158.7pt;width:301.85pt;z-index:251664384;mso-width-relative:page;mso-height-relative:page;" o:ole="t" filled="f" o:preferrelative="t" stroked="f" coordsize="21600,21600">
            <v:path/>
            <v:fill on="f" focussize="0,0"/>
            <v:stroke on="f" joinstyle="miter"/>
            <v:imagedata r:id="rId17" o:title=""/>
            <o:lock v:ext="edit" aspectratio="t"/>
          </v:shape>
          <o:OLEObject Type="Embed" ProgID="Excel.Sheet.8" ShapeID="_x0000_s1030" DrawAspect="Content" ObjectID="_1468075729" r:id="rId16">
            <o:LockedField>false</o:LockedField>
          </o:OLEObject>
        </w:pict>
      </w: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（图5：2023年一般公共预算财政拨款支出决算变动情况）</w:t>
      </w:r>
    </w:p>
    <w:p>
      <w:pPr>
        <w:spacing w:line="600" w:lineRule="exact"/>
        <w:ind w:firstLine="643" w:firstLineChars="200"/>
        <w:outlineLvl w:val="2"/>
        <w:rPr>
          <w:rFonts w:ascii="仿宋" w:hAnsi="仿宋" w:eastAsia="仿宋"/>
          <w:b/>
          <w:sz w:val="32"/>
          <w:szCs w:val="32"/>
        </w:rPr>
      </w:pPr>
      <w:bookmarkStart w:id="41" w:name="_Toc15377211"/>
      <w:r>
        <w:rPr>
          <w:rFonts w:hint="eastAsia" w:ascii="仿宋" w:hAnsi="仿宋" w:eastAsia="仿宋"/>
          <w:b/>
          <w:sz w:val="32"/>
          <w:szCs w:val="32"/>
        </w:rPr>
        <w:t>（二）一般公共预算财政拨款支出决算结构情况</w:t>
      </w:r>
      <w:bookmarkEnd w:id="41"/>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rFonts w:hint="eastAsia" w:ascii="仿宋" w:hAnsi="仿宋" w:eastAsia="仿宋"/>
          <w:b/>
          <w:sz w:val="32"/>
          <w:szCs w:val="32"/>
        </w:rPr>
        <w:t>861.95</w:t>
      </w:r>
      <w:r>
        <w:rPr>
          <w:rFonts w:hint="eastAsia" w:ascii="仿宋" w:hAnsi="仿宋" w:eastAsia="仿宋"/>
          <w:sz w:val="32"/>
          <w:szCs w:val="32"/>
        </w:rPr>
        <w:t>万元，主要用于以下方面:教育支出604.73万元，占70.16%；社会保障和就业支出150.2万元，占17.43%；卫生健康支出27.56万元，占3.2%；住房保障支出82.45万元，占9.57%。</w:t>
      </w:r>
    </w:p>
    <w:p>
      <w:pPr>
        <w:spacing w:line="600" w:lineRule="exact"/>
        <w:ind w:firstLine="640"/>
        <w:rPr>
          <w:rFonts w:ascii="仿宋" w:hAnsi="仿宋" w:eastAsia="仿宋"/>
          <w:sz w:val="32"/>
          <w:szCs w:val="32"/>
        </w:rPr>
      </w:pPr>
      <w:r>
        <w:rPr>
          <w:rFonts w:ascii="仿宋" w:hAnsi="仿宋" w:eastAsia="仿宋"/>
          <w:sz w:val="32"/>
          <w:szCs w:val="32"/>
        </w:rPr>
        <w:pict>
          <v:shape id="_x0000_s1031" o:spid="_x0000_s1031" o:spt="75" type="#_x0000_t75" style="position:absolute;left:0pt;margin-left:51.35pt;margin-top:2.75pt;height:198.8pt;width:297.65pt;z-index:251665408;mso-width-relative:page;mso-height-relative:page;" o:ole="t" filled="f" o:preferrelative="t" stroked="f" coordsize="21600,21600">
            <v:path/>
            <v:fill on="f" focussize="0,0"/>
            <v:stroke on="f" joinstyle="miter"/>
            <v:imagedata r:id="rId19" o:title=""/>
            <o:lock v:ext="edit" aspectratio="t"/>
          </v:shape>
          <o:OLEObject Type="Embed" ProgID="Excel.Sheet.8" ShapeID="_x0000_s1031" DrawAspect="Content" ObjectID="_1468075730" r:id="rId18">
            <o:LockedField>false</o:LockedField>
          </o:OLEObject>
        </w:pict>
      </w: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pStyle w:val="2"/>
        <w:spacing w:before="93"/>
      </w:pPr>
    </w:p>
    <w:p>
      <w:pPr>
        <w:pStyle w:val="2"/>
        <w:spacing w:before="93"/>
      </w:pPr>
    </w:p>
    <w:p>
      <w:pPr>
        <w:spacing w:line="600" w:lineRule="exact"/>
        <w:rPr>
          <w:rFonts w:ascii="仿宋" w:hAnsi="仿宋" w:eastAsia="仿宋"/>
          <w:sz w:val="32"/>
          <w:szCs w:val="32"/>
        </w:rPr>
      </w:pPr>
      <w:r>
        <w:rPr>
          <w:rFonts w:hint="eastAsia" w:ascii="仿宋" w:hAnsi="仿宋" w:eastAsia="仿宋"/>
          <w:sz w:val="32"/>
          <w:szCs w:val="32"/>
        </w:rPr>
        <w:t>（图6：2023年一般公共预算财政拨款支出决算结构）</w:t>
      </w:r>
    </w:p>
    <w:p>
      <w:pPr>
        <w:spacing w:line="600" w:lineRule="exact"/>
        <w:ind w:firstLine="643" w:firstLineChars="200"/>
        <w:outlineLvl w:val="2"/>
        <w:rPr>
          <w:rFonts w:ascii="仿宋" w:hAnsi="仿宋" w:eastAsia="仿宋"/>
          <w:b/>
          <w:sz w:val="32"/>
          <w:szCs w:val="32"/>
        </w:rPr>
      </w:pPr>
      <w:bookmarkStart w:id="42" w:name="_Toc15377212"/>
      <w:r>
        <w:rPr>
          <w:rFonts w:hint="eastAsia" w:ascii="仿宋" w:hAnsi="仿宋" w:eastAsia="仿宋"/>
          <w:b/>
          <w:sz w:val="32"/>
          <w:szCs w:val="32"/>
        </w:rPr>
        <w:t>（三）一般公共预算财政拨款支出决算具体情况</w:t>
      </w:r>
      <w:bookmarkEnd w:id="42"/>
    </w:p>
    <w:p>
      <w:pPr>
        <w:spacing w:line="600" w:lineRule="exact"/>
        <w:ind w:firstLine="643" w:firstLineChars="200"/>
        <w:outlineLvl w:val="2"/>
        <w:rPr>
          <w:rFonts w:ascii="仿宋" w:hAnsi="仿宋" w:eastAsia="仿宋"/>
          <w:b/>
          <w:sz w:val="32"/>
          <w:szCs w:val="32"/>
        </w:rPr>
      </w:pPr>
      <w:bookmarkStart w:id="43" w:name="_Toc15377213"/>
      <w:bookmarkStart w:id="44" w:name="_Toc15377444"/>
      <w:bookmarkStart w:id="45" w:name="_Toc15378460"/>
      <w:bookmarkStart w:id="46" w:name="_Toc606"/>
      <w:r>
        <w:rPr>
          <w:rFonts w:hint="eastAsia" w:ascii="仿宋" w:hAnsi="仿宋" w:eastAsia="仿宋"/>
          <w:b/>
          <w:sz w:val="32"/>
          <w:szCs w:val="32"/>
        </w:rPr>
        <w:t>2023年度一般公共预算支出决算数为861.92万元，完成预算100%。其中：</w:t>
      </w:r>
      <w:bookmarkEnd w:id="43"/>
      <w:bookmarkEnd w:id="44"/>
      <w:bookmarkEnd w:id="45"/>
      <w:bookmarkEnd w:id="46"/>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1.教育（205）普通教育（02）学前教育（01）: 支出决算为2.93万元，完成预算100%。</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2.教育（205）普通教育（02）小学教育（02）: 支出决算为439.18万元，完成预算100%。</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3.教育（205）普通教育（02）初中教育（03）: 支出决算为159.63万元，完成预算100%。</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 xml:space="preserve">    4.教育（205）普通教育（02）其他普通教育支出（99）: 支出决算为0万元，完成预算0。</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5.社会保障和就业支出（208）行政事业单位养老支出（05）事业单位离休费（02）: 支出决算为0万元，完成预算0%。</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6.社会保障和就业支出（208）行政事业单位养老支出（05）机关事业单位基本养老保险缴费支出（05）: 支出决算为55.06万元，完成预算100%。</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7.社会保障和就业支出（208）行政事业单位养老支出（05）其他行政事业单位养老支出（99）: 支出决算为89.68万元，完成预算100%。</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8.社会保障和就业支出（208）抚恤（08）死亡抚恤（01）: 支出决算为5.46万元，完成预算100%。</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9.卫生健康支出（210）行政事业单位医疗（11）事业单位医疗（02）:支出决算为27.56万元，完成预算100%。</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10.住房保障支出（221）住房改革支出（02）住房公积金（01）:支出决算为82.45万元，完成预算100%，决算数小于预算数的主要原因是人员变动。</w:t>
      </w:r>
    </w:p>
    <w:p>
      <w:pPr>
        <w:tabs>
          <w:tab w:val="right" w:pos="8306"/>
        </w:tabs>
        <w:spacing w:line="600" w:lineRule="exact"/>
        <w:ind w:firstLine="640"/>
        <w:outlineLvl w:val="1"/>
        <w:rPr>
          <w:rStyle w:val="29"/>
        </w:rPr>
      </w:pPr>
      <w:bookmarkStart w:id="47" w:name="_Toc15377214"/>
      <w:bookmarkStart w:id="48" w:name="_Toc15396608"/>
      <w:bookmarkStart w:id="49" w:name="_Toc10571"/>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7"/>
      <w:bookmarkEnd w:id="48"/>
      <w:bookmarkEnd w:id="49"/>
      <w:r>
        <w:rPr>
          <w:rStyle w:val="29"/>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hint="eastAsia" w:ascii="仿宋" w:hAnsi="仿宋" w:eastAsia="仿宋"/>
          <w:b/>
          <w:sz w:val="32"/>
          <w:szCs w:val="32"/>
        </w:rPr>
        <w:t>861.95</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684.49万元，主要包括：基本工资193.64万元、津贴补贴10.13万元、奖金、伙食补助费、绩效工资112.48万元、机关事业单位基本养老保险缴费55.06万元、职业年金缴费、其他社会保障缴费、其他工资福利支出10.61万元、离休费、退休费0万元、抚恤金5.46万元、生活补助100.34万元、职工基本医疗保险缴费27.56万元、奖励金0万元、住房公积金82.45万元、其他对个人和家庭的补助支出等。</w:t>
      </w:r>
      <w:r>
        <w:rPr>
          <w:rFonts w:ascii="仿宋" w:hAnsi="仿宋" w:eastAsia="仿宋"/>
          <w:sz w:val="32"/>
          <w:szCs w:val="32"/>
        </w:rPr>
        <w:br w:type="textWrapping"/>
      </w:r>
      <w:r>
        <w:rPr>
          <w:rFonts w:hint="eastAsia" w:ascii="仿宋" w:hAnsi="仿宋" w:eastAsia="仿宋"/>
          <w:sz w:val="32"/>
          <w:szCs w:val="32"/>
        </w:rPr>
        <w:t>　　公用经费168.32万元，主要包括：办公费14.17万元、印刷费1.34万元、咨询费、手续费0.003万元、水费0.12万元、电费0.75万元、邮电费0.47万元、取暖费、物业管理费、差旅费3.14万元、因公出国（境）费用、维修（护）费12.91万元、租赁费、会议费0.07万元、培训费0.01万元、公务接待费0万元、劳务费52.67万元、委托业务费0.15万元、工会经费17.71万元、福利费18.46万元、公务用车运行维护费、其他交通费、税金及附加费用、其他商品和服务支出48.79万元、办公设备购置、专用设备购置、信息网络及软件购置更新、其他资本性支出等。</w:t>
      </w:r>
    </w:p>
    <w:p>
      <w:pPr>
        <w:spacing w:line="600" w:lineRule="exact"/>
        <w:ind w:firstLine="640"/>
        <w:outlineLvl w:val="1"/>
        <w:rPr>
          <w:rStyle w:val="29"/>
          <w:rFonts w:ascii="黑体" w:hAnsi="黑体" w:eastAsia="黑体"/>
          <w:b w:val="0"/>
        </w:rPr>
      </w:pPr>
      <w:bookmarkStart w:id="50" w:name="_Toc5958"/>
      <w:bookmarkStart w:id="51" w:name="_Toc15396609"/>
      <w:bookmarkStart w:id="52"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50"/>
      <w:bookmarkEnd w:id="51"/>
      <w:bookmarkEnd w:id="52"/>
    </w:p>
    <w:p>
      <w:pPr>
        <w:spacing w:line="600" w:lineRule="exact"/>
        <w:ind w:firstLine="640"/>
        <w:outlineLvl w:val="2"/>
        <w:rPr>
          <w:rFonts w:ascii="仿宋" w:hAnsi="仿宋" w:eastAsia="仿宋"/>
          <w:b/>
          <w:sz w:val="32"/>
          <w:szCs w:val="32"/>
        </w:rPr>
      </w:pPr>
      <w:bookmarkStart w:id="53" w:name="_Toc15377216"/>
      <w:r>
        <w:rPr>
          <w:rFonts w:hint="eastAsia" w:ascii="仿宋" w:hAnsi="仿宋" w:eastAsia="仿宋"/>
          <w:b/>
          <w:sz w:val="32"/>
          <w:szCs w:val="32"/>
        </w:rPr>
        <w:t>（一）“三公”经费财政拨款支出决算总体情况说明</w:t>
      </w:r>
      <w:bookmarkEnd w:id="53"/>
    </w:p>
    <w:p>
      <w:pPr>
        <w:spacing w:line="600" w:lineRule="exact"/>
        <w:ind w:firstLine="640"/>
        <w:rPr>
          <w:rFonts w:ascii="仿宋" w:hAnsi="仿宋" w:eastAsia="仿宋"/>
          <w:sz w:val="32"/>
          <w:szCs w:val="32"/>
          <w:highlight w:val="yellow"/>
        </w:rPr>
      </w:pPr>
      <w:r>
        <w:rPr>
          <w:rFonts w:hint="eastAsia" w:ascii="仿宋" w:hAnsi="仿宋" w:eastAsia="仿宋"/>
          <w:sz w:val="32"/>
          <w:szCs w:val="32"/>
        </w:rPr>
        <w:t>2023年度“三公”经费财政拨款支出决算为</w:t>
      </w:r>
      <w:r>
        <w:rPr>
          <w:rFonts w:hint="eastAsia"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54" w:name="_Toc15377217"/>
      <w:r>
        <w:rPr>
          <w:rFonts w:hint="eastAsia" w:ascii="仿宋" w:hAnsi="仿宋" w:eastAsia="仿宋"/>
          <w:b/>
          <w:sz w:val="32"/>
          <w:szCs w:val="32"/>
        </w:rPr>
        <w:t>（二）“三公”经费财政拨款支出决算具体情况说明</w:t>
      </w:r>
      <w:bookmarkEnd w:id="54"/>
    </w:p>
    <w:p>
      <w:pPr>
        <w:spacing w:line="600" w:lineRule="exact"/>
        <w:rPr>
          <w:rFonts w:ascii="仿宋" w:hAnsi="仿宋" w:eastAsia="仿宋"/>
          <w:sz w:val="32"/>
          <w:szCs w:val="32"/>
        </w:rPr>
      </w:pPr>
      <w:r>
        <w:rPr>
          <w:rFonts w:hint="eastAsia" w:ascii="仿宋" w:hAnsi="仿宋" w:eastAsia="仿宋"/>
          <w:sz w:val="32"/>
          <w:szCs w:val="32"/>
        </w:rPr>
        <w:t>2023年度“三公”经费财政拨款支出决算中，因公出国（境）费支出决算0万元，占0%；公务用车购置及运行维护费支出决算0万元，占0%；公务接待费支出决算0.1万元，占10%。具体情况如下：</w:t>
      </w:r>
    </w:p>
    <w:p>
      <w:pPr>
        <w:spacing w:line="600" w:lineRule="exact"/>
        <w:ind w:firstLine="640"/>
        <w:rPr>
          <w:rFonts w:ascii="仿宋" w:hAnsi="仿宋" w:eastAsia="仿宋"/>
          <w:sz w:val="32"/>
          <w:szCs w:val="32"/>
        </w:rPr>
      </w:pPr>
      <w:r>
        <w:drawing>
          <wp:anchor distT="0" distB="0" distL="114300" distR="114300" simplePos="0" relativeHeight="251666432" behindDoc="0" locked="0" layoutInCell="1" allowOverlap="1">
            <wp:simplePos x="0" y="0"/>
            <wp:positionH relativeFrom="margin">
              <wp:posOffset>516255</wp:posOffset>
            </wp:positionH>
            <wp:positionV relativeFrom="margin">
              <wp:posOffset>-774700</wp:posOffset>
            </wp:positionV>
            <wp:extent cx="4262120" cy="2204720"/>
            <wp:effectExtent l="19050" t="0" r="24130" b="5080"/>
            <wp:wrapTopAndBottom/>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bookmarkStart w:id="55" w:name="_Toc15396610"/>
      <w:bookmarkStart w:id="56" w:name="_Toc15377218"/>
      <w:r>
        <w:rPr>
          <w:rFonts w:ascii="仿宋_GB2312" w:eastAsia="仿宋_GB2312"/>
          <w:b/>
          <w:sz w:val="32"/>
          <w:szCs w:val="32"/>
        </w:rPr>
        <w:t>1</w:t>
      </w:r>
      <w:r>
        <w:rPr>
          <w:rFonts w:hint="eastAsia" w:ascii="仿宋_GB2312" w:eastAsia="仿宋_GB2312"/>
          <w:b/>
          <w:sz w:val="32"/>
          <w:szCs w:val="32"/>
        </w:rPr>
        <w:t>.因公出国（境）经费支出0万元，完成预算0%。全年安排因公出国（境）团组0次，出国（境）0人。</w:t>
      </w:r>
    </w:p>
    <w:p>
      <w:pPr>
        <w:spacing w:line="600" w:lineRule="exact"/>
        <w:ind w:firstLine="640"/>
        <w:rPr>
          <w:rFonts w:ascii="仿宋_GB2312" w:eastAsia="仿宋_GB2312"/>
          <w:b/>
          <w:sz w:val="32"/>
          <w:szCs w:val="32"/>
          <w:highlight w:val="yellow"/>
        </w:rPr>
      </w:pPr>
      <w:r>
        <w:rPr>
          <w:rFonts w:hint="eastAsia" w:ascii="仿宋_GB2312" w:eastAsia="仿宋_GB2312"/>
          <w:b/>
          <w:sz w:val="32"/>
          <w:szCs w:val="32"/>
        </w:rPr>
        <w:t>2.公务用车购置及运行维护费支出0万元,完成预算0%。公务用车购置及运行维护费支出决算与2022年持平。</w:t>
      </w:r>
    </w:p>
    <w:p>
      <w:pPr>
        <w:spacing w:line="600" w:lineRule="exact"/>
        <w:ind w:firstLine="640"/>
        <w:rPr>
          <w:rFonts w:ascii="仿宋_GB2312" w:eastAsia="仿宋_GB2312"/>
          <w:b/>
          <w:sz w:val="32"/>
          <w:szCs w:val="32"/>
        </w:rPr>
      </w:pPr>
      <w:r>
        <w:rPr>
          <w:rFonts w:hint="eastAsia" w:ascii="仿宋_GB2312" w:eastAsia="仿宋_GB2312"/>
          <w:b/>
          <w:sz w:val="32"/>
          <w:szCs w:val="32"/>
        </w:rPr>
        <w:t>其中：公务用车购置支出0万元。全年按规定更新购置公务用车0辆，其中：轿车0辆、金额0万元，越野车0辆、金额0万元，载客汽车0辆、金额0万元。截至2023年12月31日，单位共有公务用车0辆，其中：轿车0辆、越野车0辆、载客汽车0辆。</w:t>
      </w:r>
    </w:p>
    <w:p>
      <w:pPr>
        <w:spacing w:line="600" w:lineRule="exact"/>
        <w:ind w:firstLine="640"/>
        <w:rPr>
          <w:rFonts w:ascii="仿宋_GB2312" w:eastAsia="仿宋_GB2312"/>
          <w:b/>
          <w:sz w:val="32"/>
          <w:szCs w:val="32"/>
        </w:rPr>
      </w:pPr>
      <w:r>
        <w:rPr>
          <w:rFonts w:hint="eastAsia" w:ascii="仿宋_GB2312" w:eastAsia="仿宋_GB2312"/>
          <w:b/>
          <w:sz w:val="32"/>
          <w:szCs w:val="32"/>
        </w:rPr>
        <w:t>公务用车运行维护费支出0万元。</w:t>
      </w:r>
    </w:p>
    <w:p>
      <w:pPr>
        <w:spacing w:line="600" w:lineRule="exact"/>
        <w:ind w:firstLine="640"/>
        <w:rPr>
          <w:rFonts w:ascii="仿宋_GB2312" w:eastAsia="仿宋_GB2312"/>
          <w:b/>
          <w:sz w:val="32"/>
          <w:szCs w:val="32"/>
        </w:rPr>
      </w:pPr>
      <w:r>
        <w:rPr>
          <w:rFonts w:hint="eastAsia" w:ascii="仿宋_GB2312" w:eastAsia="仿宋_GB2312"/>
          <w:b/>
          <w:sz w:val="32"/>
          <w:szCs w:val="32"/>
        </w:rPr>
        <w:t>3.公务接待费支出0万元，完成预算100%。公务接待费支出决算比2022年度减少0.17万元，下降100%。主要原因是学校认真贯彻中央八项规定精神和厉行节约精神要求。其中：</w:t>
      </w:r>
    </w:p>
    <w:p>
      <w:pPr>
        <w:spacing w:line="600" w:lineRule="exact"/>
        <w:ind w:firstLine="640"/>
        <w:rPr>
          <w:rFonts w:ascii="仿宋_GB2312" w:eastAsia="仿宋_GB2312"/>
          <w:b/>
          <w:sz w:val="32"/>
          <w:szCs w:val="32"/>
        </w:rPr>
      </w:pPr>
      <w:r>
        <w:rPr>
          <w:rFonts w:hint="eastAsia" w:ascii="仿宋_GB2312" w:eastAsia="仿宋_GB2312"/>
          <w:b/>
          <w:sz w:val="32"/>
          <w:szCs w:val="32"/>
        </w:rPr>
        <w:t>国内公务接待支出0万元。</w:t>
      </w:r>
    </w:p>
    <w:p>
      <w:pPr>
        <w:spacing w:line="600" w:lineRule="exact"/>
        <w:ind w:firstLine="640"/>
        <w:rPr>
          <w:rFonts w:ascii="仿宋_GB2312" w:eastAsia="仿宋_GB2312"/>
          <w:b/>
          <w:sz w:val="32"/>
          <w:szCs w:val="32"/>
        </w:rPr>
      </w:pPr>
      <w:r>
        <w:rPr>
          <w:rFonts w:hint="eastAsia" w:ascii="仿宋_GB2312" w:eastAsia="仿宋_GB2312"/>
          <w:b/>
          <w:sz w:val="32"/>
          <w:szCs w:val="32"/>
        </w:rPr>
        <w:t>外事接待支出0万元。</w:t>
      </w:r>
    </w:p>
    <w:p>
      <w:pPr>
        <w:spacing w:line="600" w:lineRule="exact"/>
        <w:ind w:firstLine="640"/>
        <w:outlineLvl w:val="1"/>
        <w:rPr>
          <w:rStyle w:val="29"/>
          <w:rFonts w:ascii="黑体" w:hAnsi="黑体" w:eastAsia="黑体"/>
        </w:rPr>
      </w:pPr>
      <w:bookmarkStart w:id="57" w:name="_Toc14850"/>
      <w:r>
        <w:rPr>
          <w:rFonts w:hint="eastAsia" w:ascii="黑体" w:eastAsia="黑体"/>
          <w:sz w:val="32"/>
          <w:szCs w:val="32"/>
        </w:rPr>
        <w:t>八、</w:t>
      </w:r>
      <w:r>
        <w:rPr>
          <w:rStyle w:val="29"/>
          <w:rFonts w:hint="eastAsia" w:ascii="黑体" w:hAnsi="黑体" w:eastAsia="黑体"/>
          <w:b w:val="0"/>
        </w:rPr>
        <w:t>政府性基金预算支出决算情况说明</w:t>
      </w:r>
      <w:bookmarkEnd w:id="55"/>
      <w:bookmarkEnd w:id="56"/>
      <w:bookmarkEnd w:id="57"/>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58" w:name="_Toc15377219"/>
      <w:bookmarkStart w:id="59" w:name="_Toc15396611"/>
      <w:bookmarkStart w:id="60" w:name="_Toc3314"/>
      <w:r>
        <w:rPr>
          <w:rStyle w:val="29"/>
          <w:rFonts w:hint="eastAsia" w:ascii="黑体" w:hAnsi="黑体" w:eastAsia="黑体"/>
          <w:b w:val="0"/>
        </w:rPr>
        <w:t>国有资本经营预算支出决算情况说明</w:t>
      </w:r>
      <w:bookmarkEnd w:id="58"/>
      <w:bookmarkEnd w:id="59"/>
      <w:bookmarkEnd w:id="60"/>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61" w:name="_Toc15377221"/>
      <w:bookmarkStart w:id="62" w:name="_Toc7975"/>
      <w:bookmarkStart w:id="63" w:name="_Toc15396612"/>
      <w:r>
        <w:rPr>
          <w:rStyle w:val="29"/>
          <w:rFonts w:hint="eastAsia" w:ascii="黑体" w:hAnsi="黑体" w:eastAsia="黑体"/>
          <w:b w:val="0"/>
        </w:rPr>
        <w:t>其他重要事项的情况说明</w:t>
      </w:r>
      <w:bookmarkEnd w:id="61"/>
      <w:bookmarkEnd w:id="62"/>
      <w:bookmarkEnd w:id="63"/>
    </w:p>
    <w:p>
      <w:pPr>
        <w:spacing w:line="600" w:lineRule="exact"/>
        <w:ind w:firstLine="643" w:firstLineChars="200"/>
        <w:outlineLvl w:val="2"/>
        <w:rPr>
          <w:rFonts w:ascii="仿宋" w:hAnsi="仿宋" w:eastAsia="仿宋"/>
          <w:sz w:val="32"/>
          <w:szCs w:val="32"/>
        </w:rPr>
      </w:pPr>
      <w:bookmarkStart w:id="64" w:name="_Toc15377222"/>
      <w:r>
        <w:rPr>
          <w:rFonts w:hint="eastAsia" w:ascii="仿宋" w:hAnsi="仿宋" w:eastAsia="仿宋"/>
          <w:b/>
          <w:sz w:val="32"/>
          <w:szCs w:val="32"/>
        </w:rPr>
        <w:t>（一）机关运行经费支出情况</w:t>
      </w:r>
      <w:bookmarkEnd w:id="64"/>
    </w:p>
    <w:p>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2023年度，无机关运行经费支出。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5" w:name="_Toc15377223"/>
      <w:r>
        <w:rPr>
          <w:rFonts w:hint="eastAsia" w:ascii="仿宋" w:hAnsi="仿宋" w:eastAsia="仿宋"/>
          <w:b/>
          <w:sz w:val="32"/>
          <w:szCs w:val="32"/>
        </w:rPr>
        <w:t>（二）政府采购支出情况</w:t>
      </w:r>
      <w:bookmarkEnd w:id="65"/>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大竹县石河镇李家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4"/>
      <w:r>
        <w:rPr>
          <w:rFonts w:hint="eastAsia" w:ascii="仿宋" w:hAnsi="仿宋" w:eastAsia="仿宋"/>
          <w:b/>
          <w:sz w:val="32"/>
          <w:szCs w:val="32"/>
        </w:rPr>
        <w:t>（三）国有资产占有使用情况</w:t>
      </w:r>
      <w:bookmarkEnd w:id="66"/>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截至2023年12月31日，大竹县石河镇李家学校共有车辆0辆，其中：主要领导干部用车0辆、机要通信用车0辆、应急保障用车0辆、其他用车0辆。单价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w:t>
      </w:r>
      <w:r>
        <w:rPr>
          <w:rFonts w:hint="eastAsia" w:ascii="仿宋_GB2312" w:hAnsi="仿宋_GB2312" w:eastAsia="仿宋_GB2312" w:cs="仿宋_GB2312"/>
          <w:sz w:val="32"/>
          <w:szCs w:val="32"/>
        </w:rPr>
        <w:t>组织对</w:t>
      </w:r>
      <w:r>
        <w:rPr>
          <w:rFonts w:hint="eastAsia" w:hAnsi="仿宋_GB2312" w:cs="仿宋_GB2312"/>
          <w:sz w:val="32"/>
          <w:szCs w:val="32"/>
        </w:rPr>
        <w:t>0</w:t>
      </w:r>
      <w:r>
        <w:rPr>
          <w:rFonts w:hint="eastAsia" w:ascii="仿宋_GB2312" w:hAnsi="仿宋_GB2312" w:eastAsia="仿宋_GB2312" w:cs="仿宋_GB2312"/>
          <w:sz w:val="32"/>
          <w:szCs w:val="32"/>
        </w:rPr>
        <w:t>项目（项目名称）等</w:t>
      </w:r>
      <w:r>
        <w:rPr>
          <w:rFonts w:hint="eastAsia" w:hAnsi="仿宋_GB2312" w:cs="仿宋_GB2312"/>
          <w:sz w:val="32"/>
          <w:szCs w:val="32"/>
        </w:rPr>
        <w:t>0</w:t>
      </w:r>
      <w:r>
        <w:rPr>
          <w:rFonts w:hint="eastAsia" w:ascii="仿宋_GB2312" w:hAnsi="仿宋_GB2312" w:eastAsia="仿宋_GB2312" w:cs="仿宋_GB2312"/>
          <w:sz w:val="32"/>
          <w:szCs w:val="32"/>
        </w:rPr>
        <w:t>个项目开展了预算事前绩效评估，对</w:t>
      </w:r>
      <w:r>
        <w:rPr>
          <w:rFonts w:hint="eastAsia" w:hAnsi="仿宋_GB2312" w:cs="仿宋_GB2312"/>
          <w:sz w:val="32"/>
          <w:szCs w:val="32"/>
        </w:rPr>
        <w:t>0</w:t>
      </w:r>
      <w:r>
        <w:rPr>
          <w:rFonts w:hint="eastAsia" w:ascii="仿宋_GB2312" w:hAnsi="仿宋_GB2312" w:eastAsia="仿宋_GB2312" w:cs="仿宋_GB2312"/>
          <w:sz w:val="32"/>
          <w:szCs w:val="32"/>
        </w:rPr>
        <w:t>个项目编制了绩效目标，预算执行过程中，选取</w:t>
      </w:r>
      <w:r>
        <w:rPr>
          <w:rFonts w:hint="eastAsia" w:hAnsi="仿宋_GB2312" w:cs="仿宋_GB2312"/>
          <w:sz w:val="32"/>
          <w:szCs w:val="32"/>
        </w:rPr>
        <w:t>0</w:t>
      </w:r>
      <w:r>
        <w:rPr>
          <w:rFonts w:hint="eastAsia" w:ascii="仿宋_GB2312" w:hAnsi="仿宋_GB2312" w:eastAsia="仿宋_GB2312" w:cs="仿宋_GB2312"/>
          <w:sz w:val="32"/>
          <w:szCs w:val="32"/>
        </w:rPr>
        <w:t>个项目开展绩效监控，组织对</w:t>
      </w:r>
      <w:r>
        <w:rPr>
          <w:rFonts w:hint="eastAsia" w:hAnsi="仿宋_GB2312" w:cs="仿宋_GB2312"/>
          <w:sz w:val="32"/>
          <w:szCs w:val="32"/>
        </w:rPr>
        <w:t>0</w:t>
      </w:r>
      <w:r>
        <w:rPr>
          <w:rFonts w:hint="eastAsia" w:ascii="仿宋_GB2312" w:hAnsi="仿宋_GB2312" w:eastAsia="仿宋_GB2312" w:cs="仿宋_GB2312"/>
          <w:sz w:val="32"/>
          <w:szCs w:val="32"/>
        </w:rPr>
        <w:t>个项目开展绩效自评，绩效自评表详见</w:t>
      </w:r>
      <w:r>
        <w:rPr>
          <w:rFonts w:hint="eastAsia" w:hAnsi="仿宋_GB2312" w:cs="仿宋_GB2312"/>
          <w:sz w:val="32"/>
          <w:szCs w:val="32"/>
        </w:rPr>
        <w:t>第四部分</w:t>
      </w:r>
      <w:r>
        <w:rPr>
          <w:rFonts w:hint="eastAsia" w:ascii="仿宋_GB2312" w:hAnsi="仿宋_GB2312" w:eastAsia="仿宋_GB2312" w:cs="仿宋_GB2312"/>
          <w:sz w:val="32"/>
          <w:szCs w:val="32"/>
        </w:rPr>
        <w:t>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67" w:name="_Toc15377225"/>
      <w:bookmarkStart w:id="68" w:name="_Toc15396613"/>
      <w:bookmarkStart w:id="69" w:name="_Toc21038"/>
      <w:r>
        <w:rPr>
          <w:rFonts w:hint="eastAsia" w:ascii="黑体" w:hAnsi="黑体" w:eastAsia="黑体"/>
          <w:sz w:val="44"/>
          <w:szCs w:val="44"/>
        </w:rPr>
        <w:t>名</w:t>
      </w:r>
      <w:r>
        <w:rPr>
          <w:rStyle w:val="28"/>
          <w:rFonts w:hint="eastAsia" w:ascii="黑体" w:hAnsi="黑体" w:eastAsia="黑体"/>
          <w:b w:val="0"/>
        </w:rPr>
        <w:t>词解释</w:t>
      </w:r>
      <w:bookmarkEnd w:id="67"/>
      <w:bookmarkEnd w:id="68"/>
      <w:bookmarkEnd w:id="69"/>
    </w:p>
    <w:p>
      <w:pPr>
        <w:spacing w:line="600" w:lineRule="exact"/>
        <w:jc w:val="left"/>
        <w:rPr>
          <w:rFonts w:ascii="宋体"/>
          <w:b/>
          <w:sz w:val="44"/>
          <w:szCs w:val="44"/>
        </w:rPr>
      </w:pPr>
    </w:p>
    <w:p>
      <w:pPr>
        <w:pStyle w:val="26"/>
        <w:spacing w:line="560" w:lineRule="exact"/>
        <w:ind w:firstLine="640" w:firstLineChars="200"/>
        <w:outlineLvl w:val="1"/>
        <w:rPr>
          <w:rFonts w:ascii="仿宋_GB2312" w:eastAsia="仿宋_GB2312"/>
          <w:color w:val="auto"/>
          <w:sz w:val="32"/>
          <w:szCs w:val="32"/>
        </w:rPr>
      </w:pPr>
      <w:bookmarkStart w:id="70" w:name="_Toc7187"/>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70"/>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color w:val="auto"/>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9.教育（205）普通教育（02）学前教育（01）</w:t>
      </w:r>
      <w:r>
        <w:rPr>
          <w:rFonts w:ascii="仿宋_GB2312" w:hAnsi="Calibri" w:eastAsia="仿宋_GB2312" w:cs="仿宋"/>
          <w:kern w:val="0"/>
          <w:sz w:val="32"/>
          <w:szCs w:val="32"/>
        </w:rPr>
        <w:t xml:space="preserve">: </w:t>
      </w:r>
      <w:r>
        <w:rPr>
          <w:rFonts w:hint="eastAsia" w:ascii="仿宋_GB2312" w:hAnsi="Calibri" w:eastAsia="仿宋_GB2312" w:cs="仿宋"/>
          <w:kern w:val="0"/>
          <w:sz w:val="32"/>
          <w:szCs w:val="32"/>
        </w:rPr>
        <w:t>指政府在教育事务支出中学前</w:t>
      </w:r>
      <w:r>
        <w:rPr>
          <w:rFonts w:ascii="仿宋_GB2312" w:hAnsi="Calibri" w:eastAsia="仿宋_GB2312" w:cs="仿宋"/>
          <w:kern w:val="0"/>
          <w:sz w:val="32"/>
          <w:szCs w:val="32"/>
        </w:rPr>
        <w:t>教育</w:t>
      </w:r>
      <w:r>
        <w:rPr>
          <w:rFonts w:hint="eastAsia" w:ascii="仿宋_GB2312" w:hAnsi="Calibri" w:eastAsia="仿宋_GB2312" w:cs="仿宋"/>
          <w:kern w:val="0"/>
          <w:sz w:val="32"/>
          <w:szCs w:val="32"/>
        </w:rPr>
        <w:t>方面</w:t>
      </w:r>
      <w:r>
        <w:rPr>
          <w:rFonts w:ascii="仿宋_GB2312" w:hAnsi="Calibri" w:eastAsia="仿宋_GB2312" w:cs="仿宋"/>
          <w:kern w:val="0"/>
          <w:sz w:val="32"/>
          <w:szCs w:val="32"/>
        </w:rPr>
        <w:t>支出</w:t>
      </w:r>
      <w:r>
        <w:rPr>
          <w:rFonts w:hint="eastAsia" w:ascii="仿宋_GB2312" w:hAnsi="Calibri" w:eastAsia="仿宋_GB2312" w:cs="仿宋"/>
          <w:kern w:val="0"/>
          <w:sz w:val="32"/>
          <w:szCs w:val="32"/>
        </w:rPr>
        <w:t>。</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10</w:t>
      </w:r>
      <w:r>
        <w:rPr>
          <w:rFonts w:ascii="仿宋_GB2312" w:hAnsi="Calibri" w:eastAsia="仿宋_GB2312" w:cs="仿宋"/>
          <w:kern w:val="0"/>
          <w:sz w:val="32"/>
          <w:szCs w:val="32"/>
        </w:rPr>
        <w:t>.</w:t>
      </w:r>
      <w:r>
        <w:rPr>
          <w:rFonts w:hint="eastAsia" w:ascii="仿宋_GB2312" w:hAnsi="Calibri" w:eastAsia="仿宋_GB2312" w:cs="仿宋"/>
          <w:kern w:val="0"/>
          <w:sz w:val="32"/>
          <w:szCs w:val="32"/>
        </w:rPr>
        <w:t>教育（205）普通教育（02）小学教育（02）</w:t>
      </w:r>
      <w:r>
        <w:rPr>
          <w:rFonts w:ascii="仿宋_GB2312" w:hAnsi="Calibri" w:eastAsia="仿宋_GB2312" w:cs="仿宋"/>
          <w:kern w:val="0"/>
          <w:sz w:val="32"/>
          <w:szCs w:val="32"/>
        </w:rPr>
        <w:t xml:space="preserve">: </w:t>
      </w:r>
      <w:r>
        <w:rPr>
          <w:rFonts w:hint="eastAsia" w:ascii="仿宋_GB2312" w:hAnsi="Calibri" w:eastAsia="仿宋_GB2312" w:cs="仿宋"/>
          <w:kern w:val="0"/>
          <w:sz w:val="32"/>
          <w:szCs w:val="32"/>
        </w:rPr>
        <w:t>指政府在教育事务支出中小学</w:t>
      </w:r>
      <w:r>
        <w:rPr>
          <w:rFonts w:ascii="仿宋_GB2312" w:hAnsi="Calibri" w:eastAsia="仿宋_GB2312" w:cs="仿宋"/>
          <w:kern w:val="0"/>
          <w:sz w:val="32"/>
          <w:szCs w:val="32"/>
        </w:rPr>
        <w:t>教育</w:t>
      </w:r>
      <w:r>
        <w:rPr>
          <w:rFonts w:hint="eastAsia" w:ascii="仿宋_GB2312" w:hAnsi="Calibri" w:eastAsia="仿宋_GB2312" w:cs="仿宋"/>
          <w:kern w:val="0"/>
          <w:sz w:val="32"/>
          <w:szCs w:val="32"/>
        </w:rPr>
        <w:t>方面</w:t>
      </w:r>
      <w:r>
        <w:rPr>
          <w:rFonts w:ascii="仿宋_GB2312" w:hAnsi="Calibri" w:eastAsia="仿宋_GB2312" w:cs="仿宋"/>
          <w:kern w:val="0"/>
          <w:sz w:val="32"/>
          <w:szCs w:val="32"/>
        </w:rPr>
        <w:t>支出</w:t>
      </w:r>
      <w:r>
        <w:rPr>
          <w:rFonts w:hint="eastAsia" w:ascii="仿宋_GB2312" w:hAnsi="Calibri" w:eastAsia="仿宋_GB2312" w:cs="仿宋"/>
          <w:kern w:val="0"/>
          <w:sz w:val="32"/>
          <w:szCs w:val="32"/>
        </w:rPr>
        <w:t>。</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11</w:t>
      </w:r>
      <w:r>
        <w:rPr>
          <w:rFonts w:ascii="仿宋_GB2312" w:hAnsi="Calibri" w:eastAsia="仿宋_GB2312" w:cs="仿宋"/>
          <w:kern w:val="0"/>
          <w:sz w:val="32"/>
          <w:szCs w:val="32"/>
        </w:rPr>
        <w:t>.</w:t>
      </w:r>
      <w:r>
        <w:rPr>
          <w:rFonts w:hint="eastAsia" w:ascii="仿宋_GB2312" w:hAnsi="Calibri" w:eastAsia="仿宋_GB2312" w:cs="仿宋"/>
          <w:kern w:val="0"/>
          <w:sz w:val="32"/>
          <w:szCs w:val="32"/>
        </w:rPr>
        <w:t>教育（205）普通教育（02）初中教育（03）</w:t>
      </w:r>
      <w:r>
        <w:rPr>
          <w:rFonts w:ascii="仿宋_GB2312" w:hAnsi="Calibri" w:eastAsia="仿宋_GB2312" w:cs="仿宋"/>
          <w:kern w:val="0"/>
          <w:sz w:val="32"/>
          <w:szCs w:val="32"/>
        </w:rPr>
        <w:t xml:space="preserve">: </w:t>
      </w:r>
      <w:r>
        <w:rPr>
          <w:rFonts w:hint="eastAsia" w:ascii="仿宋_GB2312" w:hAnsi="Calibri" w:eastAsia="仿宋_GB2312" w:cs="仿宋"/>
          <w:kern w:val="0"/>
          <w:sz w:val="32"/>
          <w:szCs w:val="32"/>
        </w:rPr>
        <w:t>指政府在教育事务支出中初中</w:t>
      </w:r>
      <w:r>
        <w:rPr>
          <w:rFonts w:ascii="仿宋_GB2312" w:hAnsi="Calibri" w:eastAsia="仿宋_GB2312" w:cs="仿宋"/>
          <w:kern w:val="0"/>
          <w:sz w:val="32"/>
          <w:szCs w:val="32"/>
        </w:rPr>
        <w:t>教育</w:t>
      </w:r>
      <w:r>
        <w:rPr>
          <w:rFonts w:hint="eastAsia" w:ascii="仿宋_GB2312" w:hAnsi="Calibri" w:eastAsia="仿宋_GB2312" w:cs="仿宋"/>
          <w:kern w:val="0"/>
          <w:sz w:val="32"/>
          <w:szCs w:val="32"/>
        </w:rPr>
        <w:t>方面</w:t>
      </w:r>
      <w:r>
        <w:rPr>
          <w:rFonts w:ascii="仿宋_GB2312" w:hAnsi="Calibri" w:eastAsia="仿宋_GB2312" w:cs="仿宋"/>
          <w:kern w:val="0"/>
          <w:sz w:val="32"/>
          <w:szCs w:val="32"/>
        </w:rPr>
        <w:t>支出</w:t>
      </w:r>
      <w:r>
        <w:rPr>
          <w:rFonts w:hint="eastAsia" w:ascii="仿宋_GB2312" w:hAnsi="Calibri" w:eastAsia="仿宋_GB2312" w:cs="仿宋"/>
          <w:kern w:val="0"/>
          <w:sz w:val="32"/>
          <w:szCs w:val="32"/>
        </w:rPr>
        <w:t>。</w:t>
      </w:r>
    </w:p>
    <w:p>
      <w:pPr>
        <w:pStyle w:val="2"/>
        <w:spacing w:before="93"/>
        <w:rPr>
          <w:rFonts w:hAnsi="Calibri" w:cs="仿宋"/>
          <w:sz w:val="32"/>
          <w:szCs w:val="32"/>
        </w:rPr>
      </w:pPr>
      <w:r>
        <w:rPr>
          <w:rFonts w:hint="eastAsia" w:hAnsi="Calibri" w:cs="仿宋"/>
          <w:sz w:val="32"/>
          <w:szCs w:val="32"/>
        </w:rPr>
        <w:t xml:space="preserve">    12.教育（205）普通教育（02）其他普通教育支出（99）</w:t>
      </w:r>
      <w:r>
        <w:rPr>
          <w:rFonts w:hAnsi="Calibri" w:cs="仿宋"/>
          <w:sz w:val="32"/>
          <w:szCs w:val="32"/>
        </w:rPr>
        <w:t xml:space="preserve">: </w:t>
      </w:r>
      <w:r>
        <w:rPr>
          <w:rFonts w:hint="eastAsia" w:hAnsi="Calibri" w:cs="仿宋"/>
          <w:sz w:val="32"/>
          <w:szCs w:val="32"/>
        </w:rPr>
        <w:t>指政府在教育事务支出中其他普通</w:t>
      </w:r>
      <w:r>
        <w:rPr>
          <w:rFonts w:hAnsi="Calibri" w:cs="仿宋"/>
          <w:sz w:val="32"/>
          <w:szCs w:val="32"/>
        </w:rPr>
        <w:t>教育</w:t>
      </w:r>
      <w:r>
        <w:rPr>
          <w:rFonts w:hint="eastAsia" w:hAnsi="Calibri" w:cs="仿宋"/>
          <w:sz w:val="32"/>
          <w:szCs w:val="32"/>
        </w:rPr>
        <w:t>方面</w:t>
      </w:r>
      <w:r>
        <w:rPr>
          <w:rFonts w:hAnsi="Calibri" w:cs="仿宋"/>
          <w:sz w:val="32"/>
          <w:szCs w:val="32"/>
        </w:rPr>
        <w:t>支出</w:t>
      </w:r>
      <w:r>
        <w:rPr>
          <w:rFonts w:hint="eastAsia" w:hAnsi="Calibri" w:cs="仿宋"/>
          <w:sz w:val="32"/>
          <w:szCs w:val="32"/>
        </w:rPr>
        <w:t>。</w:t>
      </w:r>
    </w:p>
    <w:p>
      <w:pPr>
        <w:ind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13</w:t>
      </w:r>
      <w:r>
        <w:rPr>
          <w:rFonts w:ascii="仿宋_GB2312" w:hAnsi="Calibri" w:eastAsia="仿宋_GB2312" w:cs="仿宋"/>
          <w:kern w:val="0"/>
          <w:sz w:val="32"/>
          <w:szCs w:val="32"/>
        </w:rPr>
        <w:t>.</w:t>
      </w:r>
      <w:r>
        <w:rPr>
          <w:rFonts w:hint="eastAsia" w:ascii="仿宋_GB2312" w:hAnsi="Calibri" w:eastAsia="仿宋_GB2312" w:cs="仿宋"/>
          <w:kern w:val="0"/>
          <w:sz w:val="32"/>
          <w:szCs w:val="32"/>
        </w:rPr>
        <w:t>社会保障和就业支出（208）行政事业单位养老支出（05）事业单位离休费（02）</w:t>
      </w:r>
      <w:r>
        <w:rPr>
          <w:rFonts w:ascii="仿宋_GB2312" w:hAnsi="Calibri" w:eastAsia="仿宋_GB2312" w:cs="仿宋"/>
          <w:kern w:val="0"/>
          <w:sz w:val="32"/>
          <w:szCs w:val="32"/>
        </w:rPr>
        <w:t xml:space="preserve">: </w:t>
      </w:r>
      <w:r>
        <w:rPr>
          <w:rFonts w:hint="eastAsia" w:ascii="仿宋_GB2312" w:hAnsi="Calibri" w:eastAsia="仿宋_GB2312" w:cs="仿宋"/>
          <w:kern w:val="0"/>
          <w:sz w:val="32"/>
          <w:szCs w:val="32"/>
        </w:rPr>
        <w:t>指行政事业单位离退休支出。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14.社会保障和就业支出（208）行政事业单位养老支出（05）机关事业单位基本养老保险缴费支出（05）</w:t>
      </w:r>
      <w:r>
        <w:rPr>
          <w:rFonts w:ascii="仿宋_GB2312" w:hAnsi="Calibri" w:eastAsia="仿宋_GB2312" w:cs="仿宋"/>
          <w:kern w:val="0"/>
          <w:sz w:val="32"/>
          <w:szCs w:val="32"/>
        </w:rPr>
        <w:t>:</w:t>
      </w:r>
      <w:r>
        <w:rPr>
          <w:rFonts w:hint="eastAsia" w:ascii="仿宋_GB2312" w:hAnsi="Calibri" w:eastAsia="仿宋_GB2312" w:cs="仿宋"/>
          <w:kern w:val="0"/>
          <w:sz w:val="32"/>
          <w:szCs w:val="32"/>
        </w:rPr>
        <w:t>指政府在社会保障与就业方面的支。</w:t>
      </w:r>
    </w:p>
    <w:p>
      <w:pPr>
        <w:ind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15.社会保障和就业支出（208）行政事业单位养老支出（05）其他行政事业单位养老支出（99）</w:t>
      </w:r>
      <w:r>
        <w:rPr>
          <w:rFonts w:ascii="仿宋_GB2312" w:hAnsi="Calibri" w:eastAsia="仿宋_GB2312" w:cs="仿宋"/>
          <w:kern w:val="0"/>
          <w:sz w:val="32"/>
          <w:szCs w:val="32"/>
        </w:rPr>
        <w:t xml:space="preserve">: </w:t>
      </w:r>
      <w:r>
        <w:rPr>
          <w:rFonts w:hint="eastAsia" w:ascii="仿宋_GB2312" w:hAnsi="Calibri" w:eastAsia="仿宋_GB2312" w:cs="仿宋"/>
          <w:kern w:val="0"/>
          <w:sz w:val="32"/>
          <w:szCs w:val="32"/>
        </w:rPr>
        <w:t>指行政事业单位离退休支出。</w:t>
      </w:r>
    </w:p>
    <w:p>
      <w:pPr>
        <w:ind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16.社会保障和就业支出（208）抚恤（08）死亡抚恤（01）</w:t>
      </w:r>
      <w:r>
        <w:rPr>
          <w:rFonts w:ascii="仿宋_GB2312" w:hAnsi="Calibri" w:eastAsia="仿宋_GB2312" w:cs="仿宋"/>
          <w:kern w:val="0"/>
          <w:sz w:val="32"/>
          <w:szCs w:val="32"/>
        </w:rPr>
        <w:t xml:space="preserve">: </w:t>
      </w:r>
      <w:r>
        <w:rPr>
          <w:rFonts w:hint="eastAsia" w:ascii="仿宋_GB2312" w:hAnsi="Calibri" w:eastAsia="仿宋_GB2312" w:cs="仿宋"/>
          <w:kern w:val="0"/>
          <w:sz w:val="32"/>
          <w:szCs w:val="32"/>
        </w:rPr>
        <w:t>指行政事业单位遗属生活补贴。</w:t>
      </w:r>
    </w:p>
    <w:p>
      <w:pPr>
        <w:ind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17</w:t>
      </w:r>
      <w:r>
        <w:rPr>
          <w:rFonts w:ascii="仿宋_GB2312" w:hAnsi="Calibri" w:eastAsia="仿宋_GB2312" w:cs="仿宋"/>
          <w:kern w:val="0"/>
          <w:sz w:val="32"/>
          <w:szCs w:val="32"/>
        </w:rPr>
        <w:t>.</w:t>
      </w:r>
      <w:r>
        <w:rPr>
          <w:rFonts w:hint="eastAsia" w:ascii="仿宋_GB2312" w:hAnsi="Calibri" w:eastAsia="仿宋_GB2312" w:cs="仿宋"/>
          <w:kern w:val="0"/>
          <w:sz w:val="32"/>
          <w:szCs w:val="32"/>
        </w:rPr>
        <w:t>卫生健康支出（210）行政事业单位医疗（11）事业单位医疗（02）</w:t>
      </w:r>
      <w:r>
        <w:rPr>
          <w:rFonts w:ascii="仿宋_GB2312" w:hAnsi="Calibri" w:eastAsia="仿宋_GB2312" w:cs="仿宋"/>
          <w:kern w:val="0"/>
          <w:sz w:val="32"/>
          <w:szCs w:val="32"/>
        </w:rPr>
        <w:t>:</w:t>
      </w:r>
      <w:r>
        <w:rPr>
          <w:rFonts w:hint="eastAsia" w:ascii="仿宋_GB2312" w:hAnsi="Calibri" w:eastAsia="仿宋_GB2312" w:cs="仿宋"/>
          <w:kern w:val="0"/>
          <w:sz w:val="32"/>
          <w:szCs w:val="32"/>
        </w:rPr>
        <w:t>事业单位医疗支出。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18</w:t>
      </w:r>
      <w:r>
        <w:rPr>
          <w:rFonts w:ascii="仿宋_GB2312" w:hAnsi="Calibri" w:eastAsia="仿宋_GB2312" w:cs="仿宋"/>
          <w:kern w:val="0"/>
          <w:sz w:val="32"/>
          <w:szCs w:val="32"/>
        </w:rPr>
        <w:t>.</w:t>
      </w:r>
      <w:r>
        <w:rPr>
          <w:rFonts w:hint="eastAsia" w:ascii="仿宋_GB2312" w:hAnsi="Calibri" w:eastAsia="仿宋_GB2312" w:cs="仿宋"/>
          <w:kern w:val="0"/>
          <w:sz w:val="32"/>
          <w:szCs w:val="32"/>
        </w:rPr>
        <w:t>住房保障支出（221）住房改革支出（02）住房公积金（01）指政府用于住房改革方面的支出</w:t>
      </w:r>
    </w:p>
    <w:p>
      <w:pPr>
        <w:ind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19.基本支出：指为保障机构正常运转、完成日常工作任务而发生的人员支出和公用支出。</w:t>
      </w:r>
    </w:p>
    <w:p>
      <w:pPr>
        <w:ind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20.项目支出：指在基本支出之外为完成特定行政任务和事业发展目标所发生的支出。 </w:t>
      </w:r>
    </w:p>
    <w:p>
      <w:pPr>
        <w:ind w:firstLine="640"/>
        <w:rPr>
          <w:rFonts w:ascii="仿宋_GB2312" w:hAnsi="仿宋_GB2312" w:eastAsia="仿宋_GB2312" w:cs="仿宋_GB2312"/>
          <w:sz w:val="32"/>
          <w:szCs w:val="32"/>
        </w:rPr>
      </w:pPr>
      <w:r>
        <w:rPr>
          <w:rFonts w:hint="eastAsia" w:ascii="仿宋_GB2312" w:hAnsi="Calibri" w:eastAsia="仿宋_GB2312" w:cs="仿宋"/>
          <w:kern w:val="0"/>
          <w:sz w:val="32"/>
          <w:szCs w:val="32"/>
        </w:rPr>
        <w:t>2</w:t>
      </w:r>
      <w:r>
        <w:rPr>
          <w:rFonts w:ascii="仿宋_GB2312" w:hAnsi="Calibri" w:eastAsia="仿宋_GB2312" w:cs="仿宋"/>
          <w:kern w:val="0"/>
          <w:sz w:val="32"/>
          <w:szCs w:val="32"/>
        </w:rPr>
        <w:t>1</w:t>
      </w:r>
      <w:r>
        <w:rPr>
          <w:rFonts w:hint="eastAsia" w:ascii="仿宋_GB2312" w:hAnsi="Calibri" w:eastAsia="仿宋_GB2312" w:cs="仿宋"/>
          <w:kern w:val="0"/>
          <w:sz w:val="32"/>
          <w:szCs w:val="32"/>
        </w:rPr>
        <w:t>.经营支出：指事业单位在专业业务活动及其辅</w:t>
      </w:r>
      <w:r>
        <w:rPr>
          <w:rFonts w:hint="eastAsia" w:ascii="仿宋_GB2312" w:hAnsi="仿宋_GB2312" w:eastAsia="仿宋_GB2312" w:cs="仿宋_GB2312"/>
          <w:sz w:val="32"/>
          <w:szCs w:val="32"/>
        </w:rPr>
        <w:t>助活动之外开展非独立核算经营活动发生的支出。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rPr>
      </w:pPr>
    </w:p>
    <w:p>
      <w:pPr>
        <w:numPr>
          <w:ilvl w:val="0"/>
          <w:numId w:val="4"/>
        </w:numPr>
        <w:spacing w:line="600" w:lineRule="exact"/>
        <w:ind w:firstLine="663" w:firstLineChars="150"/>
        <w:jc w:val="center"/>
        <w:outlineLvl w:val="0"/>
        <w:rPr>
          <w:rStyle w:val="28"/>
          <w:rFonts w:ascii="黑体" w:hAnsi="黑体" w:eastAsia="黑体"/>
          <w:b w:val="0"/>
        </w:rPr>
      </w:pPr>
      <w:bookmarkStart w:id="71" w:name="_Toc15377226"/>
      <w:r>
        <w:rPr>
          <w:rFonts w:ascii="宋体"/>
          <w:b/>
          <w:sz w:val="44"/>
          <w:szCs w:val="44"/>
        </w:rPr>
        <w:br w:type="page"/>
      </w:r>
      <w:bookmarkStart w:id="72" w:name="_Toc15396614"/>
      <w:bookmarkStart w:id="73" w:name="_Toc30117"/>
      <w:r>
        <w:rPr>
          <w:rStyle w:val="28"/>
          <w:rFonts w:hint="eastAsia" w:ascii="黑体" w:hAnsi="黑体" w:eastAsia="黑体"/>
          <w:b w:val="0"/>
        </w:rPr>
        <w:t>附件</w:t>
      </w:r>
      <w:bookmarkEnd w:id="72"/>
      <w:bookmarkEnd w:id="73"/>
    </w:p>
    <w:tbl>
      <w:tblPr>
        <w:tblStyle w:val="14"/>
        <w:tblW w:w="8783" w:type="dxa"/>
        <w:jc w:val="center"/>
        <w:tblLayout w:type="fixed"/>
        <w:tblCellMar>
          <w:top w:w="15" w:type="dxa"/>
          <w:left w:w="15" w:type="dxa"/>
          <w:bottom w:w="15" w:type="dxa"/>
          <w:right w:w="15" w:type="dxa"/>
        </w:tblCellMar>
      </w:tblPr>
      <w:tblGrid>
        <w:gridCol w:w="700"/>
        <w:gridCol w:w="257"/>
        <w:gridCol w:w="843"/>
        <w:gridCol w:w="142"/>
        <w:gridCol w:w="838"/>
        <w:gridCol w:w="93"/>
        <w:gridCol w:w="1147"/>
        <w:gridCol w:w="520"/>
        <w:gridCol w:w="28"/>
        <w:gridCol w:w="519"/>
        <w:gridCol w:w="93"/>
        <w:gridCol w:w="279"/>
        <w:gridCol w:w="241"/>
        <w:gridCol w:w="533"/>
        <w:gridCol w:w="347"/>
        <w:gridCol w:w="330"/>
        <w:gridCol w:w="190"/>
        <w:gridCol w:w="460"/>
        <w:gridCol w:w="165"/>
        <w:gridCol w:w="1058"/>
      </w:tblGrid>
      <w:tr>
        <w:tblPrEx>
          <w:tblCellMar>
            <w:top w:w="15" w:type="dxa"/>
            <w:left w:w="15" w:type="dxa"/>
            <w:bottom w:w="15" w:type="dxa"/>
            <w:right w:w="15" w:type="dxa"/>
          </w:tblCellMar>
        </w:tblPrEx>
        <w:trPr>
          <w:gridAfter w:val="1"/>
          <w:wAfter w:w="1058" w:type="dxa"/>
          <w:trHeight w:val="762" w:hRule="exact"/>
          <w:jc w:val="center"/>
        </w:trPr>
        <w:tc>
          <w:tcPr>
            <w:tcW w:w="7725" w:type="dxa"/>
            <w:gridSpan w:val="1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rPr>
              <w:t>部门整体支出绩效目标完成情况自评表</w:t>
            </w:r>
          </w:p>
        </w:tc>
      </w:tr>
      <w:tr>
        <w:tblPrEx>
          <w:tblCellMar>
            <w:top w:w="15" w:type="dxa"/>
            <w:left w:w="15" w:type="dxa"/>
            <w:bottom w:w="15" w:type="dxa"/>
            <w:right w:w="15" w:type="dxa"/>
          </w:tblCellMar>
        </w:tblPrEx>
        <w:trPr>
          <w:gridAfter w:val="1"/>
          <w:wAfter w:w="1058" w:type="dxa"/>
          <w:trHeight w:val="23" w:hRule="atLeast"/>
          <w:jc w:val="center"/>
        </w:trPr>
        <w:tc>
          <w:tcPr>
            <w:tcW w:w="7725" w:type="dxa"/>
            <w:gridSpan w:val="19"/>
            <w:shd w:val="clear" w:color="auto" w:fill="auto"/>
            <w:vAlign w:val="center"/>
          </w:tcPr>
          <w:p>
            <w:pPr>
              <w:widowControl/>
              <w:spacing w:line="300" w:lineRule="exact"/>
              <w:jc w:val="center"/>
              <w:textAlignment w:val="center"/>
              <w:rPr>
                <w:color w:val="000000"/>
                <w:sz w:val="28"/>
                <w:szCs w:val="28"/>
              </w:rPr>
            </w:pPr>
            <w:r>
              <w:rPr>
                <w:color w:val="000000"/>
                <w:kern w:val="0"/>
                <w:sz w:val="28"/>
                <w:szCs w:val="28"/>
              </w:rPr>
              <w:t>（2023年度）</w:t>
            </w:r>
          </w:p>
        </w:tc>
      </w:tr>
      <w:tr>
        <w:tblPrEx>
          <w:tblCellMar>
            <w:top w:w="15" w:type="dxa"/>
            <w:left w:w="15" w:type="dxa"/>
            <w:bottom w:w="15" w:type="dxa"/>
            <w:right w:w="15" w:type="dxa"/>
          </w:tblCellMar>
        </w:tblPrEx>
        <w:trPr>
          <w:gridAfter w:val="1"/>
          <w:wAfter w:w="1058" w:type="dxa"/>
          <w:trHeight w:val="23" w:hRule="atLeast"/>
          <w:jc w:val="center"/>
        </w:trPr>
        <w:tc>
          <w:tcPr>
            <w:tcW w:w="7725" w:type="dxa"/>
            <w:gridSpan w:val="19"/>
            <w:tcBorders>
              <w:bottom w:val="single" w:color="000000" w:sz="4" w:space="0"/>
            </w:tcBorders>
            <w:shd w:val="clear" w:color="auto" w:fill="auto"/>
            <w:vAlign w:val="center"/>
          </w:tcPr>
          <w:p>
            <w:pPr>
              <w:widowControl/>
              <w:spacing w:line="300" w:lineRule="exact"/>
              <w:jc w:val="right"/>
              <w:textAlignment w:val="center"/>
              <w:rPr>
                <w:color w:val="000000"/>
                <w:szCs w:val="21"/>
              </w:rPr>
            </w:pPr>
            <w:r>
              <w:rPr>
                <w:color w:val="000000"/>
                <w:kern w:val="0"/>
                <w:szCs w:val="21"/>
              </w:rPr>
              <w:t>单位：万元</w:t>
            </w:r>
          </w:p>
        </w:tc>
      </w:tr>
      <w:tr>
        <w:tblPrEx>
          <w:tblCellMar>
            <w:top w:w="15" w:type="dxa"/>
            <w:left w:w="15" w:type="dxa"/>
            <w:bottom w:w="15" w:type="dxa"/>
            <w:right w:w="15" w:type="dxa"/>
          </w:tblCellMar>
        </w:tblPrEx>
        <w:trPr>
          <w:gridAfter w:val="1"/>
          <w:wAfter w:w="1058" w:type="dxa"/>
          <w:trHeight w:val="23" w:hRule="atLeast"/>
          <w:jc w:val="center"/>
        </w:trPr>
        <w:tc>
          <w:tcPr>
            <w:tcW w:w="28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部门名称</w:t>
            </w:r>
          </w:p>
        </w:tc>
        <w:tc>
          <w:tcPr>
            <w:tcW w:w="485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rFonts w:hint="eastAsia"/>
                <w:color w:val="000000"/>
                <w:kern w:val="0"/>
                <w:sz w:val="24"/>
              </w:rPr>
              <w:t>大竹县石河镇李家学校</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年度部门整体支出预算</w:t>
            </w: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资金总额</w:t>
            </w:r>
          </w:p>
        </w:tc>
        <w:tc>
          <w:tcPr>
            <w:tcW w:w="2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财政拨款</w:t>
            </w:r>
          </w:p>
        </w:tc>
        <w:tc>
          <w:tcPr>
            <w:tcW w:w="26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其他资金</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24"/>
              </w:rPr>
            </w:pP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kern w:val="0"/>
                <w:sz w:val="24"/>
              </w:rPr>
            </w:pPr>
            <w:r>
              <w:rPr>
                <w:rFonts w:hint="eastAsia"/>
                <w:color w:val="000000"/>
                <w:kern w:val="0"/>
                <w:sz w:val="24"/>
              </w:rPr>
              <w:t>861.95</w:t>
            </w:r>
          </w:p>
        </w:tc>
        <w:tc>
          <w:tcPr>
            <w:tcW w:w="2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kern w:val="0"/>
                <w:sz w:val="24"/>
              </w:rPr>
            </w:pPr>
            <w:r>
              <w:rPr>
                <w:rFonts w:hint="eastAsia"/>
                <w:color w:val="000000"/>
                <w:kern w:val="0"/>
                <w:sz w:val="24"/>
              </w:rPr>
              <w:t>861.95</w:t>
            </w:r>
          </w:p>
        </w:tc>
        <w:tc>
          <w:tcPr>
            <w:tcW w:w="26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rFonts w:hint="eastAsia"/>
                <w:color w:val="000000"/>
                <w:kern w:val="0"/>
                <w:sz w:val="24"/>
              </w:rPr>
              <w:t>0</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kern w:val="0"/>
                <w:sz w:val="24"/>
              </w:rPr>
            </w:pPr>
            <w:r>
              <w:rPr>
                <w:color w:val="000000"/>
                <w:kern w:val="0"/>
                <w:sz w:val="24"/>
              </w:rPr>
              <w:t>年度总体</w:t>
            </w:r>
          </w:p>
          <w:p>
            <w:pPr>
              <w:widowControl/>
              <w:spacing w:line="300" w:lineRule="exact"/>
              <w:jc w:val="center"/>
              <w:textAlignment w:val="center"/>
              <w:rPr>
                <w:color w:val="000000"/>
                <w:sz w:val="24"/>
              </w:rPr>
            </w:pPr>
            <w:r>
              <w:rPr>
                <w:color w:val="000000"/>
                <w:kern w:val="0"/>
                <w:sz w:val="24"/>
              </w:rPr>
              <w:t>目标</w:t>
            </w:r>
          </w:p>
        </w:tc>
        <w:tc>
          <w:tcPr>
            <w:tcW w:w="6768"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15"/>
                <w:szCs w:val="15"/>
              </w:rPr>
              <w:t>全面贯彻国家教育方针，具体负责学区范围义务教育阶段学前，小学，初中教育教学工作，办好学校，搞好教学质量。搞好一切利于教学工作，做一流幼儿园；把初中的办学条件做好。</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color w:val="000000"/>
                <w:kern w:val="0"/>
                <w:sz w:val="24"/>
              </w:rPr>
            </w:pPr>
            <w:r>
              <w:rPr>
                <w:color w:val="000000"/>
                <w:kern w:val="0"/>
                <w:sz w:val="24"/>
              </w:rPr>
              <w:t>年度主要</w:t>
            </w:r>
          </w:p>
          <w:p>
            <w:pPr>
              <w:widowControl/>
              <w:spacing w:line="300" w:lineRule="exact"/>
              <w:jc w:val="center"/>
              <w:textAlignment w:val="center"/>
              <w:rPr>
                <w:color w:val="000000"/>
                <w:sz w:val="24"/>
              </w:rPr>
            </w:pPr>
            <w:r>
              <w:rPr>
                <w:color w:val="000000"/>
                <w:kern w:val="0"/>
                <w:sz w:val="24"/>
              </w:rPr>
              <w:t>任务</w:t>
            </w: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任务名称</w:t>
            </w:r>
          </w:p>
        </w:tc>
        <w:tc>
          <w:tcPr>
            <w:tcW w:w="485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主要内容</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continue"/>
            <w:tcBorders>
              <w:left w:val="single" w:color="000000" w:sz="4" w:space="0"/>
              <w:right w:val="single" w:color="000000" w:sz="4" w:space="0"/>
            </w:tcBorders>
            <w:shd w:val="clear" w:color="auto" w:fill="auto"/>
            <w:vAlign w:val="center"/>
          </w:tcPr>
          <w:p>
            <w:pPr>
              <w:widowControl/>
              <w:spacing w:line="300" w:lineRule="exact"/>
              <w:jc w:val="center"/>
              <w:rPr>
                <w:color w:val="000000"/>
                <w:sz w:val="24"/>
              </w:rPr>
            </w:pP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24"/>
              </w:rPr>
              <w:t>学校建设</w:t>
            </w:r>
          </w:p>
        </w:tc>
        <w:tc>
          <w:tcPr>
            <w:tcW w:w="485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15"/>
                <w:szCs w:val="15"/>
              </w:rPr>
            </w:pPr>
            <w:r>
              <w:rPr>
                <w:rFonts w:hint="eastAsia"/>
                <w:color w:val="000000"/>
                <w:sz w:val="15"/>
                <w:szCs w:val="15"/>
              </w:rPr>
              <w:t>全面落实党的教育方针以及省、市、县有关教育的政策和法律法规及章程，履行中小学校各项教育管理职责，完成教育主管部门的各项工作任务。</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continue"/>
            <w:tcBorders>
              <w:left w:val="single" w:color="000000" w:sz="4" w:space="0"/>
              <w:right w:val="single" w:color="000000" w:sz="4" w:space="0"/>
            </w:tcBorders>
            <w:shd w:val="clear" w:color="auto" w:fill="auto"/>
            <w:vAlign w:val="center"/>
          </w:tcPr>
          <w:p>
            <w:pPr>
              <w:widowControl/>
              <w:spacing w:line="300" w:lineRule="exact"/>
              <w:jc w:val="center"/>
              <w:rPr>
                <w:color w:val="000000"/>
                <w:sz w:val="24"/>
              </w:rPr>
            </w:pP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24"/>
              </w:rPr>
            </w:pPr>
            <w:r>
              <w:rPr>
                <w:rFonts w:hint="eastAsia"/>
                <w:color w:val="000000"/>
                <w:sz w:val="24"/>
              </w:rPr>
              <w:t>教师队伍建设</w:t>
            </w:r>
          </w:p>
        </w:tc>
        <w:tc>
          <w:tcPr>
            <w:tcW w:w="485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5"/>
                <w:szCs w:val="15"/>
              </w:rPr>
            </w:pPr>
            <w:r>
              <w:rPr>
                <w:rFonts w:hint="eastAsia"/>
                <w:color w:val="000000"/>
                <w:sz w:val="15"/>
                <w:szCs w:val="15"/>
              </w:rPr>
              <w:t>切实加强学校教师队伍建设，制定业务培训和教研计划，提高教学水平；不定期进行德育教育，全面提高教师素质。</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24"/>
              </w:rPr>
            </w:pP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24"/>
              </w:rPr>
            </w:pPr>
            <w:r>
              <w:rPr>
                <w:rFonts w:hint="eastAsia"/>
                <w:color w:val="000000"/>
                <w:sz w:val="24"/>
              </w:rPr>
              <w:t>全面发展</w:t>
            </w:r>
          </w:p>
        </w:tc>
        <w:tc>
          <w:tcPr>
            <w:tcW w:w="485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5"/>
                <w:szCs w:val="15"/>
              </w:rPr>
            </w:pPr>
            <w:r>
              <w:rPr>
                <w:rFonts w:hint="eastAsia"/>
                <w:color w:val="000000"/>
                <w:sz w:val="15"/>
                <w:szCs w:val="15"/>
              </w:rPr>
              <w:t>促进学生德、智、体、美、劳好少年全面健康发展；进一步提升学生综合素质，与文化素质，做好新时代好学生。</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kern w:val="0"/>
                <w:sz w:val="18"/>
                <w:szCs w:val="18"/>
              </w:rPr>
            </w:pPr>
            <w:r>
              <w:rPr>
                <w:color w:val="000000"/>
                <w:kern w:val="0"/>
                <w:sz w:val="18"/>
                <w:szCs w:val="18"/>
              </w:rPr>
              <w:t>年度绩效</w:t>
            </w:r>
          </w:p>
          <w:p>
            <w:pPr>
              <w:widowControl/>
              <w:spacing w:line="300" w:lineRule="exact"/>
              <w:jc w:val="center"/>
              <w:textAlignment w:val="center"/>
              <w:rPr>
                <w:color w:val="000000"/>
                <w:sz w:val="18"/>
                <w:szCs w:val="18"/>
              </w:rPr>
            </w:pPr>
            <w:r>
              <w:rPr>
                <w:color w:val="000000"/>
                <w:kern w:val="0"/>
                <w:sz w:val="18"/>
                <w:szCs w:val="18"/>
              </w:rPr>
              <w:t>指标</w:t>
            </w: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一级指标</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二级指标</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kern w:val="0"/>
                <w:sz w:val="18"/>
                <w:szCs w:val="18"/>
              </w:rPr>
            </w:pPr>
            <w:r>
              <w:rPr>
                <w:color w:val="000000"/>
                <w:kern w:val="0"/>
                <w:sz w:val="18"/>
                <w:szCs w:val="18"/>
              </w:rPr>
              <w:t>绩效指标</w:t>
            </w:r>
          </w:p>
          <w:p>
            <w:pPr>
              <w:widowControl/>
              <w:spacing w:line="300" w:lineRule="exact"/>
              <w:jc w:val="center"/>
              <w:textAlignment w:val="center"/>
              <w:rPr>
                <w:color w:val="000000"/>
                <w:sz w:val="18"/>
                <w:szCs w:val="18"/>
              </w:rPr>
            </w:pPr>
            <w:r>
              <w:rPr>
                <w:color w:val="000000"/>
                <w:kern w:val="0"/>
                <w:sz w:val="18"/>
                <w:szCs w:val="18"/>
              </w:rPr>
              <w:t>性质</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绩效指标值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绩效度量单位</w:t>
            </w:r>
          </w:p>
        </w:tc>
        <w:tc>
          <w:tcPr>
            <w:tcW w:w="677" w:type="dxa"/>
            <w:gridSpan w:val="2"/>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权重</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kern w:val="0"/>
                <w:sz w:val="18"/>
                <w:szCs w:val="18"/>
              </w:rPr>
            </w:pPr>
            <w:r>
              <w:rPr>
                <w:color w:val="000000"/>
                <w:kern w:val="0"/>
                <w:sz w:val="18"/>
                <w:szCs w:val="18"/>
              </w:rPr>
              <w:t>实际完成</w:t>
            </w:r>
          </w:p>
          <w:p>
            <w:pPr>
              <w:widowControl/>
              <w:spacing w:line="300" w:lineRule="exact"/>
              <w:jc w:val="center"/>
              <w:textAlignment w:val="center"/>
              <w:rPr>
                <w:color w:val="000000"/>
                <w:sz w:val="18"/>
                <w:szCs w:val="18"/>
              </w:rPr>
            </w:pPr>
            <w:r>
              <w:rPr>
                <w:color w:val="000000"/>
                <w:kern w:val="0"/>
                <w:sz w:val="18"/>
                <w:szCs w:val="18"/>
              </w:rPr>
              <w:t>指标值</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18"/>
                <w:szCs w:val="18"/>
              </w:rPr>
            </w:pPr>
          </w:p>
        </w:tc>
        <w:tc>
          <w:tcPr>
            <w:tcW w:w="9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产出指标</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数量指标</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18"/>
                <w:szCs w:val="18"/>
              </w:rPr>
            </w:pPr>
            <w:r>
              <w:rPr>
                <w:rFonts w:hint="eastAsia"/>
                <w:color w:val="000000"/>
                <w:sz w:val="18"/>
                <w:szCs w:val="18"/>
              </w:rPr>
              <w:t>定期开展留守儿童亲情交流及课外辅导</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次/年</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20</w:t>
            </w:r>
          </w:p>
        </w:tc>
        <w:tc>
          <w:tcPr>
            <w:tcW w:w="815" w:type="dxa"/>
            <w:gridSpan w:val="3"/>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5</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18"/>
                <w:szCs w:val="18"/>
              </w:rPr>
            </w:pPr>
          </w:p>
        </w:tc>
        <w:tc>
          <w:tcPr>
            <w:tcW w:w="9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18"/>
                <w:szCs w:val="18"/>
              </w:rPr>
            </w:pPr>
          </w:p>
        </w:tc>
        <w:tc>
          <w:tcPr>
            <w:tcW w:w="931"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质量指标</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师生安全演练参与度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200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人/次</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20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200</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18"/>
                <w:szCs w:val="18"/>
              </w:rPr>
            </w:pPr>
          </w:p>
        </w:tc>
        <w:tc>
          <w:tcPr>
            <w:tcW w:w="9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18"/>
                <w:szCs w:val="18"/>
              </w:rPr>
            </w:pPr>
          </w:p>
        </w:tc>
        <w:tc>
          <w:tcPr>
            <w:tcW w:w="931"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kern w:val="0"/>
                <w:sz w:val="18"/>
                <w:szCs w:val="18"/>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学生素质健康测试、艺术测评、文化综合能力测试</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5</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次/年</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10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5</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18"/>
                <w:szCs w:val="18"/>
              </w:rPr>
            </w:pPr>
          </w:p>
        </w:tc>
        <w:tc>
          <w:tcPr>
            <w:tcW w:w="9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18"/>
                <w:szCs w:val="18"/>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时效指标</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及时完成效果</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定性</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优良中低差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20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优</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18"/>
                <w:szCs w:val="18"/>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效益指标</w:t>
            </w:r>
          </w:p>
        </w:tc>
        <w:tc>
          <w:tcPr>
            <w:tcW w:w="931" w:type="dxa"/>
            <w:gridSpan w:val="2"/>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color w:val="000000"/>
                <w:kern w:val="0"/>
                <w:sz w:val="18"/>
                <w:szCs w:val="18"/>
              </w:rPr>
            </w:pPr>
            <w:r>
              <w:rPr>
                <w:color w:val="000000"/>
                <w:kern w:val="0"/>
                <w:sz w:val="18"/>
                <w:szCs w:val="18"/>
              </w:rPr>
              <w:t>社会效益</w:t>
            </w:r>
          </w:p>
          <w:p>
            <w:pPr>
              <w:widowControl/>
              <w:spacing w:line="300" w:lineRule="exact"/>
              <w:jc w:val="center"/>
              <w:textAlignment w:val="center"/>
              <w:rPr>
                <w:color w:val="000000"/>
                <w:sz w:val="18"/>
                <w:szCs w:val="18"/>
              </w:rPr>
            </w:pPr>
            <w:r>
              <w:rPr>
                <w:color w:val="000000"/>
                <w:kern w:val="0"/>
                <w:sz w:val="18"/>
                <w:szCs w:val="18"/>
              </w:rPr>
              <w:t>指标</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ascii="仿宋_GB2312"/>
                <w:color w:val="000000"/>
                <w:sz w:val="18"/>
                <w:szCs w:val="18"/>
              </w:rPr>
              <w:t>提</w:t>
            </w:r>
            <w:r>
              <w:rPr>
                <w:rFonts w:hint="eastAsia"/>
                <w:color w:val="000000"/>
                <w:sz w:val="18"/>
                <w:szCs w:val="18"/>
              </w:rPr>
              <w:t>高教师的整体素质，提升学生的综合能力水平。</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定性</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优良中低差</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20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优</w:t>
            </w:r>
          </w:p>
        </w:tc>
      </w:tr>
      <w:tr>
        <w:tblPrEx>
          <w:tblCellMar>
            <w:top w:w="15" w:type="dxa"/>
            <w:left w:w="15" w:type="dxa"/>
            <w:bottom w:w="15" w:type="dxa"/>
            <w:right w:w="15" w:type="dxa"/>
          </w:tblCellMar>
        </w:tblPrEx>
        <w:trPr>
          <w:gridAfter w:val="1"/>
          <w:wAfter w:w="1058" w:type="dxa"/>
          <w:trHeight w:val="23" w:hRule="atLeast"/>
          <w:jc w:val="center"/>
        </w:trPr>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18"/>
                <w:szCs w:val="18"/>
              </w:rPr>
            </w:pP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满意度指标</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18"/>
                <w:szCs w:val="18"/>
              </w:rPr>
            </w:pPr>
            <w:r>
              <w:rPr>
                <w:color w:val="000000"/>
                <w:kern w:val="0"/>
                <w:sz w:val="18"/>
                <w:szCs w:val="18"/>
              </w:rPr>
              <w:t>满意度指标</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教师满意度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96</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color w:val="000000"/>
                <w:sz w:val="18"/>
                <w:szCs w:val="18"/>
              </w:rPr>
              <w:t>10</w:t>
            </w:r>
          </w:p>
        </w:tc>
        <w:tc>
          <w:tcPr>
            <w:tcW w:w="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18"/>
                <w:szCs w:val="18"/>
              </w:rPr>
            </w:pPr>
            <w:r>
              <w:rPr>
                <w:rFonts w:hint="eastAsia"/>
                <w:color w:val="000000"/>
                <w:sz w:val="18"/>
                <w:szCs w:val="18"/>
              </w:rPr>
              <w:t>96</w:t>
            </w:r>
          </w:p>
        </w:tc>
      </w:tr>
      <w:tr>
        <w:tblPrEx>
          <w:tblCellMar>
            <w:top w:w="0" w:type="dxa"/>
            <w:left w:w="108" w:type="dxa"/>
            <w:bottom w:w="0" w:type="dxa"/>
            <w:right w:w="108" w:type="dxa"/>
          </w:tblCellMar>
        </w:tblPrEx>
        <w:trPr>
          <w:trHeight w:val="904" w:hRule="atLeast"/>
        </w:trPr>
        <w:tc>
          <w:tcPr>
            <w:tcW w:w="87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51172421Y000000067509-学校生均公用经费</w:t>
            </w:r>
          </w:p>
        </w:tc>
      </w:tr>
      <w:tr>
        <w:tblPrEx>
          <w:tblCellMar>
            <w:top w:w="0" w:type="dxa"/>
            <w:left w:w="108" w:type="dxa"/>
            <w:bottom w:w="0" w:type="dxa"/>
            <w:right w:w="108" w:type="dxa"/>
          </w:tblCellMar>
        </w:tblPrEx>
        <w:trPr>
          <w:trHeight w:val="514"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大竹县石河镇李家学校部门</w:t>
            </w:r>
          </w:p>
        </w:tc>
        <w:tc>
          <w:tcPr>
            <w:tcW w:w="880" w:type="dxa"/>
            <w:gridSpan w:val="2"/>
            <w:tcBorders>
              <w:top w:val="nil"/>
              <w:left w:val="nil"/>
              <w:bottom w:val="nil"/>
              <w:right w:val="nil"/>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2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大竹县石河镇李家学校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hint="eastAsia" w:ascii="黑体" w:hAnsi="黑体" w:cs="宋体"/>
                <w:color w:val="000000"/>
                <w:kern w:val="0"/>
                <w:sz w:val="18"/>
                <w:szCs w:val="18"/>
              </w:rPr>
              <w:t>提高预算编制质量，严格执行预算，保障单位日常运转</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严格把控公用经费使用，资金安全使用。</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2.61</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2.61</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iCs/>
                <w:color w:val="000000"/>
                <w:kern w:val="0"/>
                <w:sz w:val="15"/>
                <w:szCs w:val="15"/>
              </w:rPr>
            </w:pPr>
            <w:r>
              <w:rPr>
                <w:rFonts w:ascii="黑体" w:hAnsi="黑体" w:cs="宋体"/>
                <w:iCs/>
                <w:color w:val="000000"/>
                <w:kern w:val="0"/>
                <w:sz w:val="15"/>
                <w:szCs w:val="15"/>
              </w:rPr>
              <w:t>各项工作顺利开展，经费使用已完成 100 %；听从党的指挥，做好学校各项工作；正确使用资金，使教职工条件得到了改善，教育服务有所提升；办好了人民教育，受到了教职工和人民认可。</w:t>
            </w:r>
          </w:p>
        </w:tc>
      </w:tr>
      <w:tr>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2.61</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2.61</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项目自评总分达到100分。通过实施，项目达到了预期目标，解决了实际问题，取得了显善成果</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李政</w:t>
            </w:r>
          </w:p>
        </w:tc>
        <w:tc>
          <w:tcPr>
            <w:tcW w:w="4240"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李朝武</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4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40"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7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51172421Y000000067526-非定额公用经费（大竹）</w:t>
            </w:r>
          </w:p>
        </w:tc>
      </w:tr>
      <w:tr>
        <w:tblPrEx>
          <w:tblCellMar>
            <w:top w:w="0" w:type="dxa"/>
            <w:left w:w="108" w:type="dxa"/>
            <w:bottom w:w="0" w:type="dxa"/>
            <w:right w:w="108" w:type="dxa"/>
          </w:tblCellMar>
        </w:tblPrEx>
        <w:trPr>
          <w:trHeight w:val="514"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大竹县石河镇李家学校部门</w:t>
            </w:r>
          </w:p>
        </w:tc>
        <w:tc>
          <w:tcPr>
            <w:tcW w:w="880" w:type="dxa"/>
            <w:gridSpan w:val="2"/>
            <w:tcBorders>
              <w:top w:val="nil"/>
              <w:left w:val="nil"/>
              <w:bottom w:val="nil"/>
              <w:right w:val="nil"/>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2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大竹县石河镇李家学校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严格把控公用经费使用，资金安全使用。</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2.12</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2.12</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iCs/>
                <w:color w:val="000000"/>
                <w:kern w:val="0"/>
                <w:sz w:val="15"/>
                <w:szCs w:val="15"/>
              </w:rPr>
            </w:pPr>
            <w:r>
              <w:rPr>
                <w:rFonts w:ascii="黑体" w:hAnsi="黑体" w:cs="宋体"/>
                <w:iCs/>
                <w:color w:val="000000"/>
                <w:kern w:val="0"/>
                <w:sz w:val="15"/>
                <w:szCs w:val="15"/>
              </w:rPr>
              <w:t>各项工作顺利开展，经费使用已完成 100 %；听从党的指挥，做好学校各项工作；正确使用资金，使教职工条件得到了改善，教育服务有所提升；办好了人民教育，受到了教职工和人民认可。</w:t>
            </w:r>
          </w:p>
        </w:tc>
      </w:tr>
      <w:tr>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2.12</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2.12</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项目自评总分达到100分。通过实施，项目达到了预期目标，解决了实际问题，取得了显善成果</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李政</w:t>
            </w:r>
          </w:p>
        </w:tc>
        <w:tc>
          <w:tcPr>
            <w:tcW w:w="4240"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李朝武</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4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40"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7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51172421Y000000067530-工会经费</w:t>
            </w:r>
          </w:p>
        </w:tc>
      </w:tr>
      <w:tr>
        <w:tblPrEx>
          <w:tblCellMar>
            <w:top w:w="0" w:type="dxa"/>
            <w:left w:w="108" w:type="dxa"/>
            <w:bottom w:w="0" w:type="dxa"/>
            <w:right w:w="108" w:type="dxa"/>
          </w:tblCellMar>
        </w:tblPrEx>
        <w:trPr>
          <w:trHeight w:val="514"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大竹县石河镇李家学校部门</w:t>
            </w:r>
          </w:p>
        </w:tc>
        <w:tc>
          <w:tcPr>
            <w:tcW w:w="880" w:type="dxa"/>
            <w:gridSpan w:val="2"/>
            <w:tcBorders>
              <w:top w:val="nil"/>
              <w:left w:val="nil"/>
              <w:bottom w:val="nil"/>
              <w:right w:val="nil"/>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2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大竹县石河镇李家学校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严格把控工会经费使用，资金安全使用。</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13.19</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16.89</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16.89</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i/>
                <w:iCs/>
                <w:color w:val="000000"/>
                <w:kern w:val="0"/>
                <w:sz w:val="15"/>
                <w:szCs w:val="15"/>
              </w:rPr>
            </w:pPr>
            <w:r>
              <w:rPr>
                <w:rFonts w:ascii="黑体" w:hAnsi="黑体" w:cs="宋体"/>
                <w:i/>
                <w:iCs/>
                <w:color w:val="000000"/>
                <w:kern w:val="0"/>
                <w:sz w:val="15"/>
                <w:szCs w:val="15"/>
              </w:rPr>
              <w:t>各项工作顺利开展，经费使用已完成 100 %；听从党的指挥，做好学校各项工作；正确使用资金，使教职工条件得到了改善，教育服务有所提升；办好了人民教育，受到了教职工和人民认可。</w:t>
            </w:r>
          </w:p>
        </w:tc>
      </w:tr>
      <w:tr>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13.19</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16.89</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16.89</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项目自评总分达到100分。通过实施，项目达到了预期目标，解决了实际问题，取得了显善成果</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李政</w:t>
            </w:r>
          </w:p>
        </w:tc>
        <w:tc>
          <w:tcPr>
            <w:tcW w:w="4240"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李朝武</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4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40"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7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51172421Y000000067532-福利费</w:t>
            </w:r>
          </w:p>
        </w:tc>
      </w:tr>
      <w:tr>
        <w:tblPrEx>
          <w:tblCellMar>
            <w:top w:w="0" w:type="dxa"/>
            <w:left w:w="108" w:type="dxa"/>
            <w:bottom w:w="0" w:type="dxa"/>
            <w:right w:w="108" w:type="dxa"/>
          </w:tblCellMar>
        </w:tblPrEx>
        <w:trPr>
          <w:trHeight w:val="514"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大竹县石河镇李家学校部门</w:t>
            </w:r>
          </w:p>
        </w:tc>
        <w:tc>
          <w:tcPr>
            <w:tcW w:w="880" w:type="dxa"/>
            <w:gridSpan w:val="2"/>
            <w:tcBorders>
              <w:top w:val="nil"/>
              <w:left w:val="nil"/>
              <w:bottom w:val="nil"/>
              <w:right w:val="nil"/>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2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大竹县石河镇李家学校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严格把控福利经费使用，资金安全使用。</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13.37</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18.46</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18.46</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i/>
                <w:iCs/>
                <w:color w:val="000000"/>
                <w:kern w:val="0"/>
                <w:sz w:val="15"/>
                <w:szCs w:val="15"/>
              </w:rPr>
            </w:pPr>
            <w:r>
              <w:rPr>
                <w:rFonts w:ascii="黑体" w:hAnsi="黑体" w:cs="宋体"/>
                <w:i/>
                <w:iCs/>
                <w:color w:val="000000"/>
                <w:kern w:val="0"/>
                <w:sz w:val="15"/>
                <w:szCs w:val="15"/>
              </w:rPr>
              <w:t>各项工作顺利开展，经费使用已完成 100 %；听从党的指挥，做好学校各项工作；正确使用资金，使教职工条件得到了改善，教育服务有所提升；办好了人民教育，受到了教职工和人民认可。</w:t>
            </w:r>
          </w:p>
        </w:tc>
      </w:tr>
      <w:tr>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13.37</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18.46</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18.46</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项目自评总分达到100分。通过实施，项目达到了预期目标，解决了实际问题，取得了显善成果</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李政</w:t>
            </w:r>
          </w:p>
        </w:tc>
        <w:tc>
          <w:tcPr>
            <w:tcW w:w="4240"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李朝武</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4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40"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7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51172421Y000000067533-党建经费</w:t>
            </w:r>
          </w:p>
        </w:tc>
      </w:tr>
      <w:tr>
        <w:tblPrEx>
          <w:tblCellMar>
            <w:top w:w="0" w:type="dxa"/>
            <w:left w:w="108" w:type="dxa"/>
            <w:bottom w:w="0" w:type="dxa"/>
            <w:right w:w="108" w:type="dxa"/>
          </w:tblCellMar>
        </w:tblPrEx>
        <w:trPr>
          <w:trHeight w:val="514"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大竹县石河镇李家学校部门</w:t>
            </w:r>
          </w:p>
        </w:tc>
        <w:tc>
          <w:tcPr>
            <w:tcW w:w="880" w:type="dxa"/>
            <w:gridSpan w:val="2"/>
            <w:tcBorders>
              <w:top w:val="nil"/>
              <w:left w:val="nil"/>
              <w:bottom w:val="nil"/>
              <w:right w:val="nil"/>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2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大竹县石河镇李家学校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严格把控党建经费使用，资金安全使用。</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4.46</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4.46</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iCs/>
                <w:color w:val="000000"/>
                <w:kern w:val="0"/>
                <w:sz w:val="15"/>
                <w:szCs w:val="15"/>
              </w:rPr>
            </w:pPr>
            <w:r>
              <w:rPr>
                <w:rFonts w:ascii="黑体" w:hAnsi="黑体" w:cs="宋体"/>
                <w:iCs/>
                <w:color w:val="000000"/>
                <w:kern w:val="0"/>
                <w:sz w:val="15"/>
                <w:szCs w:val="15"/>
              </w:rPr>
              <w:t>各项工作顺利开展，经费使用已完成 100 %；听从党的指挥，做好学校各项工作；正确使用资金，使教职工条件得到了改善，教育服务有所提升；办好了人民教育，受到了教职工和人民认可。</w:t>
            </w:r>
          </w:p>
        </w:tc>
      </w:tr>
      <w:tr>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4.46</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4.46</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项目自评总分达到100分。通过实施，项目达到了预期目标，解决了实际问题，取得了显善成果</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李政</w:t>
            </w:r>
          </w:p>
        </w:tc>
        <w:tc>
          <w:tcPr>
            <w:tcW w:w="4240"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李朝武</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4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40"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7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51172421Y000000081906-学前教育公用经费（事业）</w:t>
            </w:r>
          </w:p>
        </w:tc>
      </w:tr>
      <w:tr>
        <w:tblPrEx>
          <w:tblCellMar>
            <w:top w:w="0" w:type="dxa"/>
            <w:left w:w="108" w:type="dxa"/>
            <w:bottom w:w="0" w:type="dxa"/>
            <w:right w:w="108" w:type="dxa"/>
          </w:tblCellMar>
        </w:tblPrEx>
        <w:trPr>
          <w:trHeight w:val="514"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大竹县石河镇李家学校部门</w:t>
            </w:r>
          </w:p>
        </w:tc>
        <w:tc>
          <w:tcPr>
            <w:tcW w:w="880" w:type="dxa"/>
            <w:gridSpan w:val="2"/>
            <w:tcBorders>
              <w:top w:val="nil"/>
              <w:left w:val="nil"/>
              <w:bottom w:val="nil"/>
              <w:right w:val="nil"/>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2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大竹县石河镇李家学校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严格把控公用经费使用，资金安全使用。</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0.17</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0.95</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0.95</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iCs/>
                <w:color w:val="000000"/>
                <w:kern w:val="0"/>
                <w:sz w:val="15"/>
                <w:szCs w:val="15"/>
              </w:rPr>
            </w:pPr>
            <w:r>
              <w:rPr>
                <w:rFonts w:ascii="黑体" w:hAnsi="黑体" w:cs="宋体"/>
                <w:iCs/>
                <w:color w:val="000000"/>
                <w:kern w:val="0"/>
                <w:sz w:val="15"/>
                <w:szCs w:val="15"/>
              </w:rPr>
              <w:t>各项工作顺利开展，经费使用已完成 100 %；听从党的指挥，做好学校各项工作；正确使用资金，使教职工条件得到了改善，教育服务有所提升；办好了人民教育，受到了教职工和人民认可。</w:t>
            </w:r>
          </w:p>
        </w:tc>
      </w:tr>
      <w:tr>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0.17</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0.95</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0.95</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项目自评总分达到100分。通过实施，项目达到了预期目标，解决了实际问题，取得了显善成果</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李政</w:t>
            </w:r>
          </w:p>
        </w:tc>
        <w:tc>
          <w:tcPr>
            <w:tcW w:w="4240"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李朝武</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4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40"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7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51172421Y000000081908-小学教育公用经费（事业）</w:t>
            </w:r>
          </w:p>
        </w:tc>
      </w:tr>
      <w:tr>
        <w:tblPrEx>
          <w:tblCellMar>
            <w:top w:w="0" w:type="dxa"/>
            <w:left w:w="108" w:type="dxa"/>
            <w:bottom w:w="0" w:type="dxa"/>
            <w:right w:w="108" w:type="dxa"/>
          </w:tblCellMar>
        </w:tblPrEx>
        <w:trPr>
          <w:trHeight w:val="514"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大竹县石河镇李家学校部门</w:t>
            </w:r>
          </w:p>
        </w:tc>
        <w:tc>
          <w:tcPr>
            <w:tcW w:w="880" w:type="dxa"/>
            <w:gridSpan w:val="2"/>
            <w:tcBorders>
              <w:top w:val="nil"/>
              <w:left w:val="nil"/>
              <w:bottom w:val="nil"/>
              <w:right w:val="nil"/>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2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大竹县石河镇李家学校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严格把控公用经费使用，资金安全使用。</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0.52</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95.52</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95.52</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iCs/>
                <w:color w:val="000000"/>
                <w:kern w:val="0"/>
                <w:sz w:val="15"/>
                <w:szCs w:val="15"/>
              </w:rPr>
            </w:pPr>
            <w:r>
              <w:rPr>
                <w:rFonts w:ascii="黑体" w:hAnsi="黑体" w:cs="宋体"/>
                <w:iCs/>
                <w:color w:val="000000"/>
                <w:kern w:val="0"/>
                <w:sz w:val="15"/>
                <w:szCs w:val="15"/>
              </w:rPr>
              <w:t>各项工作顺利开展，经费使用已完成 100 %；听从党的指挥，做好学校各项工作；正确使用资金，使教职工条件得到了改善，教育服务有所提升；办好了人民教育，受到了教职工和人民认可。</w:t>
            </w:r>
          </w:p>
        </w:tc>
      </w:tr>
      <w:tr>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0.52</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95.52</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95.52</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项目自评总分达到100分。通过实施，项目达到了预期目标，解决了实际问题，取得了显善成果</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李政</w:t>
            </w:r>
          </w:p>
        </w:tc>
        <w:tc>
          <w:tcPr>
            <w:tcW w:w="4240"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李朝武</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4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40"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7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51172421Y000000081910-初中教育公用经费（事业）</w:t>
            </w:r>
          </w:p>
        </w:tc>
      </w:tr>
      <w:tr>
        <w:tblPrEx>
          <w:tblCellMar>
            <w:top w:w="0" w:type="dxa"/>
            <w:left w:w="108" w:type="dxa"/>
            <w:bottom w:w="0" w:type="dxa"/>
            <w:right w:w="108" w:type="dxa"/>
          </w:tblCellMar>
        </w:tblPrEx>
        <w:trPr>
          <w:trHeight w:val="514"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大竹县石河镇李家学校部门</w:t>
            </w:r>
          </w:p>
        </w:tc>
        <w:tc>
          <w:tcPr>
            <w:tcW w:w="880" w:type="dxa"/>
            <w:gridSpan w:val="2"/>
            <w:tcBorders>
              <w:top w:val="nil"/>
              <w:left w:val="nil"/>
              <w:bottom w:val="nil"/>
              <w:right w:val="nil"/>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2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大竹县石河镇李家学校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严格把控公用经费使用，资金安全使用。</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25.32</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25.32</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iCs/>
                <w:color w:val="000000"/>
                <w:kern w:val="0"/>
                <w:sz w:val="15"/>
                <w:szCs w:val="15"/>
              </w:rPr>
            </w:pPr>
            <w:r>
              <w:rPr>
                <w:rFonts w:ascii="黑体" w:hAnsi="黑体" w:cs="宋体"/>
                <w:iCs/>
                <w:color w:val="000000"/>
                <w:kern w:val="0"/>
                <w:sz w:val="15"/>
                <w:szCs w:val="15"/>
              </w:rPr>
              <w:t>各项工作顺利开展，经费使用已完成 100 %；听从党的指挥，做好学校各项工作；正确使用资金，使教职工条件得到了改善，教育服务有所提升；办好了人民教育，受到了教职工和人民认可。</w:t>
            </w:r>
          </w:p>
        </w:tc>
      </w:tr>
      <w:tr>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25.32</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25.32</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项目自评总分达到100分。通过实施，项目达到了预期目标，解决了实际问题，取得了显善成果</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李政</w:t>
            </w:r>
          </w:p>
        </w:tc>
        <w:tc>
          <w:tcPr>
            <w:tcW w:w="4240"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李朝武</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4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40"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7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51172422T000005719970-营养餐</w:t>
            </w:r>
          </w:p>
        </w:tc>
      </w:tr>
      <w:tr>
        <w:tblPrEx>
          <w:tblCellMar>
            <w:top w:w="0" w:type="dxa"/>
            <w:left w:w="108" w:type="dxa"/>
            <w:bottom w:w="0" w:type="dxa"/>
            <w:right w:w="108" w:type="dxa"/>
          </w:tblCellMar>
        </w:tblPrEx>
        <w:trPr>
          <w:trHeight w:val="514"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大竹县石河镇李家学校部门</w:t>
            </w:r>
          </w:p>
        </w:tc>
        <w:tc>
          <w:tcPr>
            <w:tcW w:w="880" w:type="dxa"/>
            <w:gridSpan w:val="2"/>
            <w:tcBorders>
              <w:top w:val="nil"/>
              <w:left w:val="nil"/>
              <w:bottom w:val="nil"/>
              <w:right w:val="nil"/>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2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大竹县石河镇李家学校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提高预算编制质量，严格执行预算，保障资金安全使用。</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hint="eastAsia" w:ascii="黑体" w:hAnsi="黑体" w:cs="宋体"/>
                <w:color w:val="000000"/>
                <w:kern w:val="0"/>
                <w:sz w:val="18"/>
                <w:szCs w:val="18"/>
              </w:rPr>
              <w:t>让义务教育阶段学生享受营养餐，提升学生生活营养</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让义务教育阶段学生享受营养餐，提升学生生活营养</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9.69</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9.69</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iCs/>
                <w:color w:val="000000"/>
                <w:kern w:val="0"/>
                <w:sz w:val="15"/>
                <w:szCs w:val="15"/>
              </w:rPr>
            </w:pPr>
            <w:r>
              <w:rPr>
                <w:rFonts w:ascii="黑体" w:hAnsi="黑体" w:cs="宋体"/>
                <w:iCs/>
                <w:color w:val="000000"/>
                <w:kern w:val="0"/>
                <w:sz w:val="15"/>
                <w:szCs w:val="15"/>
              </w:rPr>
              <w:t>各项工作顺利开展，经费使用已完成 100 %；听从党的指挥，做好学校各项工作；正确使用资金，使教职工条件得到了改善，教育服务有所提升；办好了人民教育，受到了教职工和人民认可。</w:t>
            </w:r>
          </w:p>
        </w:tc>
      </w:tr>
      <w:tr>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9.69</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9.69</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科目调剂次数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预算偏准率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运行保障率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项目自评总分达到100分。通过实施，项目达到了预期目标，解决了实际问题，取得了显善成果</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李政</w:t>
            </w:r>
          </w:p>
        </w:tc>
        <w:tc>
          <w:tcPr>
            <w:tcW w:w="4240"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李朝武</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4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40"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7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51172422T000007332571-2022年维修改造</w:t>
            </w:r>
          </w:p>
        </w:tc>
      </w:tr>
      <w:tr>
        <w:tblPrEx>
          <w:tblCellMar>
            <w:top w:w="0" w:type="dxa"/>
            <w:left w:w="108" w:type="dxa"/>
            <w:bottom w:w="0" w:type="dxa"/>
            <w:right w:w="108" w:type="dxa"/>
          </w:tblCellMar>
        </w:tblPrEx>
        <w:trPr>
          <w:trHeight w:val="514"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大竹县石河镇李家学校部门</w:t>
            </w:r>
          </w:p>
        </w:tc>
        <w:tc>
          <w:tcPr>
            <w:tcW w:w="880" w:type="dxa"/>
            <w:gridSpan w:val="2"/>
            <w:tcBorders>
              <w:top w:val="nil"/>
              <w:left w:val="nil"/>
              <w:bottom w:val="nil"/>
              <w:right w:val="nil"/>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2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大竹县石河镇李家学校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提高预算编制质量，严格执行预算，保障资金安全使用。</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hint="eastAsia" w:ascii="黑体" w:hAnsi="黑体" w:cs="宋体"/>
                <w:color w:val="000000"/>
                <w:kern w:val="0"/>
                <w:sz w:val="18"/>
                <w:szCs w:val="18"/>
              </w:rPr>
              <w:t>严格执行预算，保障资金落实到位，确保项目完成。</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严格执行预算，保障资金安全使用，确保维修改造按时按期完成。</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iCs/>
                <w:color w:val="000000"/>
                <w:kern w:val="0"/>
                <w:sz w:val="15"/>
                <w:szCs w:val="15"/>
              </w:rPr>
            </w:pPr>
            <w:r>
              <w:rPr>
                <w:rFonts w:ascii="黑体" w:hAnsi="黑体" w:cs="宋体"/>
                <w:iCs/>
                <w:color w:val="000000"/>
                <w:kern w:val="0"/>
                <w:sz w:val="15"/>
                <w:szCs w:val="15"/>
              </w:rPr>
              <w:t>各项工作顺利开展，经费使用已完成 100 %；听从党的指挥，做好学校各项工作；正确使用资金，使教职工条件得到了改善，教育服务有所提升；办好了人民教育，受到了教职工和人民认可。</w:t>
            </w:r>
          </w:p>
        </w:tc>
      </w:tr>
      <w:tr>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预算偏准率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项目自评总分达到100分。通过实施，项目达到了预期目标，解决了实际问题，取得了显善成果</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李朝武</w:t>
            </w:r>
          </w:p>
        </w:tc>
      </w:tr>
      <w:tr>
        <w:tblPrEx>
          <w:tblCellMar>
            <w:top w:w="0" w:type="dxa"/>
            <w:left w:w="108" w:type="dxa"/>
            <w:bottom w:w="0" w:type="dxa"/>
            <w:right w:w="108" w:type="dxa"/>
          </w:tblCellMar>
        </w:tblPrEx>
        <w:trPr>
          <w:trHeight w:val="285" w:hRule="atLeast"/>
        </w:trPr>
        <w:tc>
          <w:tcPr>
            <w:tcW w:w="4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项目负责人：</w:t>
            </w:r>
          </w:p>
        </w:tc>
        <w:tc>
          <w:tcPr>
            <w:tcW w:w="4240"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财务负责人：</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4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40"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7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宋体" w:eastAsia="黑体" w:cs="宋体"/>
                <w:b/>
                <w:bCs/>
                <w:color w:val="000000"/>
                <w:kern w:val="0"/>
                <w:sz w:val="30"/>
                <w:szCs w:val="30"/>
              </w:rPr>
            </w:pPr>
            <w:r>
              <w:rPr>
                <w:rFonts w:hint="eastAsia" w:ascii="黑体" w:hAnsi="宋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51172422Y000005163761-代管资金支出</w:t>
            </w:r>
          </w:p>
        </w:tc>
      </w:tr>
      <w:tr>
        <w:tblPrEx>
          <w:tblCellMar>
            <w:top w:w="0" w:type="dxa"/>
            <w:left w:w="108" w:type="dxa"/>
            <w:bottom w:w="0" w:type="dxa"/>
            <w:right w:w="108" w:type="dxa"/>
          </w:tblCellMar>
        </w:tblPrEx>
        <w:trPr>
          <w:trHeight w:val="514" w:hRule="atLeast"/>
        </w:trPr>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大竹县石河镇李家学校部门</w:t>
            </w:r>
          </w:p>
        </w:tc>
        <w:tc>
          <w:tcPr>
            <w:tcW w:w="880" w:type="dxa"/>
            <w:gridSpan w:val="2"/>
            <w:tcBorders>
              <w:top w:val="nil"/>
              <w:left w:val="nil"/>
              <w:bottom w:val="nil"/>
              <w:right w:val="nil"/>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实施单位 （盖章）</w:t>
            </w:r>
          </w:p>
        </w:tc>
        <w:tc>
          <w:tcPr>
            <w:tcW w:w="2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大竹县石河镇李家学校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cs="宋体"/>
                <w:color w:val="000000"/>
                <w:kern w:val="0"/>
                <w:sz w:val="18"/>
                <w:szCs w:val="18"/>
              </w:rPr>
            </w:pPr>
            <w:r>
              <w:rPr>
                <w:rFonts w:ascii="黑体" w:hAnsi="黑体" w:cs="宋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390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30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980" w:type="dxa"/>
            <w:gridSpan w:val="1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严格把控代管经费使用，资金安全使用。</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29.14</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29.14</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iCs/>
                <w:color w:val="000000"/>
                <w:kern w:val="0"/>
                <w:sz w:val="15"/>
                <w:szCs w:val="15"/>
              </w:rPr>
            </w:pPr>
            <w:r>
              <w:rPr>
                <w:rFonts w:ascii="黑体" w:hAnsi="黑体" w:cs="宋体"/>
                <w:iCs/>
                <w:color w:val="000000"/>
                <w:kern w:val="0"/>
                <w:sz w:val="15"/>
                <w:szCs w:val="15"/>
              </w:rPr>
              <w:t>各项工作顺利开展，经费使用已完成 100 %；听从党的指挥，做好学校各项工作；正确使用资金，使教职工条件得到了改善，教育服务有所提升；办好了人民教育，受到了教职工和人民认可。</w:t>
            </w:r>
          </w:p>
        </w:tc>
      </w:tr>
      <w:tr>
        <w:tblPrEx>
          <w:tblCellMar>
            <w:top w:w="0" w:type="dxa"/>
            <w:left w:w="108" w:type="dxa"/>
            <w:bottom w:w="0" w:type="dxa"/>
            <w:right w:w="108" w:type="dxa"/>
          </w:tblCellMar>
        </w:tblPrEx>
        <w:trPr>
          <w:trHeight w:val="39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6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29.14</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29.14</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8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2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黑体" w:cs="宋体"/>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10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9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65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项目自评总分达到100分。通过实施，项目达到了预期目标，解决了实际问题，取得了显善成果</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项目负责人：</w:t>
            </w:r>
            <w:r>
              <w:rPr>
                <w:rFonts w:hint="eastAsia" w:ascii="黑体" w:hAnsi="黑体" w:cs="宋体"/>
                <w:color w:val="000000"/>
                <w:kern w:val="0"/>
                <w:sz w:val="18"/>
                <w:szCs w:val="18"/>
              </w:rPr>
              <w:t>李政</w:t>
            </w:r>
          </w:p>
        </w:tc>
        <w:tc>
          <w:tcPr>
            <w:tcW w:w="4240" w:type="dxa"/>
            <w:gridSpan w:val="1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黑体" w:hAnsi="黑体" w:cs="宋体"/>
                <w:color w:val="000000"/>
                <w:kern w:val="0"/>
                <w:sz w:val="18"/>
                <w:szCs w:val="18"/>
              </w:rPr>
            </w:pPr>
            <w:r>
              <w:rPr>
                <w:rFonts w:ascii="黑体" w:hAnsi="黑体" w:cs="宋体"/>
                <w:color w:val="000000"/>
                <w:kern w:val="0"/>
                <w:sz w:val="18"/>
                <w:szCs w:val="18"/>
              </w:rPr>
              <w:t>财务负责人：</w:t>
            </w:r>
            <w:r>
              <w:rPr>
                <w:rFonts w:hint="eastAsia" w:ascii="黑体" w:hAnsi="黑体" w:cs="宋体"/>
                <w:color w:val="000000"/>
                <w:kern w:val="0"/>
                <w:sz w:val="18"/>
                <w:szCs w:val="18"/>
              </w:rPr>
              <w:t>李朝武</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4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40" w:type="dxa"/>
            <w:gridSpan w:val="3"/>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220" w:type="dxa"/>
            <w:gridSpan w:val="2"/>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8780" w:type="dxa"/>
            <w:gridSpan w:val="20"/>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1、报表说明:该报表查询项目信息、绩效目标信息、预算及执行情况，用于预算单位查询导出开展项目自评。</w:t>
            </w:r>
          </w:p>
        </w:tc>
      </w:tr>
      <w:tr>
        <w:tblPrEx>
          <w:tblCellMar>
            <w:top w:w="0" w:type="dxa"/>
            <w:left w:w="108" w:type="dxa"/>
            <w:bottom w:w="0" w:type="dxa"/>
            <w:right w:w="108" w:type="dxa"/>
          </w:tblCellMar>
        </w:tblPrEx>
        <w:trPr>
          <w:trHeight w:val="285" w:hRule="atLeast"/>
        </w:trPr>
        <w:tc>
          <w:tcPr>
            <w:tcW w:w="8780" w:type="dxa"/>
            <w:gridSpan w:val="20"/>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2、取数口径：部门项目绩效目标表信息，包括年初预算、追加预算、结转预算和调整预算的绩效目标（以项目的最终绩效目标为准）。</w:t>
            </w:r>
          </w:p>
        </w:tc>
      </w:tr>
      <w:tr>
        <w:tblPrEx>
          <w:tblCellMar>
            <w:top w:w="0" w:type="dxa"/>
            <w:left w:w="108" w:type="dxa"/>
            <w:bottom w:w="0" w:type="dxa"/>
            <w:right w:w="108" w:type="dxa"/>
          </w:tblCellMar>
        </w:tblPrEx>
        <w:trPr>
          <w:trHeight w:val="285" w:hRule="atLeast"/>
        </w:trPr>
        <w:tc>
          <w:tcPr>
            <w:tcW w:w="8780" w:type="dxa"/>
            <w:gridSpan w:val="20"/>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适用地区：全省范围</w:t>
            </w:r>
          </w:p>
        </w:tc>
      </w:tr>
      <w:tr>
        <w:tblPrEx>
          <w:tblCellMar>
            <w:top w:w="0" w:type="dxa"/>
            <w:left w:w="108" w:type="dxa"/>
            <w:bottom w:w="0" w:type="dxa"/>
            <w:right w:w="108" w:type="dxa"/>
          </w:tblCellMar>
        </w:tblPrEx>
        <w:trPr>
          <w:trHeight w:val="285" w:hRule="atLeast"/>
        </w:trPr>
        <w:tc>
          <w:tcPr>
            <w:tcW w:w="8780" w:type="dxa"/>
            <w:gridSpan w:val="20"/>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适用用户：部门用户、单位用户</w:t>
            </w:r>
          </w:p>
        </w:tc>
      </w:tr>
    </w:tbl>
    <w:p>
      <w:pPr>
        <w:pStyle w:val="2"/>
        <w:spacing w:before="93"/>
      </w:pPr>
    </w:p>
    <w:p>
      <w:pPr>
        <w:pStyle w:val="2"/>
        <w:spacing w:before="93"/>
        <w:ind w:left="315" w:leftChars="150"/>
      </w:pPr>
    </w:p>
    <w:p>
      <w:pPr>
        <w:pStyle w:val="2"/>
        <w:spacing w:before="93"/>
        <w:ind w:left="315" w:leftChars="150"/>
      </w:pPr>
    </w:p>
    <w:p>
      <w:pPr>
        <w:spacing w:line="572" w:lineRule="exact"/>
        <w:jc w:val="left"/>
        <w:rPr>
          <w:rFonts w:ascii="仿宋_GB2312" w:hAnsi="仿宋_GB2312" w:eastAsia="仿宋_GB2312" w:cs="仿宋_GB2312"/>
          <w:sz w:val="32"/>
          <w:szCs w:val="32"/>
        </w:rPr>
      </w:pPr>
    </w:p>
    <w:p>
      <w:pPr>
        <w:pStyle w:val="2"/>
        <w:spacing w:before="93"/>
        <w:rPr>
          <w:rFonts w:hAnsi="Calibri" w:cs="仿宋"/>
          <w:sz w:val="32"/>
          <w:szCs w:val="32"/>
        </w:rPr>
      </w:pPr>
      <w:bookmarkStart w:id="74" w:name="_Toc15396618"/>
    </w:p>
    <w:p>
      <w:pPr>
        <w:spacing w:line="600" w:lineRule="exact"/>
        <w:outlineLvl w:val="0"/>
        <w:rPr>
          <w:rFonts w:ascii="黑体" w:hAnsi="黑体" w:eastAsia="黑体"/>
          <w:sz w:val="44"/>
          <w:szCs w:val="44"/>
        </w:rPr>
      </w:pPr>
      <w:bookmarkStart w:id="75" w:name="_Toc4189"/>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hint="eastAsia" w:ascii="黑体" w:hAnsi="黑体" w:eastAsia="黑体"/>
          <w:sz w:val="44"/>
          <w:szCs w:val="44"/>
        </w:rPr>
      </w:pPr>
    </w:p>
    <w:p>
      <w:pPr>
        <w:spacing w:line="600" w:lineRule="exact"/>
        <w:outlineLvl w:val="0"/>
        <w:rPr>
          <w:rFonts w:hint="eastAsia" w:ascii="黑体" w:hAnsi="黑体" w:eastAsia="黑体"/>
          <w:sz w:val="44"/>
          <w:szCs w:val="44"/>
        </w:rPr>
      </w:pPr>
    </w:p>
    <w:p>
      <w:pPr>
        <w:spacing w:line="600" w:lineRule="exact"/>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71"/>
      <w:bookmarkEnd w:id="74"/>
      <w:bookmarkEnd w:id="75"/>
      <w:bookmarkStart w:id="76" w:name="_Toc15396619"/>
    </w:p>
    <w:p>
      <w:pPr>
        <w:pStyle w:val="4"/>
        <w:rPr>
          <w:rFonts w:ascii="仿宋" w:hAnsi="仿宋" w:eastAsia="仿宋"/>
        </w:rPr>
      </w:pPr>
      <w:bookmarkStart w:id="77" w:name="_Toc17424"/>
      <w:r>
        <w:rPr>
          <w:rFonts w:hint="eastAsia" w:ascii="仿宋" w:hAnsi="仿宋" w:eastAsia="仿宋"/>
          <w:b w:val="0"/>
        </w:rPr>
        <w:t>一、收</w:t>
      </w:r>
      <w:r>
        <w:rPr>
          <w:rStyle w:val="29"/>
          <w:rFonts w:hint="eastAsia" w:ascii="仿宋" w:hAnsi="仿宋" w:eastAsia="仿宋"/>
          <w:b w:val="0"/>
          <w:bCs w:val="0"/>
        </w:rPr>
        <w:t>入支出决算总表</w:t>
      </w:r>
      <w:bookmarkEnd w:id="76"/>
      <w:bookmarkEnd w:id="77"/>
    </w:p>
    <w:p>
      <w:pPr>
        <w:pStyle w:val="4"/>
        <w:rPr>
          <w:rFonts w:ascii="仿宋" w:hAnsi="仿宋" w:eastAsia="仿宋"/>
        </w:rPr>
      </w:pPr>
      <w:bookmarkStart w:id="78" w:name="_Toc24912"/>
      <w:bookmarkStart w:id="79" w:name="_Toc15396620"/>
      <w:r>
        <w:rPr>
          <w:rFonts w:hint="eastAsia" w:ascii="仿宋" w:hAnsi="仿宋" w:eastAsia="仿宋"/>
          <w:b w:val="0"/>
        </w:rPr>
        <w:t>二、收</w:t>
      </w:r>
      <w:r>
        <w:rPr>
          <w:rStyle w:val="29"/>
          <w:rFonts w:hint="eastAsia" w:ascii="仿宋" w:hAnsi="仿宋" w:eastAsia="仿宋"/>
          <w:b w:val="0"/>
          <w:bCs w:val="0"/>
        </w:rPr>
        <w:t>入决算表</w:t>
      </w:r>
      <w:bookmarkEnd w:id="78"/>
      <w:bookmarkEnd w:id="79"/>
    </w:p>
    <w:p>
      <w:pPr>
        <w:pStyle w:val="4"/>
        <w:rPr>
          <w:rFonts w:ascii="仿宋" w:hAnsi="仿宋" w:eastAsia="仿宋"/>
        </w:rPr>
      </w:pPr>
      <w:bookmarkStart w:id="80" w:name="_Toc15396621"/>
      <w:bookmarkStart w:id="81" w:name="_Toc21234"/>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80"/>
      <w:bookmarkEnd w:id="81"/>
    </w:p>
    <w:p>
      <w:pPr>
        <w:pStyle w:val="4"/>
        <w:rPr>
          <w:rFonts w:ascii="仿宋" w:hAnsi="仿宋" w:eastAsia="仿宋"/>
          <w:b w:val="0"/>
        </w:rPr>
      </w:pPr>
      <w:bookmarkStart w:id="82" w:name="_Toc2710"/>
      <w:bookmarkStart w:id="83"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2"/>
      <w:bookmarkEnd w:id="83"/>
    </w:p>
    <w:p>
      <w:pPr>
        <w:pStyle w:val="4"/>
        <w:rPr>
          <w:rStyle w:val="29"/>
          <w:rFonts w:ascii="仿宋" w:hAnsi="仿宋" w:eastAsia="仿宋"/>
          <w:b w:val="0"/>
          <w:bCs w:val="0"/>
        </w:rPr>
      </w:pPr>
      <w:bookmarkStart w:id="84" w:name="_Toc17409"/>
      <w:bookmarkStart w:id="85"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84"/>
      <w:bookmarkEnd w:id="85"/>
      <w:bookmarkStart w:id="86" w:name="_Toc15396624"/>
    </w:p>
    <w:p>
      <w:pPr>
        <w:pStyle w:val="4"/>
        <w:rPr>
          <w:rFonts w:ascii="仿宋" w:hAnsi="仿宋" w:eastAsia="仿宋"/>
        </w:rPr>
      </w:pPr>
      <w:bookmarkStart w:id="87" w:name="_Toc9455"/>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86"/>
      <w:bookmarkEnd w:id="87"/>
    </w:p>
    <w:p>
      <w:pPr>
        <w:pStyle w:val="4"/>
        <w:rPr>
          <w:rFonts w:ascii="仿宋" w:hAnsi="仿宋" w:eastAsia="仿宋"/>
        </w:rPr>
      </w:pPr>
      <w:bookmarkStart w:id="88" w:name="_Toc15396625"/>
      <w:bookmarkStart w:id="89" w:name="_Toc410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88"/>
      <w:bookmarkEnd w:id="89"/>
    </w:p>
    <w:p>
      <w:pPr>
        <w:pStyle w:val="4"/>
        <w:rPr>
          <w:rFonts w:ascii="仿宋" w:hAnsi="仿宋" w:eastAsia="仿宋"/>
        </w:rPr>
      </w:pPr>
      <w:bookmarkStart w:id="90" w:name="_Toc15396626"/>
      <w:bookmarkStart w:id="91" w:name="_Toc17597"/>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90"/>
      <w:bookmarkEnd w:id="91"/>
    </w:p>
    <w:p>
      <w:pPr>
        <w:pStyle w:val="4"/>
        <w:rPr>
          <w:rFonts w:ascii="仿宋" w:hAnsi="仿宋" w:eastAsia="仿宋"/>
        </w:rPr>
      </w:pPr>
      <w:bookmarkStart w:id="92" w:name="_Toc15396627"/>
      <w:bookmarkStart w:id="93" w:name="_Toc9605"/>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2"/>
      <w:bookmarkEnd w:id="93"/>
    </w:p>
    <w:p>
      <w:pPr>
        <w:pStyle w:val="4"/>
        <w:rPr>
          <w:rFonts w:ascii="仿宋" w:hAnsi="仿宋" w:eastAsia="仿宋"/>
        </w:rPr>
      </w:pPr>
      <w:bookmarkStart w:id="94" w:name="_Toc15396628"/>
      <w:bookmarkStart w:id="95" w:name="_Toc9133"/>
      <w:r>
        <w:rPr>
          <w:rStyle w:val="29"/>
          <w:rFonts w:hint="eastAsia" w:ascii="仿宋" w:hAnsi="仿宋" w:eastAsia="仿宋"/>
          <w:b w:val="0"/>
          <w:bCs w:val="0"/>
        </w:rPr>
        <w:t>十、</w:t>
      </w:r>
      <w:bookmarkEnd w:id="94"/>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95"/>
    </w:p>
    <w:p>
      <w:pPr>
        <w:pStyle w:val="4"/>
        <w:rPr>
          <w:rFonts w:ascii="仿宋" w:hAnsi="仿宋" w:eastAsia="仿宋"/>
        </w:rPr>
      </w:pPr>
      <w:bookmarkStart w:id="96" w:name="_Toc15396629"/>
      <w:bookmarkStart w:id="97" w:name="_Toc12329"/>
      <w:r>
        <w:rPr>
          <w:rStyle w:val="29"/>
          <w:rFonts w:hint="eastAsia" w:ascii="仿宋" w:hAnsi="仿宋" w:eastAsia="仿宋"/>
          <w:b w:val="0"/>
          <w:bCs w:val="0"/>
        </w:rPr>
        <w:t>十一、</w:t>
      </w:r>
      <w:bookmarkEnd w:id="96"/>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97"/>
    </w:p>
    <w:p>
      <w:pPr>
        <w:pStyle w:val="4"/>
        <w:rPr>
          <w:rFonts w:ascii="仿宋" w:hAnsi="仿宋" w:eastAsia="仿宋"/>
        </w:rPr>
      </w:pPr>
      <w:bookmarkStart w:id="98" w:name="_Toc15396630"/>
      <w:bookmarkStart w:id="99" w:name="_Toc31887"/>
      <w:r>
        <w:rPr>
          <w:rStyle w:val="29"/>
          <w:rFonts w:hint="eastAsia" w:ascii="仿宋" w:hAnsi="仿宋" w:eastAsia="仿宋"/>
          <w:b w:val="0"/>
          <w:bCs w:val="0"/>
        </w:rPr>
        <w:t>十二、</w:t>
      </w:r>
      <w:bookmarkEnd w:id="98"/>
      <w:r>
        <w:rPr>
          <w:rStyle w:val="29"/>
          <w:rFonts w:hint="eastAsia" w:ascii="仿宋" w:hAnsi="仿宋" w:eastAsia="仿宋"/>
          <w:b w:val="0"/>
          <w:bCs w:val="0"/>
        </w:rPr>
        <w:t>国有资本经营预算财政拨款支出决算表</w:t>
      </w:r>
      <w:bookmarkEnd w:id="99"/>
    </w:p>
    <w:p>
      <w:pPr>
        <w:pStyle w:val="4"/>
        <w:rPr>
          <w:rFonts w:eastAsia="仿宋"/>
        </w:rPr>
      </w:pPr>
      <w:bookmarkStart w:id="100" w:name="_Toc15396631"/>
      <w:bookmarkStart w:id="101" w:name="_Toc28093"/>
      <w:r>
        <w:rPr>
          <w:rStyle w:val="29"/>
          <w:rFonts w:hint="eastAsia" w:ascii="仿宋" w:hAnsi="仿宋" w:eastAsia="仿宋"/>
          <w:b w:val="0"/>
          <w:bCs w:val="0"/>
        </w:rPr>
        <w:t>十三、</w:t>
      </w:r>
      <w:bookmarkEnd w:id="100"/>
      <w:r>
        <w:rPr>
          <w:rStyle w:val="29"/>
          <w:rFonts w:hint="eastAsia" w:ascii="仿宋" w:hAnsi="仿宋" w:eastAsia="仿宋"/>
          <w:b w:val="0"/>
          <w:bCs w:val="0"/>
        </w:rPr>
        <w:t>财政拨款“三公”经费支出决算表</w:t>
      </w:r>
      <w:bookmarkEnd w:id="101"/>
    </w:p>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sdt>
                <w:sdtPr>
                  <w:id w:val="147471928"/>
                </w:sdtPr>
                <w:sdtContent>
                  <w:p>
                    <w:pPr>
                      <w:pStyle w:val="9"/>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2"/>
                  <w:spacing w:before="72"/>
                </w:pPr>
              </w:p>
            </w:txbxContent>
          </v:textbox>
        </v:shape>
      </w:pic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A0YzkxYWFkMjQzZTg5NDY3NzJjYjdhZTQ0YjFjMTcifQ=="/>
  </w:docVars>
  <w:rsids>
    <w:rsidRoot w:val="00F1361C"/>
    <w:rsid w:val="000222C6"/>
    <w:rsid w:val="0002549F"/>
    <w:rsid w:val="00025B15"/>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0661"/>
    <w:rsid w:val="000D1267"/>
    <w:rsid w:val="000D1D50"/>
    <w:rsid w:val="000D5782"/>
    <w:rsid w:val="000E6613"/>
    <w:rsid w:val="000E7119"/>
    <w:rsid w:val="00114E9B"/>
    <w:rsid w:val="00124374"/>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2529"/>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1552"/>
    <w:rsid w:val="004223DE"/>
    <w:rsid w:val="00425C50"/>
    <w:rsid w:val="0043177C"/>
    <w:rsid w:val="00434489"/>
    <w:rsid w:val="00437085"/>
    <w:rsid w:val="00443880"/>
    <w:rsid w:val="004464F4"/>
    <w:rsid w:val="0046049C"/>
    <w:rsid w:val="00471401"/>
    <w:rsid w:val="00473F31"/>
    <w:rsid w:val="00476F72"/>
    <w:rsid w:val="0048263A"/>
    <w:rsid w:val="00487E5D"/>
    <w:rsid w:val="004A711F"/>
    <w:rsid w:val="004B199D"/>
    <w:rsid w:val="004B4690"/>
    <w:rsid w:val="004E0A2D"/>
    <w:rsid w:val="004E0C35"/>
    <w:rsid w:val="004E206B"/>
    <w:rsid w:val="004E6DF7"/>
    <w:rsid w:val="004F0FBD"/>
    <w:rsid w:val="00505A47"/>
    <w:rsid w:val="00512FDA"/>
    <w:rsid w:val="00515A48"/>
    <w:rsid w:val="00520DA0"/>
    <w:rsid w:val="005533CF"/>
    <w:rsid w:val="005664BB"/>
    <w:rsid w:val="00566FFA"/>
    <w:rsid w:val="0057481D"/>
    <w:rsid w:val="0058486E"/>
    <w:rsid w:val="00585B33"/>
    <w:rsid w:val="005876DC"/>
    <w:rsid w:val="0059014D"/>
    <w:rsid w:val="005B5C64"/>
    <w:rsid w:val="005B6E8A"/>
    <w:rsid w:val="005C5337"/>
    <w:rsid w:val="005C6BD0"/>
    <w:rsid w:val="005D1C8B"/>
    <w:rsid w:val="005D468D"/>
    <w:rsid w:val="005D5CED"/>
    <w:rsid w:val="005F0ACF"/>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C47BE"/>
    <w:rsid w:val="006F020C"/>
    <w:rsid w:val="0071021A"/>
    <w:rsid w:val="007127B7"/>
    <w:rsid w:val="0071798E"/>
    <w:rsid w:val="0073743B"/>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56D0"/>
    <w:rsid w:val="007F1991"/>
    <w:rsid w:val="007F2C2F"/>
    <w:rsid w:val="007F55FC"/>
    <w:rsid w:val="007F5665"/>
    <w:rsid w:val="00800112"/>
    <w:rsid w:val="00813102"/>
    <w:rsid w:val="00813348"/>
    <w:rsid w:val="008253BB"/>
    <w:rsid w:val="00833A37"/>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2BF3"/>
    <w:rsid w:val="0098660A"/>
    <w:rsid w:val="009931C3"/>
    <w:rsid w:val="009A2820"/>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0675"/>
    <w:rsid w:val="00A91760"/>
    <w:rsid w:val="00A93B00"/>
    <w:rsid w:val="00A93C21"/>
    <w:rsid w:val="00AB64C9"/>
    <w:rsid w:val="00AC3C6A"/>
    <w:rsid w:val="00AD5620"/>
    <w:rsid w:val="00AD656B"/>
    <w:rsid w:val="00AD7C1B"/>
    <w:rsid w:val="00AE16BA"/>
    <w:rsid w:val="00AE1CAB"/>
    <w:rsid w:val="00AE1EBE"/>
    <w:rsid w:val="00AE6A85"/>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7387"/>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9C8"/>
    <w:rsid w:val="00D36AFE"/>
    <w:rsid w:val="00D51276"/>
    <w:rsid w:val="00D7035F"/>
    <w:rsid w:val="00DA634F"/>
    <w:rsid w:val="00DA65AC"/>
    <w:rsid w:val="00DB1913"/>
    <w:rsid w:val="00DC04C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7557"/>
    <w:rsid w:val="00F754A1"/>
    <w:rsid w:val="00F81FD9"/>
    <w:rsid w:val="00F841AA"/>
    <w:rsid w:val="00F84A94"/>
    <w:rsid w:val="00F87E96"/>
    <w:rsid w:val="00FA23E8"/>
    <w:rsid w:val="00FD00FD"/>
    <w:rsid w:val="00FD3CC1"/>
    <w:rsid w:val="00FF1E02"/>
    <w:rsid w:val="00FF30B4"/>
    <w:rsid w:val="00FF411C"/>
    <w:rsid w:val="02121FCC"/>
    <w:rsid w:val="03DC2831"/>
    <w:rsid w:val="07AD4F57"/>
    <w:rsid w:val="081B5E94"/>
    <w:rsid w:val="0A2032A3"/>
    <w:rsid w:val="0ABA1F25"/>
    <w:rsid w:val="0B8A37D8"/>
    <w:rsid w:val="0F5FFB2F"/>
    <w:rsid w:val="0FFFCF60"/>
    <w:rsid w:val="106D50B9"/>
    <w:rsid w:val="10C055FF"/>
    <w:rsid w:val="118107EC"/>
    <w:rsid w:val="11DD6519"/>
    <w:rsid w:val="16BB723D"/>
    <w:rsid w:val="172A6C08"/>
    <w:rsid w:val="17E42975"/>
    <w:rsid w:val="18015F3F"/>
    <w:rsid w:val="1BE8440E"/>
    <w:rsid w:val="1D155CEE"/>
    <w:rsid w:val="1FDBBF84"/>
    <w:rsid w:val="20F57F95"/>
    <w:rsid w:val="240371BF"/>
    <w:rsid w:val="25711CC6"/>
    <w:rsid w:val="25C741E6"/>
    <w:rsid w:val="276F80C0"/>
    <w:rsid w:val="27842671"/>
    <w:rsid w:val="29FD04D3"/>
    <w:rsid w:val="2ABE7A3E"/>
    <w:rsid w:val="2AFF09B6"/>
    <w:rsid w:val="2CA234A8"/>
    <w:rsid w:val="2D4C1824"/>
    <w:rsid w:val="2EFA178C"/>
    <w:rsid w:val="2EFDF86C"/>
    <w:rsid w:val="2F9D17E1"/>
    <w:rsid w:val="30B46D73"/>
    <w:rsid w:val="319F7F4E"/>
    <w:rsid w:val="356A28F1"/>
    <w:rsid w:val="357C035A"/>
    <w:rsid w:val="367D0FF5"/>
    <w:rsid w:val="368E000D"/>
    <w:rsid w:val="383D272C"/>
    <w:rsid w:val="38C74672"/>
    <w:rsid w:val="39AE70AB"/>
    <w:rsid w:val="3A4DCE41"/>
    <w:rsid w:val="3AC552E5"/>
    <w:rsid w:val="3BCB56FA"/>
    <w:rsid w:val="3C0C0783"/>
    <w:rsid w:val="3D677F0A"/>
    <w:rsid w:val="3EE7C2F4"/>
    <w:rsid w:val="3F371B56"/>
    <w:rsid w:val="3F792ED8"/>
    <w:rsid w:val="3F9F3A96"/>
    <w:rsid w:val="3FECA4B2"/>
    <w:rsid w:val="3FF58C48"/>
    <w:rsid w:val="418E3FF5"/>
    <w:rsid w:val="42FF6694"/>
    <w:rsid w:val="48BF60AB"/>
    <w:rsid w:val="493C27E9"/>
    <w:rsid w:val="496F39ED"/>
    <w:rsid w:val="49FF41D3"/>
    <w:rsid w:val="4BE068DB"/>
    <w:rsid w:val="4BF6002B"/>
    <w:rsid w:val="4BFFC6BE"/>
    <w:rsid w:val="4ECE2238"/>
    <w:rsid w:val="51DB4B86"/>
    <w:rsid w:val="51F64DB0"/>
    <w:rsid w:val="539B6D85"/>
    <w:rsid w:val="55333C3E"/>
    <w:rsid w:val="5C8A7D3A"/>
    <w:rsid w:val="5F387044"/>
    <w:rsid w:val="5F67802D"/>
    <w:rsid w:val="5F7DC4F2"/>
    <w:rsid w:val="5FB36814"/>
    <w:rsid w:val="5FBB8E56"/>
    <w:rsid w:val="5FFB5535"/>
    <w:rsid w:val="64CA39A1"/>
    <w:rsid w:val="66FD4B08"/>
    <w:rsid w:val="680F277C"/>
    <w:rsid w:val="69630ADE"/>
    <w:rsid w:val="69BD5F13"/>
    <w:rsid w:val="69FB0B4B"/>
    <w:rsid w:val="6AC41FD2"/>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2A458E"/>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FollowedHyperlink"/>
    <w:basedOn w:val="15"/>
    <w:semiHidden/>
    <w:unhideWhenUsed/>
    <w:uiPriority w:val="99"/>
    <w:rPr>
      <w:color w:val="800080"/>
      <w:u w:val="single"/>
    </w:rPr>
  </w:style>
  <w:style w:type="character" w:styleId="18">
    <w:name w:val="Hyperlink"/>
    <w:basedOn w:val="15"/>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5"/>
    <w:link w:val="8"/>
    <w:semiHidden/>
    <w:qFormat/>
    <w:uiPriority w:val="99"/>
    <w:rPr>
      <w:rFonts w:ascii="Times New Roman" w:hAnsi="Times New Roman"/>
      <w:kern w:val="2"/>
      <w:sz w:val="18"/>
      <w:szCs w:val="18"/>
    </w:rPr>
  </w:style>
  <w:style w:type="character" w:customStyle="1" w:styleId="32">
    <w:name w:val="标题 3 Char"/>
    <w:basedOn w:val="15"/>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uiPriority w:val="0"/>
    <w:pPr>
      <w:ind w:left="200" w:leftChars="200"/>
    </w:pPr>
    <w:rPr>
      <w:rFonts w:ascii="Times New Roman" w:hAnsi="Times New Roman" w:eastAsia="宋体" w:cs="Times New Roman"/>
      <w:lang w:val="en-US" w:eastAsia="zh-CN" w:bidi="ar-SA"/>
    </w:rPr>
  </w:style>
  <w:style w:type="paragraph" w:customStyle="1" w:styleId="36">
    <w:name w:val="xl6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7">
    <w:name w:val="xl66"/>
    <w:basedOn w:val="1"/>
    <w:uiPriority w:val="0"/>
    <w:pPr>
      <w:widowControl/>
      <w:spacing w:before="100" w:beforeAutospacing="1" w:after="100" w:afterAutospacing="1"/>
      <w:jc w:val="left"/>
    </w:pPr>
    <w:rPr>
      <w:rFonts w:ascii="黑体" w:hAnsi="黑体" w:cs="宋体"/>
      <w:color w:val="000000"/>
      <w:kern w:val="0"/>
      <w:sz w:val="18"/>
      <w:szCs w:val="18"/>
    </w:rPr>
  </w:style>
  <w:style w:type="paragraph" w:customStyle="1" w:styleId="38">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9">
    <w:name w:val="xl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0">
    <w:name w:val="xl6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2">
    <w:name w:val="xl71"/>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3">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宋体" w:eastAsia="黑体" w:cs="宋体"/>
      <w:b/>
      <w:bCs/>
      <w:color w:val="000000"/>
      <w:kern w:val="0"/>
      <w:sz w:val="30"/>
      <w:szCs w:val="30"/>
    </w:rPr>
  </w:style>
  <w:style w:type="paragraph" w:customStyle="1" w:styleId="44">
    <w:name w:val="xl7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cs="宋体"/>
      <w:color w:val="000000"/>
      <w:kern w:val="0"/>
      <w:sz w:val="18"/>
      <w:szCs w:val="18"/>
    </w:rPr>
  </w:style>
  <w:style w:type="paragraph" w:customStyle="1" w:styleId="45">
    <w:name w:val="xl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cs="宋体"/>
      <w:color w:val="000000"/>
      <w:kern w:val="0"/>
      <w:sz w:val="18"/>
      <w:szCs w:val="18"/>
    </w:rPr>
  </w:style>
  <w:style w:type="paragraph" w:customStyle="1" w:styleId="46">
    <w:name w:val="xl7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cs="宋体"/>
      <w:i/>
      <w:iCs/>
      <w:color w:val="000000"/>
      <w:kern w:val="0"/>
      <w:sz w:val="18"/>
      <w:szCs w:val="18"/>
    </w:rPr>
  </w:style>
  <w:style w:type="paragraph" w:customStyle="1" w:styleId="47">
    <w:name w:val="xl7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Workbook1.xls"/><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1.xml"/><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Workbook6.xls"/><Relationship Id="rId17" Type="http://schemas.openxmlformats.org/officeDocument/2006/relationships/image" Target="media/image5.emf"/><Relationship Id="rId16" Type="http://schemas.openxmlformats.org/officeDocument/2006/relationships/oleObject" Target="embeddings/Workbook5.xls"/><Relationship Id="rId15" Type="http://schemas.openxmlformats.org/officeDocument/2006/relationships/image" Target="media/image4.emf"/><Relationship Id="rId14" Type="http://schemas.openxmlformats.org/officeDocument/2006/relationships/oleObject" Target="embeddings/Workbook4.xls"/><Relationship Id="rId13" Type="http://schemas.openxmlformats.org/officeDocument/2006/relationships/image" Target="media/image3.emf"/><Relationship Id="rId12" Type="http://schemas.openxmlformats.org/officeDocument/2006/relationships/oleObject" Target="embeddings/Workbook3.xls"/><Relationship Id="rId11" Type="http://schemas.openxmlformats.org/officeDocument/2006/relationships/image" Target="media/image2.emf"/><Relationship Id="rId10" Type="http://schemas.openxmlformats.org/officeDocument/2006/relationships/oleObject" Target="embeddings/Workbook2.xls"/><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968414779499405"/>
          <c:y val="0.500576036866359"/>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公务接待费</c:v>
                </c:pt>
                <c:pt idx="1">
                  <c:v>因公出国（境）费</c:v>
                </c:pt>
                <c:pt idx="2">
                  <c:v>公务用车购置及运行维护费</c:v>
                </c:pt>
              </c:strCache>
            </c:strRef>
          </c:cat>
          <c:val>
            <c:numRef>
              <c:f>Sheet1!$B$2:$B$4</c:f>
              <c:numCache>
                <c:formatCode>General</c:formatCode>
                <c:ptCount val="3"/>
                <c:pt idx="0">
                  <c:v>0.1</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12141</Words>
  <Characters>5745</Characters>
  <Lines>47</Lines>
  <Paragraphs>35</Paragraphs>
  <TotalTime>37</TotalTime>
  <ScaleCrop>false</ScaleCrop>
  <LinksUpToDate>false</LinksUpToDate>
  <CharactersWithSpaces>17851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2023-08-03T02:35:00Z</cp:lastPrinted>
  <dcterms:modified xsi:type="dcterms:W3CDTF">2024-10-26T07:32:55Z</dcterms:modified>
  <dc:title>四川省***</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7119FCBC50254B0C9488BA92EA54B57E_13</vt:lpwstr>
  </property>
</Properties>
</file>