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C9C6">
      <w:pPr>
        <w:spacing w:line="600" w:lineRule="exact"/>
        <w:jc w:val="center"/>
        <w:outlineLvl w:val="0"/>
        <w:rPr>
          <w:rFonts w:ascii="方正小标宋简体" w:hAnsi="宋体" w:eastAsia="方正小标宋简体"/>
          <w:color w:val="auto"/>
          <w:sz w:val="72"/>
          <w:szCs w:val="72"/>
        </w:rPr>
      </w:pPr>
      <w:bookmarkStart w:id="0" w:name="_Toc15306267"/>
    </w:p>
    <w:p w14:paraId="0B0A42A5">
      <w:pPr>
        <w:spacing w:line="600" w:lineRule="exact"/>
        <w:jc w:val="center"/>
        <w:outlineLvl w:val="0"/>
        <w:rPr>
          <w:rFonts w:ascii="方正小标宋简体" w:hAnsi="宋体" w:eastAsia="方正小标宋简体"/>
          <w:color w:val="auto"/>
          <w:sz w:val="72"/>
          <w:szCs w:val="72"/>
        </w:rPr>
      </w:pPr>
    </w:p>
    <w:p w14:paraId="4641B290">
      <w:pPr>
        <w:spacing w:line="600" w:lineRule="exact"/>
        <w:jc w:val="center"/>
        <w:outlineLvl w:val="0"/>
        <w:rPr>
          <w:rFonts w:ascii="方正小标宋简体" w:hAnsi="宋体" w:eastAsia="方正小标宋简体"/>
          <w:color w:val="auto"/>
          <w:sz w:val="72"/>
          <w:szCs w:val="72"/>
        </w:rPr>
      </w:pPr>
    </w:p>
    <w:p w14:paraId="073BB38A">
      <w:pPr>
        <w:spacing w:line="600" w:lineRule="exact"/>
        <w:jc w:val="center"/>
        <w:outlineLvl w:val="0"/>
        <w:rPr>
          <w:rFonts w:ascii="方正小标宋简体" w:hAnsi="宋体" w:eastAsia="方正小标宋简体"/>
          <w:color w:val="auto"/>
          <w:sz w:val="72"/>
          <w:szCs w:val="72"/>
        </w:rPr>
      </w:pPr>
    </w:p>
    <w:bookmarkEnd w:id="0"/>
    <w:p w14:paraId="3283F8CA">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1" w:name="_Toc15396597"/>
      <w:bookmarkStart w:id="2" w:name="_Toc15396475"/>
      <w:bookmarkStart w:id="3" w:name="_Toc15377193"/>
      <w:bookmarkStart w:id="4" w:name="_Toc15378441"/>
      <w:bookmarkStart w:id="5" w:name="_Toc15377425"/>
      <w:r>
        <w:rPr>
          <w:rFonts w:hint="eastAsia" w:ascii="方正小标宋简体" w:hAnsi="方正小标宋简体" w:eastAsia="方正小标宋简体" w:cs="方正小标宋简体"/>
          <w:color w:val="auto"/>
          <w:w w:val="90"/>
          <w:sz w:val="60"/>
          <w:szCs w:val="60"/>
          <w:highlight w:val="none"/>
        </w:rPr>
        <w:t>20</w:t>
      </w:r>
      <w:r>
        <w:rPr>
          <w:rFonts w:hint="eastAsia" w:ascii="方正小标宋简体" w:hAnsi="方正小标宋简体" w:eastAsia="方正小标宋简体" w:cs="方正小标宋简体"/>
          <w:color w:val="auto"/>
          <w:w w:val="90"/>
          <w:sz w:val="60"/>
          <w:szCs w:val="60"/>
          <w:highlight w:val="none"/>
          <w:lang w:val="en-US" w:eastAsia="zh-CN"/>
        </w:rPr>
        <w:t>23</w:t>
      </w:r>
      <w:r>
        <w:rPr>
          <w:rFonts w:hint="eastAsia" w:ascii="方正小标宋简体" w:hAnsi="方正小标宋简体" w:eastAsia="方正小标宋简体" w:cs="方正小标宋简体"/>
          <w:color w:val="auto"/>
          <w:w w:val="90"/>
          <w:sz w:val="60"/>
          <w:szCs w:val="60"/>
          <w:highlight w:val="none"/>
        </w:rPr>
        <w:t>年度</w:t>
      </w:r>
      <w:bookmarkEnd w:id="1"/>
      <w:bookmarkEnd w:id="2"/>
      <w:bookmarkEnd w:id="3"/>
      <w:bookmarkEnd w:id="4"/>
      <w:bookmarkEnd w:id="5"/>
    </w:p>
    <w:p w14:paraId="36F280A5">
      <w:pPr>
        <w:adjustRightInd w:val="0"/>
        <w:snapToGrid w:val="0"/>
        <w:spacing w:line="240" w:lineRule="auto"/>
        <w:jc w:val="center"/>
        <w:outlineLvl w:val="0"/>
        <w:rPr>
          <w:rFonts w:hint="eastAsia" w:ascii="方正小标宋简体" w:hAnsi="方正小标宋简体" w:eastAsia="方正小标宋简体" w:cs="方正小标宋简体"/>
          <w:color w:val="auto"/>
          <w:w w:val="90"/>
          <w:sz w:val="60"/>
          <w:szCs w:val="60"/>
          <w:highlight w:val="none"/>
        </w:rPr>
      </w:pPr>
      <w:bookmarkStart w:id="6" w:name="_Toc15377194"/>
      <w:bookmarkStart w:id="7" w:name="_Toc15396476"/>
      <w:bookmarkStart w:id="8" w:name="_Toc15377426"/>
      <w:bookmarkStart w:id="9" w:name="_Toc15378442"/>
      <w:bookmarkStart w:id="10" w:name="_Toc15396598"/>
      <w:r>
        <w:rPr>
          <w:rFonts w:hint="eastAsia" w:ascii="方正小标宋简体" w:hAnsi="方正小标宋简体" w:eastAsia="方正小标宋简体" w:cs="方正小标宋简体"/>
          <w:color w:val="auto"/>
          <w:w w:val="90"/>
          <w:sz w:val="60"/>
          <w:szCs w:val="60"/>
          <w:highlight w:val="none"/>
          <w:lang w:eastAsia="zh-CN"/>
        </w:rPr>
        <w:t>大竹县</w:t>
      </w:r>
      <w:bookmarkStart w:id="11" w:name="_Toc15306268"/>
      <w:r>
        <w:rPr>
          <w:rFonts w:hint="eastAsia" w:ascii="方正小标宋简体" w:hAnsi="方正小标宋简体" w:eastAsia="方正小标宋简体" w:cs="方正小标宋简体"/>
          <w:color w:val="auto"/>
          <w:w w:val="90"/>
          <w:sz w:val="60"/>
          <w:szCs w:val="60"/>
          <w:highlight w:val="none"/>
          <w:lang w:val="en-US" w:eastAsia="zh-CN"/>
        </w:rPr>
        <w:t>农村饮水安全水质检测中心</w:t>
      </w:r>
      <w:r>
        <w:rPr>
          <w:rFonts w:hint="eastAsia" w:ascii="方正小标宋简体" w:hAnsi="方正小标宋简体" w:eastAsia="方正小标宋简体" w:cs="方正小标宋简体"/>
          <w:color w:val="auto"/>
          <w:w w:val="90"/>
          <w:sz w:val="60"/>
          <w:szCs w:val="60"/>
          <w:highlight w:val="none"/>
          <w:lang w:eastAsia="zh-CN"/>
        </w:rPr>
        <w:t>单位</w:t>
      </w:r>
      <w:r>
        <w:rPr>
          <w:rFonts w:hint="eastAsia" w:ascii="方正小标宋简体" w:hAnsi="方正小标宋简体" w:eastAsia="方正小标宋简体" w:cs="方正小标宋简体"/>
          <w:color w:val="auto"/>
          <w:w w:val="90"/>
          <w:sz w:val="60"/>
          <w:szCs w:val="60"/>
          <w:highlight w:val="none"/>
          <w:lang w:val="en-US" w:eastAsia="zh-CN"/>
        </w:rPr>
        <w:t>决</w:t>
      </w:r>
      <w:r>
        <w:rPr>
          <w:rFonts w:hint="eastAsia" w:ascii="方正小标宋简体" w:hAnsi="方正小标宋简体" w:eastAsia="方正小标宋简体" w:cs="方正小标宋简体"/>
          <w:color w:val="auto"/>
          <w:w w:val="90"/>
          <w:sz w:val="60"/>
          <w:szCs w:val="60"/>
          <w:highlight w:val="none"/>
        </w:rPr>
        <w:t>算</w:t>
      </w:r>
      <w:bookmarkEnd w:id="6"/>
      <w:bookmarkEnd w:id="7"/>
      <w:bookmarkEnd w:id="8"/>
      <w:bookmarkEnd w:id="9"/>
      <w:bookmarkEnd w:id="10"/>
      <w:bookmarkEnd w:id="11"/>
    </w:p>
    <w:p w14:paraId="78589ACC">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w:t>
      </w:r>
    </w:p>
    <w:p w14:paraId="01CD67F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F0ECBCD">
      <w:pPr>
        <w:widowControl/>
        <w:jc w:val="center"/>
        <w:rPr>
          <w:rFonts w:ascii="黑体" w:hAnsi="黑体" w:eastAsia="黑体" w:cstheme="minorBidi"/>
          <w:color w:val="auto"/>
          <w:sz w:val="28"/>
          <w:szCs w:val="28"/>
          <w:highlight w:val="none"/>
        </w:rPr>
      </w:pPr>
    </w:p>
    <w:p w14:paraId="5222D82C">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196A4B66">
      <w:pPr>
        <w:rPr>
          <w:color w:val="auto"/>
          <w:highlight w:val="none"/>
        </w:rPr>
      </w:pPr>
    </w:p>
    <w:p w14:paraId="75FB266B">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第一部分 单位概况</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442A9B21">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一、主要职责</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4</w:t>
      </w:r>
    </w:p>
    <w:p w14:paraId="26D73DCA">
      <w:pPr>
        <w:pStyle w:val="14"/>
        <w:jc w:val="center"/>
        <w:rPr>
          <w:rFonts w:ascii="仿宋" w:hAnsi="仿宋" w:eastAsia="仿宋"/>
          <w:color w:val="auto"/>
          <w:sz w:val="28"/>
          <w:szCs w:val="28"/>
          <w:u w:val="none"/>
        </w:rPr>
      </w:pPr>
      <w:r>
        <w:rPr>
          <w:color w:val="auto"/>
          <w:u w:val="none"/>
        </w:rPr>
        <w:fldChar w:fldCharType="begin"/>
      </w:r>
      <w:r>
        <w:rPr>
          <w:color w:val="auto"/>
          <w:u w:val="none"/>
        </w:rPr>
        <w:instrText xml:space="preserve"> HYPERLINK \l "_Toc15396601" </w:instrText>
      </w:r>
      <w:r>
        <w:rPr>
          <w:color w:val="auto"/>
          <w:u w:val="none"/>
        </w:rPr>
        <w:fldChar w:fldCharType="separate"/>
      </w:r>
      <w:r>
        <w:rPr>
          <w:rStyle w:val="18"/>
          <w:rFonts w:hint="eastAsia" w:ascii="仿宋" w:hAnsi="仿宋" w:eastAsia="仿宋"/>
          <w:color w:val="auto"/>
          <w:sz w:val="28"/>
          <w:szCs w:val="28"/>
          <w:u w:val="none"/>
          <w:lang w:val="en-US" w:eastAsia="zh-CN"/>
        </w:rPr>
        <w:t>二</w:t>
      </w:r>
      <w:r>
        <w:rPr>
          <w:rStyle w:val="18"/>
          <w:rFonts w:hint="eastAsia" w:ascii="仿宋" w:hAnsi="仿宋" w:eastAsia="仿宋"/>
          <w:color w:val="auto"/>
          <w:sz w:val="28"/>
          <w:szCs w:val="28"/>
          <w:u w:val="none"/>
        </w:rPr>
        <w:t>、机构设置</w:t>
      </w:r>
      <w:r>
        <w:rPr>
          <w:rFonts w:ascii="仿宋" w:hAnsi="仿宋" w:eastAsia="仿宋"/>
          <w:color w:val="auto"/>
          <w:sz w:val="28"/>
          <w:szCs w:val="28"/>
          <w:u w:val="none"/>
        </w:rPr>
        <w:tab/>
      </w:r>
      <w:r>
        <w:rPr>
          <w:rFonts w:hint="eastAsia" w:ascii="仿宋" w:hAnsi="仿宋" w:eastAsia="仿宋"/>
          <w:color w:val="auto"/>
          <w:sz w:val="28"/>
          <w:szCs w:val="28"/>
          <w:u w:val="none"/>
          <w:lang w:val="en-US" w:eastAsia="zh-CN"/>
        </w:rPr>
        <w:t>4</w:t>
      </w:r>
      <w:r>
        <w:rPr>
          <w:rFonts w:ascii="仿宋" w:hAnsi="仿宋" w:eastAsia="仿宋"/>
          <w:color w:val="auto"/>
          <w:sz w:val="28"/>
          <w:szCs w:val="28"/>
          <w:u w:val="none"/>
        </w:rPr>
        <w:fldChar w:fldCharType="end"/>
      </w:r>
    </w:p>
    <w:p w14:paraId="697E5BCF">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第二部分 2023年度单位决算情况说明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A53F5EA">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3EEF4CE8">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5</w:t>
      </w:r>
    </w:p>
    <w:p w14:paraId="23FA91D6">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6</w:t>
      </w:r>
    </w:p>
    <w:p w14:paraId="00522AED">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四、财政拨款收入支出决算总体情况说明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2C4089FE">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五、一般公共预算财政拨款支出决算情况说明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7</w:t>
      </w:r>
    </w:p>
    <w:p w14:paraId="3A6A830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六、一般公共预算财政拨款基本支出决算情况说明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10</w:t>
      </w:r>
    </w:p>
    <w:p w14:paraId="47FE4B8B">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七、财政拨款“三公”经费支出决算情况说明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11</w:t>
      </w:r>
    </w:p>
    <w:p w14:paraId="3B925DD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八、政府性基金预算支出决算情况说明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0539C40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九、国有资本经营预算支出决算情况说明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53751A0D">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十、其他重要事项的情况说明</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13</w:t>
      </w:r>
    </w:p>
    <w:p w14:paraId="3DE29ACB">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第三部分 名词解释</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16</w:t>
      </w:r>
    </w:p>
    <w:p w14:paraId="6407E32F">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第四部分 附件</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19</w:t>
      </w:r>
    </w:p>
    <w:p w14:paraId="77F16AA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第五部分 附表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9624C2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一、收入支出决算总表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1CB2987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二、收入决算表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4C651A0">
      <w:pPr>
        <w:pStyle w:val="14"/>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三、支出决算表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2D93AC1">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四、财政拨款收入支出决算总表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B05600B">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五、财政拨款支出决算明细表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3D1BC36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六、一般公共预算财政拨款支出决算表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0463D87E">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七、一般公共预算财政拨款支出决算明细表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4C6B418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八、一般公共预算财政拨款基本支出决算表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5F3BD91A">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九、一般公共预算财政拨款项目支出决算表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79B8608">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十、一般公共预算财政拨款“三公”经费支出决算表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6B160AB3">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十一、政府性基金预算财政拨款收入支出决算表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5A94D0">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十二、政府性基金预算财政拨款“三公”经费支出决算表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21718AC">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十三、国有资本经营预算财政拨款收入支出决算表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2CBDBF43">
      <w:pPr>
        <w:pStyle w:val="14"/>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十四、国有资本经营预算财政拨款支出决算表</w:t>
      </w:r>
      <w:r>
        <w:rPr>
          <w:rFonts w:hint="eastAsia" w:ascii="仿宋" w:hAnsi="仿宋" w:eastAsia="仿宋" w:cs="Times New Roman"/>
          <w:color w:val="auto"/>
          <w:sz w:val="28"/>
          <w:szCs w:val="28"/>
          <w:lang w:val="en-US" w:eastAsia="zh-CN"/>
        </w:rPr>
        <w:tab/>
      </w:r>
      <w:r>
        <w:rPr>
          <w:rFonts w:hint="eastAsia" w:ascii="仿宋" w:hAnsi="仿宋" w:eastAsia="仿宋" w:cs="Times New Roman"/>
          <w:color w:val="auto"/>
          <w:sz w:val="28"/>
          <w:szCs w:val="28"/>
          <w:lang w:val="en-US" w:eastAsia="zh-CN"/>
        </w:rPr>
        <w:t>23</w:t>
      </w:r>
    </w:p>
    <w:p w14:paraId="7E12AAC8">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14:paraId="36C4A87C">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12"/>
      <w:bookmarkEnd w:id="13"/>
    </w:p>
    <w:p w14:paraId="24B01844">
      <w:pPr>
        <w:widowControl/>
        <w:jc w:val="left"/>
        <w:rPr>
          <w:rFonts w:ascii="黑体" w:eastAsia="黑体"/>
          <w:color w:val="auto"/>
          <w:sz w:val="32"/>
          <w:szCs w:val="32"/>
          <w:highlight w:val="none"/>
        </w:rPr>
      </w:pPr>
    </w:p>
    <w:p w14:paraId="1265C92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Style w:val="29"/>
          <w:rFonts w:hint="default" w:ascii="黑体" w:hAnsi="黑体" w:eastAsia="黑体"/>
          <w:b w:val="0"/>
          <w:bCs w:val="0"/>
          <w:color w:val="auto"/>
          <w:highlight w:val="none"/>
          <w:lang w:val="en-US" w:eastAsia="zh-CN"/>
        </w:rPr>
      </w:pPr>
      <w:bookmarkStart w:id="14" w:name="_Toc15396600"/>
      <w:bookmarkStart w:id="15" w:name="_Toc15377197"/>
      <w:r>
        <w:rPr>
          <w:rStyle w:val="29"/>
          <w:rFonts w:hint="eastAsia" w:ascii="黑体" w:hAnsi="黑体" w:eastAsia="黑体"/>
          <w:b w:val="0"/>
          <w:bCs w:val="0"/>
          <w:color w:val="auto"/>
          <w:highlight w:val="none"/>
          <w:lang w:val="en-US" w:eastAsia="zh-CN"/>
        </w:rPr>
        <w:t>一、主要职责</w:t>
      </w:r>
    </w:p>
    <w:bookmarkEnd w:id="14"/>
    <w:bookmarkEnd w:id="15"/>
    <w:p w14:paraId="7553C209">
      <w:pPr>
        <w:pStyle w:val="6"/>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会同相关单位做好</w:t>
      </w:r>
      <w:r>
        <w:rPr>
          <w:rFonts w:hint="eastAsia" w:ascii="仿宋" w:hAnsi="仿宋" w:eastAsia="仿宋"/>
          <w:bCs/>
          <w:color w:val="000000"/>
          <w:sz w:val="32"/>
          <w:szCs w:val="32"/>
          <w:lang w:val="en-US" w:eastAsia="zh-CN"/>
        </w:rPr>
        <w:t>农村饮水的水质进行检测和监测，对水质状况做出分析和评价，负责农村水厂水处理技术指导和培训</w:t>
      </w:r>
      <w:r>
        <w:rPr>
          <w:rFonts w:hint="eastAsia" w:ascii="仿宋" w:hAnsi="仿宋" w:eastAsia="仿宋"/>
          <w:bCs/>
          <w:color w:val="000000"/>
          <w:sz w:val="32"/>
          <w:szCs w:val="32"/>
        </w:rPr>
        <w:t>。承办派驻乡镇（街道）党委（党工委）、政府（办事处）和县水务局交办的其他工作。</w:t>
      </w:r>
    </w:p>
    <w:p w14:paraId="07BD72EA">
      <w:pPr>
        <w:pStyle w:val="4"/>
        <w:keepNext/>
        <w:keepLines/>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textAlignment w:val="auto"/>
        <w:rPr>
          <w:rStyle w:val="29"/>
          <w:rFonts w:hint="eastAsia" w:ascii="黑体" w:hAnsi="黑体" w:eastAsia="黑体"/>
          <w:b w:val="0"/>
          <w:bCs w:val="0"/>
          <w:color w:val="auto"/>
          <w:highlight w:val="none"/>
        </w:rPr>
      </w:pPr>
      <w:r>
        <w:rPr>
          <w:rStyle w:val="29"/>
          <w:rFonts w:hint="eastAsia" w:ascii="黑体" w:hAnsi="黑体" w:eastAsia="黑体"/>
          <w:b w:val="0"/>
          <w:bCs w:val="0"/>
          <w:color w:val="auto"/>
          <w:highlight w:val="none"/>
          <w:lang w:val="en-US" w:eastAsia="zh-CN"/>
        </w:rPr>
        <w:t>二</w:t>
      </w:r>
      <w:r>
        <w:rPr>
          <w:rStyle w:val="29"/>
          <w:rFonts w:hint="eastAsia" w:ascii="黑体" w:hAnsi="黑体" w:eastAsia="黑体"/>
          <w:b w:val="0"/>
          <w:bCs w:val="0"/>
          <w:color w:val="auto"/>
          <w:highlight w:val="none"/>
          <w:lang w:eastAsia="zh-CN"/>
        </w:rPr>
        <w:t>、</w:t>
      </w:r>
      <w:r>
        <w:rPr>
          <w:rStyle w:val="29"/>
          <w:rFonts w:hint="eastAsia" w:ascii="黑体" w:hAnsi="黑体" w:eastAsia="黑体"/>
          <w:b w:val="0"/>
          <w:bCs w:val="0"/>
          <w:color w:val="auto"/>
          <w:highlight w:val="none"/>
        </w:rPr>
        <w:t>机构设置</w:t>
      </w:r>
    </w:p>
    <w:p w14:paraId="4EAA14B6">
      <w:pPr>
        <w:spacing w:line="578" w:lineRule="exact"/>
        <w:ind w:firstLine="800" w:firstLineChars="250"/>
        <w:rPr>
          <w:rFonts w:hint="default" w:ascii="黑体" w:hAnsi="黑体" w:eastAsia="黑体"/>
          <w:b w:val="0"/>
          <w:bCs/>
          <w:color w:val="auto"/>
          <w:highlight w:val="none"/>
          <w:lang w:val="en-US"/>
        </w:rPr>
      </w:pPr>
      <w:r>
        <w:rPr>
          <w:rFonts w:hint="eastAsia" w:ascii="仿宋" w:hAnsi="仿宋" w:eastAsia="仿宋"/>
          <w:sz w:val="32"/>
          <w:szCs w:val="32"/>
        </w:rPr>
        <w:t>大竹县</w:t>
      </w:r>
      <w:r>
        <w:rPr>
          <w:rFonts w:hint="eastAsia" w:ascii="仿宋" w:hAnsi="仿宋" w:eastAsia="仿宋"/>
          <w:sz w:val="32"/>
          <w:szCs w:val="32"/>
          <w:lang w:val="en-US" w:eastAsia="zh-CN"/>
        </w:rPr>
        <w:t>农村饮水安全水质检测中心系大竹县水务局下属一级预算全额拨款单位。</w:t>
      </w:r>
    </w:p>
    <w:p w14:paraId="3FA47A52">
      <w:pPr>
        <w:pStyle w:val="6"/>
        <w:adjustRightInd w:val="0"/>
        <w:snapToGrid w:val="0"/>
        <w:spacing w:before="93" w:line="600" w:lineRule="exact"/>
        <w:ind w:firstLine="672" w:firstLineChars="210"/>
        <w:outlineLvl w:val="2"/>
        <w:rPr>
          <w:rFonts w:hint="eastAsia" w:ascii="仿宋_GB2312" w:hAnsi="仿宋" w:eastAsia="仿宋_GB2312" w:cs="Times New Roman"/>
          <w:kern w:val="0"/>
          <w:sz w:val="32"/>
          <w:szCs w:val="32"/>
          <w:lang w:val="en-US" w:eastAsia="zh-CN" w:bidi="ar-SA"/>
        </w:rPr>
      </w:pPr>
    </w:p>
    <w:p w14:paraId="63909EDF">
      <w:pPr>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仿宋" w:hAnsi="仿宋" w:eastAsia="仿宋"/>
          <w:color w:val="auto"/>
          <w:kern w:val="0"/>
          <w:sz w:val="32"/>
          <w:szCs w:val="32"/>
        </w:rPr>
      </w:pPr>
      <w:r>
        <w:rPr>
          <w:rFonts w:ascii="仿宋" w:hAnsi="仿宋" w:eastAsia="仿宋"/>
          <w:color w:val="auto"/>
          <w:sz w:val="32"/>
          <w:szCs w:val="32"/>
        </w:rPr>
        <w:br w:type="page"/>
      </w:r>
    </w:p>
    <w:p w14:paraId="7D56F364">
      <w:pPr>
        <w:pStyle w:val="3"/>
        <w:ind w:right="440"/>
        <w:jc w:val="center"/>
        <w:rPr>
          <w:rStyle w:val="28"/>
          <w:rFonts w:ascii="黑体" w:hAnsi="黑体" w:eastAsia="黑体"/>
          <w:b w:val="0"/>
          <w:bCs/>
          <w:color w:val="auto"/>
        </w:rPr>
      </w:pPr>
      <w:bookmarkStart w:id="16" w:name="_Toc15396602"/>
      <w:bookmarkStart w:id="17" w:name="_Toc15377204"/>
      <w:r>
        <w:rPr>
          <w:rFonts w:hint="eastAsia" w:ascii="黑体" w:hAnsi="黑体" w:eastAsia="黑体"/>
          <w:b w:val="0"/>
          <w:color w:val="auto"/>
        </w:rPr>
        <w:t>第二部分 202</w:t>
      </w:r>
      <w:r>
        <w:rPr>
          <w:rFonts w:hint="eastAsia" w:ascii="黑体" w:hAnsi="黑体" w:eastAsia="黑体"/>
          <w:b w:val="0"/>
          <w:color w:val="auto"/>
          <w:lang w:val="en-US" w:eastAsia="zh-CN"/>
        </w:rPr>
        <w:t>3</w:t>
      </w:r>
      <w:r>
        <w:rPr>
          <w:rFonts w:hint="eastAsia" w:ascii="黑体" w:hAnsi="黑体" w:eastAsia="黑体"/>
          <w:b w:val="0"/>
          <w:color w:val="auto"/>
        </w:rPr>
        <w:t>年度</w:t>
      </w:r>
      <w:r>
        <w:rPr>
          <w:rStyle w:val="28"/>
          <w:rFonts w:hint="eastAsia" w:ascii="黑体" w:hAnsi="黑体" w:eastAsia="黑体"/>
          <w:b w:val="0"/>
          <w:bCs/>
          <w:color w:val="auto"/>
        </w:rPr>
        <w:t>单位决算情况说明</w:t>
      </w:r>
      <w:bookmarkEnd w:id="16"/>
      <w:bookmarkEnd w:id="17"/>
    </w:p>
    <w:p w14:paraId="2B1F8377">
      <w:pPr>
        <w:rPr>
          <w:color w:val="auto"/>
        </w:rPr>
      </w:pPr>
    </w:p>
    <w:p w14:paraId="5036CD9B">
      <w:pPr>
        <w:pStyle w:val="27"/>
        <w:numPr>
          <w:ilvl w:val="0"/>
          <w:numId w:val="1"/>
        </w:numPr>
        <w:spacing w:line="600" w:lineRule="exact"/>
        <w:ind w:firstLineChars="0"/>
        <w:outlineLvl w:val="1"/>
        <w:rPr>
          <w:rStyle w:val="29"/>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9"/>
          <w:rFonts w:hint="eastAsia" w:ascii="黑体" w:hAnsi="黑体" w:eastAsia="黑体"/>
          <w:b w:val="0"/>
          <w:color w:val="auto"/>
        </w:rPr>
        <w:t>入支出决算总体情况说明</w:t>
      </w:r>
      <w:bookmarkEnd w:id="18"/>
      <w:bookmarkEnd w:id="19"/>
    </w:p>
    <w:p w14:paraId="5761F179">
      <w:pPr>
        <w:spacing w:line="600" w:lineRule="exact"/>
        <w:ind w:firstLine="640" w:firstLineChars="200"/>
        <w:rPr>
          <w:rFonts w:hint="eastAsia" w:ascii="仿宋" w:hAnsi="仿宋" w:eastAsia="仿宋" w:cs="Times New Roman"/>
          <w:color w:val="auto"/>
          <w:sz w:val="32"/>
          <w:szCs w:val="32"/>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年度财政拨款收入为</w:t>
      </w:r>
      <w:r>
        <w:rPr>
          <w:rFonts w:hint="eastAsia" w:ascii="仿宋" w:hAnsi="仿宋" w:eastAsia="仿宋"/>
          <w:color w:val="auto"/>
          <w:sz w:val="32"/>
          <w:szCs w:val="32"/>
          <w:highlight w:val="none"/>
          <w:lang w:val="en-US" w:eastAsia="zh-CN"/>
        </w:rPr>
        <w:t>137.50</w:t>
      </w:r>
      <w:r>
        <w:rPr>
          <w:rFonts w:hint="eastAsia" w:ascii="仿宋" w:hAnsi="仿宋" w:eastAsia="仿宋"/>
          <w:color w:val="auto"/>
          <w:sz w:val="32"/>
          <w:szCs w:val="32"/>
          <w:highlight w:val="none"/>
        </w:rPr>
        <w:t>万元，支出为</w:t>
      </w:r>
      <w:r>
        <w:rPr>
          <w:rFonts w:hint="eastAsia" w:ascii="仿宋" w:hAnsi="仿宋" w:eastAsia="仿宋"/>
          <w:color w:val="auto"/>
          <w:sz w:val="32"/>
          <w:szCs w:val="32"/>
          <w:highlight w:val="none"/>
          <w:lang w:val="en-US" w:eastAsia="zh-CN"/>
        </w:rPr>
        <w:t>153.02</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14.89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长12.14</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30.41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增长24.80</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23D7758C">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14:paraId="08BCBFFC">
      <w:pPr>
        <w:pStyle w:val="6"/>
        <w:spacing w:before="93"/>
        <w:rPr>
          <w:color w:val="auto"/>
        </w:rPr>
      </w:pPr>
      <w:r>
        <w:rPr>
          <w:color w:val="auto"/>
          <w:sz w:val="32"/>
          <w:szCs w:val="32"/>
        </w:rPr>
        <w:drawing>
          <wp:inline distT="0" distB="0" distL="0" distR="0">
            <wp:extent cx="5285740" cy="2657475"/>
            <wp:effectExtent l="4445" t="4445" r="571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114604">
      <w:pPr>
        <w:pStyle w:val="6"/>
        <w:spacing w:before="93"/>
        <w:rPr>
          <w:color w:val="auto"/>
        </w:rPr>
      </w:pPr>
    </w:p>
    <w:p w14:paraId="6C8D66EF">
      <w:pPr>
        <w:pStyle w:val="27"/>
        <w:numPr>
          <w:ilvl w:val="0"/>
          <w:numId w:val="1"/>
        </w:numPr>
        <w:spacing w:line="600" w:lineRule="exact"/>
        <w:ind w:firstLineChars="0"/>
        <w:outlineLvl w:val="1"/>
        <w:rPr>
          <w:rStyle w:val="29"/>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9"/>
          <w:rFonts w:hint="eastAsia" w:ascii="黑体" w:hAnsi="黑体" w:eastAsia="黑体"/>
          <w:b w:val="0"/>
          <w:color w:val="auto"/>
        </w:rPr>
        <w:t>入决算情况说明</w:t>
      </w:r>
      <w:bookmarkEnd w:id="20"/>
      <w:bookmarkEnd w:id="21"/>
    </w:p>
    <w:p w14:paraId="0D07A43A">
      <w:pPr>
        <w:spacing w:line="600" w:lineRule="exact"/>
        <w:ind w:firstLine="640" w:firstLineChars="200"/>
        <w:outlineLvl w:val="1"/>
        <w:rPr>
          <w:color w:val="auto"/>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137.50</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137.50</w:t>
      </w:r>
      <w:r>
        <w:rPr>
          <w:rFonts w:hint="eastAsia" w:ascii="仿宋" w:hAnsi="仿宋" w:eastAsia="仿宋"/>
          <w:color w:val="auto"/>
          <w:sz w:val="32"/>
          <w:szCs w:val="32"/>
        </w:rPr>
        <w:t>万元，占100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；国有资本经营预算财政拨款收入0万元，占0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p>
    <w:p w14:paraId="3308B55D">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（图2：收入决算结构图）（饼状图）</w:t>
      </w:r>
    </w:p>
    <w:p w14:paraId="35E63C6A">
      <w:pPr>
        <w:pStyle w:val="6"/>
        <w:spacing w:before="93"/>
        <w:rPr>
          <w:color w:val="auto"/>
        </w:rPr>
      </w:pPr>
      <w:r>
        <w:rPr>
          <w:color w:val="auto"/>
          <w:sz w:val="20"/>
          <w:szCs w:val="20"/>
        </w:rPr>
        <w:drawing>
          <wp:inline distT="0" distB="0" distL="0" distR="0">
            <wp:extent cx="5162550" cy="2437765"/>
            <wp:effectExtent l="4445" t="4445"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5DCDB8">
      <w:pPr>
        <w:pStyle w:val="27"/>
        <w:numPr>
          <w:ilvl w:val="0"/>
          <w:numId w:val="1"/>
        </w:numPr>
        <w:spacing w:line="600" w:lineRule="exact"/>
        <w:ind w:firstLineChars="0"/>
        <w:outlineLvl w:val="1"/>
        <w:rPr>
          <w:rStyle w:val="29"/>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9"/>
          <w:rFonts w:hint="eastAsia" w:ascii="黑体" w:hAnsi="黑体" w:eastAsia="黑体"/>
          <w:b w:val="0"/>
          <w:color w:val="auto"/>
        </w:rPr>
        <w:t>出决算情况说明</w:t>
      </w:r>
      <w:bookmarkEnd w:id="22"/>
      <w:bookmarkEnd w:id="23"/>
    </w:p>
    <w:p w14:paraId="4E51D3D5">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153.02</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133.02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86.93</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13.07</w:t>
      </w:r>
      <w:r>
        <w:rPr>
          <w:rFonts w:ascii="仿宋" w:hAnsi="仿宋" w:eastAsia="仿宋"/>
          <w:color w:val="auto"/>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p>
    <w:p w14:paraId="49506C6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（图3：支出决算结构图）（饼状图）</w:t>
      </w:r>
    </w:p>
    <w:p w14:paraId="4EBCCBA5">
      <w:pPr>
        <w:pStyle w:val="6"/>
        <w:spacing w:before="93"/>
        <w:rPr>
          <w:color w:val="auto"/>
        </w:rPr>
      </w:pPr>
      <w:r>
        <w:rPr>
          <w:rFonts w:ascii="仿宋" w:hAnsi="仿宋" w:eastAsia="仿宋"/>
          <w:color w:val="auto"/>
          <w:sz w:val="32"/>
          <w:szCs w:val="32"/>
        </w:rPr>
        <w:drawing>
          <wp:inline distT="0" distB="0" distL="0" distR="0">
            <wp:extent cx="4629150" cy="2409825"/>
            <wp:effectExtent l="4445" t="5080" r="14605"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93A211">
      <w:pPr>
        <w:spacing w:line="600" w:lineRule="exact"/>
        <w:ind w:firstLine="640" w:firstLineChars="200"/>
        <w:rPr>
          <w:rFonts w:ascii="仿宋_GB2312" w:eastAsia="仿宋_GB2312"/>
          <w:color w:val="auto"/>
          <w:sz w:val="32"/>
          <w:szCs w:val="32"/>
        </w:rPr>
      </w:pPr>
    </w:p>
    <w:p w14:paraId="57E26188">
      <w:pPr>
        <w:spacing w:line="600" w:lineRule="exact"/>
        <w:ind w:firstLine="640" w:firstLineChars="200"/>
        <w:outlineLvl w:val="1"/>
        <w:rPr>
          <w:rStyle w:val="29"/>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9"/>
          <w:rFonts w:hint="eastAsia" w:ascii="黑体" w:hAnsi="黑体" w:eastAsia="黑体"/>
          <w:b w:val="0"/>
          <w:color w:val="auto"/>
        </w:rPr>
        <w:t>政拨款收入支出决算总体情况说明</w:t>
      </w:r>
      <w:bookmarkEnd w:id="24"/>
      <w:bookmarkEnd w:id="25"/>
    </w:p>
    <w:p w14:paraId="4E335385">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年财政拨款收、支总计</w:t>
      </w:r>
      <w:r>
        <w:rPr>
          <w:rFonts w:ascii="仿宋" w:hAnsi="仿宋" w:eastAsia="仿宋"/>
          <w:color w:val="auto"/>
          <w:sz w:val="32"/>
          <w:szCs w:val="32"/>
          <w:highlight w:val="none"/>
        </w:rPr>
        <w:t>分别为</w:t>
      </w:r>
      <w:r>
        <w:rPr>
          <w:rFonts w:hint="eastAsia" w:ascii="仿宋" w:hAnsi="仿宋" w:eastAsia="仿宋"/>
          <w:color w:val="auto"/>
          <w:sz w:val="32"/>
          <w:szCs w:val="32"/>
          <w:highlight w:val="none"/>
          <w:lang w:val="en-US" w:eastAsia="zh-CN"/>
        </w:rPr>
        <w:t>137</w:t>
      </w:r>
      <w:r>
        <w:rPr>
          <w:rFonts w:hint="eastAsia" w:ascii="仿宋" w:hAnsi="仿宋" w:eastAsia="仿宋"/>
          <w:color w:val="auto"/>
          <w:sz w:val="32"/>
          <w:szCs w:val="32"/>
          <w:lang w:val="en-US" w:eastAsia="zh-CN"/>
        </w:rPr>
        <w:t>.50</w:t>
      </w:r>
      <w:r>
        <w:rPr>
          <w:rFonts w:hint="eastAsia" w:ascii="仿宋" w:hAnsi="仿宋" w:eastAsia="仿宋"/>
          <w:color w:val="auto"/>
          <w:sz w:val="32"/>
          <w:szCs w:val="32"/>
        </w:rPr>
        <w:t>万元和</w:t>
      </w:r>
      <w:r>
        <w:rPr>
          <w:rFonts w:hint="eastAsia" w:ascii="仿宋" w:hAnsi="仿宋" w:eastAsia="仿宋"/>
          <w:color w:val="auto"/>
          <w:sz w:val="32"/>
          <w:szCs w:val="32"/>
          <w:lang w:val="en-US" w:eastAsia="zh-CN"/>
        </w:rPr>
        <w:t>153.02</w:t>
      </w:r>
      <w:r>
        <w:rPr>
          <w:rFonts w:hint="eastAsia" w:ascii="仿宋" w:hAnsi="仿宋" w:eastAsia="仿宋"/>
          <w:color w:val="auto"/>
          <w:sz w:val="32"/>
          <w:szCs w:val="32"/>
        </w:rPr>
        <w:t>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rPr>
        <w:t>了</w:t>
      </w:r>
      <w:r>
        <w:rPr>
          <w:rFonts w:hint="eastAsia" w:ascii="仿宋" w:hAnsi="仿宋" w:eastAsia="仿宋"/>
          <w:color w:val="auto"/>
          <w:sz w:val="32"/>
          <w:szCs w:val="32"/>
          <w:highlight w:val="none"/>
          <w:lang w:val="en-US" w:eastAsia="zh-CN"/>
        </w:rPr>
        <w:t>14.89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lang w:val="en-US" w:eastAsia="zh-CN"/>
        </w:rPr>
        <w:t>长12.14</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30.41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增长24.80</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10131F3B">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（图4：财政拨款收、支决算总计变动情况）（柱状图）</w:t>
      </w:r>
    </w:p>
    <w:p w14:paraId="21ED01A3">
      <w:pPr>
        <w:pStyle w:val="6"/>
        <w:spacing w:before="93"/>
        <w:rPr>
          <w:color w:val="auto"/>
        </w:rPr>
      </w:pPr>
      <w:r>
        <w:rPr>
          <w:rFonts w:ascii="仿宋" w:hAnsi="仿宋" w:eastAsia="仿宋"/>
          <w:b/>
          <w:color w:val="auto"/>
          <w:sz w:val="32"/>
          <w:szCs w:val="32"/>
        </w:rPr>
        <w:drawing>
          <wp:inline distT="0" distB="0" distL="0" distR="0">
            <wp:extent cx="5247640" cy="2809240"/>
            <wp:effectExtent l="4445" t="4445" r="571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A57C7">
      <w:pPr>
        <w:spacing w:line="600" w:lineRule="exact"/>
        <w:ind w:firstLine="640" w:firstLineChars="200"/>
        <w:outlineLvl w:val="1"/>
        <w:rPr>
          <w:rFonts w:hint="eastAsia" w:ascii="黑体" w:hAnsi="黑体" w:eastAsia="黑体"/>
          <w:color w:val="auto"/>
          <w:sz w:val="32"/>
          <w:szCs w:val="32"/>
        </w:rPr>
      </w:pPr>
      <w:bookmarkStart w:id="26" w:name="_Toc15377209"/>
      <w:bookmarkStart w:id="27" w:name="_Toc15396607"/>
    </w:p>
    <w:p w14:paraId="3CA14EA5">
      <w:pPr>
        <w:spacing w:line="600" w:lineRule="exact"/>
        <w:ind w:firstLine="640" w:firstLineChars="200"/>
        <w:outlineLvl w:val="1"/>
        <w:rPr>
          <w:rStyle w:val="29"/>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般公共预算财政拨款支出决算情况说明</w:t>
      </w:r>
      <w:bookmarkEnd w:id="26"/>
      <w:bookmarkEnd w:id="27"/>
    </w:p>
    <w:p w14:paraId="2153A021">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14:paraId="0D13EF00">
      <w:pPr>
        <w:spacing w:line="600" w:lineRule="exact"/>
        <w:ind w:firstLine="640" w:firstLineChars="200"/>
        <w:rPr>
          <w:rFonts w:hint="eastAsia" w:ascii="仿宋" w:hAnsi="仿宋" w:eastAsia="仿宋" w:cs="Times New Roman"/>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153.02</w:t>
      </w:r>
      <w:r>
        <w:rPr>
          <w:rFonts w:hint="eastAsia" w:ascii="仿宋" w:hAnsi="仿宋" w:eastAsia="仿宋"/>
          <w:color w:val="auto"/>
          <w:sz w:val="32"/>
          <w:szCs w:val="32"/>
        </w:rPr>
        <w:t>万元，占本年支出合计的100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年相比，一般公共预算财政拨款</w:t>
      </w:r>
      <w:r>
        <w:rPr>
          <w:rFonts w:ascii="仿宋" w:hAnsi="仿宋" w:eastAsia="仿宋"/>
          <w:color w:val="auto"/>
          <w:sz w:val="32"/>
          <w:szCs w:val="32"/>
        </w:rPr>
        <w:t>支出</w:t>
      </w:r>
      <w:r>
        <w:rPr>
          <w:rFonts w:hint="eastAsia" w:ascii="仿宋" w:hAnsi="仿宋" w:eastAsia="仿宋"/>
          <w:color w:val="auto"/>
          <w:sz w:val="32"/>
          <w:szCs w:val="32"/>
          <w:lang w:val="en-US" w:eastAsia="zh-CN"/>
        </w:rPr>
        <w:t>增加</w:t>
      </w:r>
      <w:r>
        <w:rPr>
          <w:rFonts w:ascii="仿宋" w:hAnsi="仿宋" w:eastAsia="仿宋"/>
          <w:color w:val="auto"/>
          <w:sz w:val="32"/>
          <w:szCs w:val="32"/>
        </w:rPr>
        <w:t>了</w:t>
      </w:r>
      <w:r>
        <w:rPr>
          <w:rFonts w:hint="eastAsia" w:ascii="仿宋" w:hAnsi="仿宋" w:eastAsia="仿宋"/>
          <w:color w:val="auto"/>
          <w:sz w:val="32"/>
          <w:szCs w:val="32"/>
          <w:lang w:val="en-US" w:eastAsia="zh-CN"/>
        </w:rPr>
        <w:t>30.41</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增长24.80</w:t>
      </w:r>
      <w:r>
        <w:rPr>
          <w:rFonts w:hint="eastAsia" w:ascii="仿宋" w:hAnsi="仿宋" w:eastAsia="仿宋"/>
          <w:color w:val="auto"/>
          <w:sz w:val="32"/>
          <w:szCs w:val="32"/>
        </w:rPr>
        <w:t>%。主要变动原因是：</w:t>
      </w:r>
      <w:r>
        <w:rPr>
          <w:rFonts w:hint="eastAsia" w:ascii="仿宋" w:hAnsi="仿宋" w:eastAsia="仿宋" w:cs="Times New Roman"/>
          <w:color w:val="auto"/>
          <w:sz w:val="32"/>
          <w:szCs w:val="32"/>
          <w:lang w:val="en-US" w:eastAsia="zh-CN"/>
        </w:rPr>
        <w:t>2023年发放了2022年应付未付款项</w:t>
      </w:r>
      <w:r>
        <w:rPr>
          <w:rFonts w:hint="eastAsia" w:ascii="仿宋" w:hAnsi="仿宋" w:eastAsia="仿宋" w:cs="Times New Roman"/>
          <w:color w:val="auto"/>
          <w:sz w:val="32"/>
          <w:szCs w:val="32"/>
        </w:rPr>
        <w:t>。</w:t>
      </w:r>
    </w:p>
    <w:p w14:paraId="46F10E8A">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14:paraId="0E1CB68E">
      <w:pPr>
        <w:pStyle w:val="6"/>
        <w:spacing w:before="93"/>
        <w:rPr>
          <w:color w:val="auto"/>
        </w:rPr>
      </w:pPr>
      <w:r>
        <w:rPr>
          <w:rFonts w:ascii="仿宋" w:hAnsi="仿宋" w:eastAsia="仿宋"/>
          <w:color w:val="auto"/>
          <w:sz w:val="32"/>
          <w:szCs w:val="32"/>
        </w:rPr>
        <w:drawing>
          <wp:inline distT="0" distB="0" distL="0" distR="0">
            <wp:extent cx="5219700" cy="25527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D4EDE">
      <w:pPr>
        <w:pStyle w:val="6"/>
        <w:spacing w:before="93"/>
        <w:rPr>
          <w:color w:val="auto"/>
        </w:rPr>
      </w:pPr>
    </w:p>
    <w:p w14:paraId="34C6CF99">
      <w:pPr>
        <w:spacing w:line="600" w:lineRule="exact"/>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14:paraId="2B699066">
      <w:pPr>
        <w:spacing w:line="600" w:lineRule="exact"/>
        <w:ind w:firstLine="640"/>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w:t>
      </w:r>
      <w:r>
        <w:rPr>
          <w:rFonts w:hint="eastAsia" w:ascii="仿宋" w:hAnsi="仿宋" w:eastAsia="仿宋"/>
          <w:color w:val="auto"/>
          <w:sz w:val="32"/>
          <w:szCs w:val="32"/>
          <w:highlight w:val="none"/>
        </w:rPr>
        <w:t>公共预算财政拨款支出</w:t>
      </w:r>
      <w:r>
        <w:rPr>
          <w:rFonts w:hint="eastAsia" w:ascii="仿宋" w:hAnsi="仿宋" w:eastAsia="仿宋"/>
          <w:color w:val="auto"/>
          <w:sz w:val="32"/>
          <w:szCs w:val="32"/>
          <w:highlight w:val="none"/>
          <w:lang w:val="en-US" w:eastAsia="zh-CN"/>
        </w:rPr>
        <w:t>153.02</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社会保障和就</w:t>
      </w:r>
      <w:r>
        <w:rPr>
          <w:rFonts w:hint="eastAsia" w:ascii="仿宋" w:hAnsi="仿宋" w:eastAsia="仿宋"/>
          <w:b/>
          <w:color w:val="auto"/>
          <w:sz w:val="32"/>
          <w:szCs w:val="32"/>
          <w:highlight w:val="none"/>
        </w:rPr>
        <w:t>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4.33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2.83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住房保障支出</w:t>
      </w:r>
      <w:r>
        <w:rPr>
          <w:rFonts w:hint="eastAsia" w:ascii="仿宋" w:hAnsi="仿宋" w:eastAsia="仿宋"/>
          <w:color w:val="auto"/>
          <w:sz w:val="32"/>
          <w:szCs w:val="32"/>
          <w:lang w:val="en-US" w:eastAsia="zh-CN"/>
        </w:rPr>
        <w:t>8.12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5.31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农林水支出</w:t>
      </w:r>
      <w:r>
        <w:rPr>
          <w:rFonts w:hint="eastAsia" w:ascii="仿宋" w:hAnsi="仿宋" w:eastAsia="仿宋"/>
          <w:color w:val="auto"/>
          <w:sz w:val="32"/>
          <w:szCs w:val="32"/>
          <w:lang w:val="en-US" w:eastAsia="zh-CN"/>
        </w:rPr>
        <w:t>131.49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85.93</w:t>
      </w:r>
      <w:r>
        <w:rPr>
          <w:rFonts w:hint="eastAsia" w:ascii="仿宋" w:hAnsi="仿宋" w:eastAsia="仿宋"/>
          <w:color w:val="auto"/>
          <w:sz w:val="32"/>
          <w:szCs w:val="32"/>
        </w:rPr>
        <w:t>%。</w:t>
      </w:r>
    </w:p>
    <w:p w14:paraId="4FD340C6">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14:paraId="0795E3C9">
      <w:pPr>
        <w:spacing w:line="600" w:lineRule="exact"/>
        <w:ind w:firstLine="640" w:firstLineChars="200"/>
        <w:rPr>
          <w:rFonts w:ascii="仿宋" w:hAnsi="仿宋" w:eastAsia="仿宋"/>
          <w:color w:val="auto"/>
          <w:sz w:val="32"/>
          <w:szCs w:val="32"/>
        </w:rPr>
      </w:pPr>
    </w:p>
    <w:p w14:paraId="506808C7">
      <w:pPr>
        <w:pStyle w:val="6"/>
        <w:spacing w:before="93"/>
        <w:jc w:val="center"/>
        <w:rPr>
          <w:color w:val="auto"/>
        </w:rPr>
      </w:pPr>
      <w:r>
        <w:rPr>
          <w:rFonts w:ascii="仿宋" w:hAnsi="仿宋" w:eastAsia="仿宋"/>
          <w:color w:val="auto"/>
          <w:sz w:val="32"/>
          <w:szCs w:val="32"/>
        </w:rPr>
        <w:drawing>
          <wp:inline distT="0" distB="0" distL="0" distR="0">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8D3E9A">
      <w:pPr>
        <w:pStyle w:val="6"/>
        <w:spacing w:before="93"/>
        <w:rPr>
          <w:color w:val="auto"/>
        </w:rPr>
      </w:pPr>
    </w:p>
    <w:p w14:paraId="6198BF68">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14:paraId="441F4B64">
      <w:pPr>
        <w:spacing w:line="600" w:lineRule="exact"/>
        <w:ind w:firstLine="643" w:firstLineChars="200"/>
        <w:outlineLvl w:val="2"/>
        <w:rPr>
          <w:rStyle w:val="17"/>
          <w:rFonts w:hint="eastAsia" w:ascii="仿宋" w:hAnsi="仿宋" w:eastAsia="仿宋"/>
          <w:bCs/>
          <w:color w:val="auto"/>
          <w:sz w:val="32"/>
          <w:szCs w:val="32"/>
        </w:rPr>
      </w:pPr>
      <w:bookmarkStart w:id="31" w:name="_Toc15378460"/>
      <w:bookmarkStart w:id="32" w:name="_Toc15377444"/>
      <w:bookmarkStart w:id="33" w:name="_Toc15377213"/>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年一般公共预算支出决算数为</w:t>
      </w:r>
      <w:r>
        <w:rPr>
          <w:rFonts w:hint="eastAsia" w:ascii="仿宋" w:hAnsi="仿宋" w:eastAsia="仿宋"/>
          <w:b/>
          <w:color w:val="auto"/>
          <w:sz w:val="32"/>
          <w:szCs w:val="32"/>
          <w:lang w:val="en-US" w:eastAsia="zh-CN"/>
        </w:rPr>
        <w:t>153.02</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1"/>
      <w:bookmarkEnd w:id="32"/>
      <w:bookmarkEnd w:id="33"/>
    </w:p>
    <w:p w14:paraId="68076D2A">
      <w:pPr>
        <w:spacing w:line="600" w:lineRule="exact"/>
        <w:ind w:firstLine="643" w:firstLineChars="200"/>
        <w:rPr>
          <w:rStyle w:val="17"/>
          <w:rFonts w:hint="eastAsia" w:ascii="仿宋" w:hAnsi="仿宋" w:eastAsia="仿宋"/>
          <w:bCs/>
          <w:color w:val="auto"/>
          <w:sz w:val="32"/>
          <w:szCs w:val="32"/>
        </w:rPr>
      </w:pPr>
      <w:r>
        <w:rPr>
          <w:rStyle w:val="17"/>
          <w:rFonts w:hint="eastAsia" w:ascii="仿宋" w:hAnsi="仿宋" w:eastAsia="仿宋"/>
          <w:bCs/>
          <w:color w:val="auto"/>
          <w:sz w:val="32"/>
          <w:szCs w:val="32"/>
          <w:lang w:val="en-US" w:eastAsia="zh-CN"/>
        </w:rPr>
        <w:t>1</w:t>
      </w:r>
      <w:r>
        <w:rPr>
          <w:rStyle w:val="17"/>
          <w:rFonts w:hint="eastAsia" w:ascii="仿宋" w:hAnsi="仿宋" w:eastAsia="仿宋"/>
          <w:bCs/>
          <w:color w:val="auto"/>
          <w:sz w:val="32"/>
          <w:szCs w:val="32"/>
        </w:rPr>
        <w:t>、社会保障和就业（208）行政事业单位</w:t>
      </w:r>
      <w:r>
        <w:rPr>
          <w:rStyle w:val="17"/>
          <w:rFonts w:hint="eastAsia" w:ascii="仿宋" w:hAnsi="仿宋" w:eastAsia="仿宋"/>
          <w:bCs/>
          <w:color w:val="auto"/>
          <w:sz w:val="32"/>
          <w:szCs w:val="32"/>
          <w:lang w:val="en-US" w:eastAsia="zh-CN"/>
        </w:rPr>
        <w:t>养老</w:t>
      </w:r>
      <w:r>
        <w:rPr>
          <w:rStyle w:val="17"/>
          <w:rFonts w:hint="eastAsia" w:ascii="仿宋" w:hAnsi="仿宋" w:eastAsia="仿宋"/>
          <w:bCs/>
          <w:color w:val="auto"/>
          <w:sz w:val="32"/>
          <w:szCs w:val="32"/>
        </w:rPr>
        <w:t>（05）</w:t>
      </w:r>
      <w:r>
        <w:rPr>
          <w:rStyle w:val="17"/>
          <w:rFonts w:hint="eastAsia" w:ascii="仿宋" w:hAnsi="仿宋" w:eastAsia="仿宋"/>
          <w:bCs/>
          <w:color w:val="auto"/>
          <w:sz w:val="32"/>
          <w:szCs w:val="32"/>
          <w:lang w:val="en-US" w:eastAsia="zh-CN"/>
        </w:rPr>
        <w:t>事业单位离退休</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02</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8.65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3F658E58">
      <w:pPr>
        <w:spacing w:line="600" w:lineRule="exact"/>
        <w:ind w:firstLine="643" w:firstLineChars="2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2</w:t>
      </w:r>
      <w:r>
        <w:rPr>
          <w:rStyle w:val="17"/>
          <w:rFonts w:hint="eastAsia" w:ascii="仿宋" w:hAnsi="仿宋" w:eastAsia="仿宋"/>
          <w:bCs/>
          <w:color w:val="auto"/>
          <w:sz w:val="32"/>
          <w:szCs w:val="32"/>
        </w:rPr>
        <w:t>、社会保障和就业（208）</w:t>
      </w:r>
      <w:r>
        <w:rPr>
          <w:rStyle w:val="17"/>
          <w:rFonts w:hint="eastAsia" w:ascii="仿宋" w:hAnsi="仿宋" w:eastAsia="仿宋"/>
          <w:bCs/>
          <w:color w:val="auto"/>
          <w:sz w:val="32"/>
          <w:szCs w:val="32"/>
          <w:lang w:val="en-US" w:eastAsia="zh-CN"/>
        </w:rPr>
        <w:t>其他社会保障和就业支出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其他社会保障和就业支出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0.44</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A8826BE">
      <w:pPr>
        <w:spacing w:line="600" w:lineRule="exact"/>
        <w:ind w:firstLine="643" w:firstLineChars="200"/>
        <w:rPr>
          <w:rStyle w:val="17"/>
          <w:rFonts w:ascii="仿宋" w:hAnsi="仿宋" w:eastAsia="仿宋"/>
          <w:b w:val="0"/>
          <w:bCs/>
          <w:color w:val="auto"/>
          <w:sz w:val="32"/>
          <w:szCs w:val="32"/>
        </w:rPr>
      </w:pPr>
      <w:r>
        <w:rPr>
          <w:rStyle w:val="17"/>
          <w:rFonts w:hint="eastAsia" w:ascii="仿宋" w:hAnsi="仿宋" w:eastAsia="仿宋"/>
          <w:bCs/>
          <w:color w:val="auto"/>
          <w:sz w:val="32"/>
          <w:szCs w:val="32"/>
          <w:lang w:val="en-US" w:eastAsia="zh-CN"/>
        </w:rPr>
        <w:t>3</w:t>
      </w:r>
      <w:r>
        <w:rPr>
          <w:rStyle w:val="17"/>
          <w:rFonts w:hint="eastAsia" w:ascii="仿宋" w:hAnsi="仿宋" w:eastAsia="仿宋"/>
          <w:bCs/>
          <w:color w:val="auto"/>
          <w:sz w:val="32"/>
          <w:szCs w:val="32"/>
        </w:rPr>
        <w:t>、卫生健康（210）行政事业单位医疗（11）事业单位医疗（02）:</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4.33</w:t>
      </w:r>
      <w:r>
        <w:rPr>
          <w:rStyle w:val="17"/>
          <w:rFonts w:hint="eastAsia" w:ascii="仿宋" w:hAnsi="仿宋" w:eastAsia="仿宋"/>
          <w:b w:val="0"/>
          <w:bCs/>
          <w:color w:val="auto"/>
          <w:sz w:val="32"/>
          <w:szCs w:val="32"/>
        </w:rPr>
        <w:t>万元，完成预算100%，</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6139F0D4">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4</w:t>
      </w:r>
      <w:r>
        <w:rPr>
          <w:rStyle w:val="17"/>
          <w:rFonts w:hint="eastAsia" w:ascii="仿宋" w:hAnsi="仿宋" w:eastAsia="仿宋"/>
          <w:bCs/>
          <w:color w:val="auto"/>
          <w:sz w:val="32"/>
          <w:szCs w:val="32"/>
        </w:rPr>
        <w:t>.农林水（213）</w:t>
      </w:r>
      <w:r>
        <w:rPr>
          <w:rStyle w:val="17"/>
          <w:rFonts w:hint="eastAsia" w:ascii="仿宋" w:hAnsi="仿宋" w:eastAsia="仿宋"/>
          <w:bCs/>
          <w:color w:val="auto"/>
          <w:sz w:val="32"/>
          <w:szCs w:val="32"/>
          <w:lang w:eastAsia="zh-CN"/>
        </w:rPr>
        <w:t>农业农村</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01</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事业运行</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04</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0.37</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08030263">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5</w:t>
      </w:r>
      <w:r>
        <w:rPr>
          <w:rStyle w:val="17"/>
          <w:rFonts w:hint="eastAsia" w:ascii="仿宋" w:hAnsi="仿宋" w:eastAsia="仿宋"/>
          <w:bCs/>
          <w:color w:val="auto"/>
          <w:sz w:val="32"/>
          <w:szCs w:val="32"/>
        </w:rPr>
        <w:t>.农林水（213）水利（03）</w:t>
      </w:r>
      <w:r>
        <w:rPr>
          <w:rStyle w:val="17"/>
          <w:rFonts w:hint="eastAsia" w:ascii="仿宋" w:hAnsi="仿宋" w:eastAsia="仿宋"/>
          <w:bCs/>
          <w:color w:val="auto"/>
          <w:sz w:val="32"/>
          <w:szCs w:val="32"/>
          <w:lang w:val="en-US" w:eastAsia="zh-CN"/>
        </w:rPr>
        <w:t>水质监测</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12</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115.6</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36FB691F">
      <w:pPr>
        <w:pStyle w:val="6"/>
        <w:spacing w:before="93"/>
        <w:ind w:firstLine="600"/>
        <w:rPr>
          <w:rStyle w:val="17"/>
          <w:rFonts w:hint="eastAsia" w:ascii="仿宋" w:hAnsi="仿宋" w:eastAsia="仿宋"/>
          <w:b w:val="0"/>
          <w:bCs/>
          <w:color w:val="auto"/>
          <w:sz w:val="32"/>
          <w:szCs w:val="32"/>
        </w:rPr>
      </w:pPr>
      <w:r>
        <w:rPr>
          <w:rStyle w:val="17"/>
          <w:rFonts w:hint="eastAsia" w:ascii="仿宋" w:hAnsi="仿宋" w:eastAsia="仿宋"/>
          <w:bCs/>
          <w:color w:val="auto"/>
          <w:sz w:val="32"/>
          <w:szCs w:val="32"/>
          <w:lang w:val="en-US" w:eastAsia="zh-CN"/>
        </w:rPr>
        <w:t>6</w:t>
      </w:r>
      <w:r>
        <w:rPr>
          <w:rStyle w:val="17"/>
          <w:rFonts w:hint="eastAsia" w:ascii="仿宋" w:hAnsi="仿宋" w:eastAsia="仿宋"/>
          <w:bCs/>
          <w:color w:val="auto"/>
          <w:sz w:val="32"/>
          <w:szCs w:val="32"/>
        </w:rPr>
        <w:t>.农林水（213）</w:t>
      </w:r>
      <w:r>
        <w:rPr>
          <w:rStyle w:val="17"/>
          <w:rFonts w:hint="eastAsia" w:ascii="仿宋" w:hAnsi="仿宋" w:eastAsia="仿宋"/>
          <w:bCs/>
          <w:color w:val="auto"/>
          <w:sz w:val="32"/>
          <w:szCs w:val="32"/>
          <w:lang w:eastAsia="zh-CN"/>
        </w:rPr>
        <w:t>其他农林水支出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eastAsia="zh-CN"/>
        </w:rPr>
        <w:t>其他农林水支出</w:t>
      </w:r>
      <w:r>
        <w:rPr>
          <w:rStyle w:val="17"/>
          <w:rFonts w:hint="eastAsia" w:ascii="仿宋" w:hAnsi="仿宋" w:eastAsia="仿宋"/>
          <w:bCs/>
          <w:color w:val="auto"/>
          <w:sz w:val="32"/>
          <w:szCs w:val="32"/>
        </w:rPr>
        <w:t>（</w:t>
      </w:r>
      <w:r>
        <w:rPr>
          <w:rStyle w:val="17"/>
          <w:rFonts w:hint="eastAsia" w:ascii="仿宋" w:hAnsi="仿宋" w:eastAsia="仿宋"/>
          <w:bCs/>
          <w:color w:val="auto"/>
          <w:sz w:val="32"/>
          <w:szCs w:val="32"/>
          <w:lang w:val="en-US" w:eastAsia="zh-CN"/>
        </w:rPr>
        <w:t>99</w:t>
      </w:r>
      <w:r>
        <w:rPr>
          <w:rStyle w:val="17"/>
          <w:rFonts w:hint="eastAsia"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15.52</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hint="eastAsia" w:ascii="仿宋" w:hAnsi="仿宋" w:eastAsia="仿宋"/>
          <w:b w:val="0"/>
          <w:bCs/>
          <w:color w:val="auto"/>
          <w:sz w:val="32"/>
          <w:szCs w:val="32"/>
        </w:rPr>
        <w:t>%，</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56BF5489">
      <w:pPr>
        <w:spacing w:line="600" w:lineRule="exact"/>
        <w:ind w:firstLine="643" w:firstLineChars="200"/>
        <w:rPr>
          <w:rFonts w:ascii="仿宋" w:hAnsi="仿宋" w:eastAsia="仿宋"/>
          <w:b/>
          <w:color w:val="auto"/>
          <w:sz w:val="32"/>
          <w:szCs w:val="32"/>
        </w:rPr>
      </w:pPr>
      <w:r>
        <w:rPr>
          <w:rStyle w:val="17"/>
          <w:rFonts w:hint="eastAsia" w:ascii="仿宋" w:hAnsi="仿宋" w:eastAsia="仿宋"/>
          <w:bCs/>
          <w:color w:val="auto"/>
          <w:sz w:val="32"/>
          <w:szCs w:val="32"/>
          <w:lang w:val="en-US" w:eastAsia="zh-CN"/>
        </w:rPr>
        <w:t>7</w:t>
      </w:r>
      <w:r>
        <w:rPr>
          <w:rStyle w:val="17"/>
          <w:rFonts w:hint="eastAsia" w:ascii="仿宋" w:hAnsi="仿宋" w:eastAsia="仿宋"/>
          <w:bCs/>
          <w:color w:val="auto"/>
          <w:sz w:val="32"/>
          <w:szCs w:val="32"/>
        </w:rPr>
        <w:t>、住房保障（221）住房改革（02）住房公积金（01）:</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8.12</w:t>
      </w:r>
      <w:r>
        <w:rPr>
          <w:rStyle w:val="17"/>
          <w:rFonts w:hint="eastAsia" w:ascii="仿宋" w:hAnsi="仿宋" w:eastAsia="仿宋"/>
          <w:b w:val="0"/>
          <w:bCs/>
          <w:color w:val="auto"/>
          <w:sz w:val="32"/>
          <w:szCs w:val="32"/>
        </w:rPr>
        <w:t>万元，完成预算100%，</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67CB8F9B">
      <w:pPr>
        <w:tabs>
          <w:tab w:val="right" w:pos="8306"/>
        </w:tabs>
        <w:spacing w:line="600" w:lineRule="exact"/>
        <w:ind w:firstLine="640"/>
        <w:outlineLvl w:val="1"/>
        <w:rPr>
          <w:rStyle w:val="29"/>
          <w:color w:val="auto"/>
        </w:rPr>
      </w:pPr>
      <w:bookmarkStart w:id="34" w:name="_Toc15377214"/>
      <w:bookmarkStart w:id="35"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般公共预算财政拨款基本支出决算情况说明</w:t>
      </w:r>
      <w:bookmarkEnd w:id="34"/>
      <w:bookmarkEnd w:id="35"/>
      <w:r>
        <w:rPr>
          <w:rStyle w:val="29"/>
          <w:rFonts w:ascii="黑体" w:hAnsi="黑体" w:eastAsia="黑体"/>
          <w:b w:val="0"/>
          <w:color w:val="auto"/>
        </w:rPr>
        <w:tab/>
      </w:r>
    </w:p>
    <w:p w14:paraId="41903051">
      <w:pPr>
        <w:spacing w:line="600" w:lineRule="exact"/>
        <w:ind w:firstLine="645"/>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133.02</w:t>
      </w:r>
      <w:r>
        <w:rPr>
          <w:rFonts w:hint="eastAsia" w:ascii="仿宋" w:hAnsi="仿宋" w:eastAsia="仿宋"/>
          <w:color w:val="auto"/>
          <w:sz w:val="32"/>
          <w:szCs w:val="32"/>
        </w:rPr>
        <w:t>万元，其中：</w:t>
      </w:r>
    </w:p>
    <w:p w14:paraId="723A6D6A">
      <w:pPr>
        <w:spacing w:line="600" w:lineRule="exact"/>
        <w:ind w:firstLine="645"/>
        <w:rPr>
          <w:rFonts w:ascii="仿宋" w:hAnsi="仿宋" w:eastAsia="仿宋"/>
          <w:b/>
          <w:color w:val="auto"/>
          <w:sz w:val="32"/>
          <w:szCs w:val="32"/>
        </w:rPr>
      </w:pPr>
      <w:r>
        <w:rPr>
          <w:rFonts w:hint="eastAsia" w:ascii="仿宋" w:hAnsi="仿宋" w:eastAsia="仿宋"/>
          <w:b/>
          <w:bCs/>
          <w:color w:val="auto"/>
          <w:sz w:val="32"/>
          <w:szCs w:val="32"/>
        </w:rPr>
        <w:t>人员经费</w:t>
      </w:r>
      <w:r>
        <w:rPr>
          <w:rFonts w:hint="eastAsia" w:ascii="仿宋" w:hAnsi="仿宋" w:eastAsia="仿宋"/>
          <w:color w:val="auto"/>
          <w:sz w:val="32"/>
          <w:szCs w:val="32"/>
          <w:lang w:val="en-US" w:eastAsia="zh-CN"/>
        </w:rPr>
        <w:t>121.77</w:t>
      </w:r>
      <w:r>
        <w:rPr>
          <w:rFonts w:hint="eastAsia" w:ascii="仿宋" w:hAnsi="仿宋" w:eastAsia="仿宋"/>
          <w:color w:val="auto"/>
          <w:sz w:val="32"/>
          <w:szCs w:val="32"/>
        </w:rPr>
        <w:t>万元，主要包括：基本工资</w:t>
      </w:r>
      <w:r>
        <w:rPr>
          <w:rFonts w:hint="eastAsia" w:ascii="仿宋" w:hAnsi="仿宋" w:eastAsia="仿宋"/>
          <w:color w:val="auto"/>
          <w:sz w:val="32"/>
          <w:szCs w:val="32"/>
          <w:lang w:val="en-US" w:eastAsia="zh-CN"/>
        </w:rPr>
        <w:t>31.58</w:t>
      </w:r>
      <w:r>
        <w:rPr>
          <w:rFonts w:hint="eastAsia" w:ascii="仿宋" w:hAnsi="仿宋" w:eastAsia="仿宋"/>
          <w:color w:val="auto"/>
          <w:sz w:val="32"/>
          <w:szCs w:val="32"/>
        </w:rPr>
        <w:t>万元、津贴补贴</w:t>
      </w:r>
      <w:r>
        <w:rPr>
          <w:rFonts w:hint="eastAsia" w:ascii="仿宋" w:hAnsi="仿宋" w:eastAsia="仿宋"/>
          <w:color w:val="auto"/>
          <w:sz w:val="32"/>
          <w:szCs w:val="32"/>
          <w:lang w:val="en-US" w:eastAsia="zh-CN"/>
        </w:rPr>
        <w:t>2.67</w:t>
      </w:r>
      <w:r>
        <w:rPr>
          <w:rFonts w:hint="eastAsia" w:ascii="仿宋" w:hAnsi="仿宋" w:eastAsia="仿宋"/>
          <w:color w:val="auto"/>
          <w:sz w:val="32"/>
          <w:szCs w:val="32"/>
        </w:rPr>
        <w:t>万元、奖金0万元、伙食补助费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万元、绩效工资</w:t>
      </w:r>
      <w:r>
        <w:rPr>
          <w:rFonts w:hint="eastAsia" w:ascii="仿宋" w:hAnsi="仿宋" w:eastAsia="仿宋"/>
          <w:color w:val="auto"/>
          <w:sz w:val="32"/>
          <w:szCs w:val="32"/>
          <w:lang w:val="en-US" w:eastAsia="zh-CN"/>
        </w:rPr>
        <w:t>40.61</w:t>
      </w:r>
      <w:r>
        <w:rPr>
          <w:rFonts w:hint="eastAsia" w:ascii="仿宋" w:hAnsi="仿宋" w:eastAsia="仿宋"/>
          <w:color w:val="auto"/>
          <w:sz w:val="32"/>
          <w:szCs w:val="32"/>
        </w:rPr>
        <w:t>万元、机关事业单位基本养老保险缴费</w:t>
      </w:r>
      <w:r>
        <w:rPr>
          <w:rFonts w:hint="eastAsia" w:ascii="仿宋" w:hAnsi="仿宋" w:eastAsia="仿宋"/>
          <w:color w:val="auto"/>
          <w:sz w:val="32"/>
          <w:szCs w:val="32"/>
          <w:lang w:val="en-US" w:eastAsia="zh-CN"/>
        </w:rPr>
        <w:t>8.65</w:t>
      </w:r>
      <w:r>
        <w:rPr>
          <w:rFonts w:hint="eastAsia" w:ascii="仿宋" w:hAnsi="仿宋" w:eastAsia="仿宋"/>
          <w:color w:val="auto"/>
          <w:sz w:val="32"/>
          <w:szCs w:val="32"/>
        </w:rPr>
        <w:t>万元、职业年金缴费0万元、职工基本医疗保险缴费</w:t>
      </w:r>
      <w:r>
        <w:rPr>
          <w:rFonts w:hint="eastAsia" w:ascii="仿宋" w:hAnsi="仿宋" w:eastAsia="仿宋"/>
          <w:color w:val="auto"/>
          <w:sz w:val="32"/>
          <w:szCs w:val="32"/>
          <w:lang w:val="en-US" w:eastAsia="zh-CN"/>
        </w:rPr>
        <w:t>4.33</w:t>
      </w:r>
      <w:r>
        <w:rPr>
          <w:rFonts w:hint="eastAsia" w:ascii="仿宋" w:hAnsi="仿宋" w:eastAsia="仿宋"/>
          <w:color w:val="auto"/>
          <w:sz w:val="32"/>
          <w:szCs w:val="32"/>
        </w:rPr>
        <w:t>万元、其他社会保障缴费</w:t>
      </w:r>
      <w:r>
        <w:rPr>
          <w:rFonts w:hint="eastAsia" w:ascii="仿宋" w:hAnsi="仿宋" w:eastAsia="仿宋"/>
          <w:color w:val="auto"/>
          <w:sz w:val="32"/>
          <w:szCs w:val="32"/>
          <w:lang w:val="en-US" w:eastAsia="zh-CN"/>
        </w:rPr>
        <w:t>0.44</w:t>
      </w:r>
      <w:r>
        <w:rPr>
          <w:rFonts w:hint="eastAsia" w:ascii="仿宋" w:hAnsi="仿宋" w:eastAsia="仿宋"/>
          <w:color w:val="auto"/>
          <w:sz w:val="32"/>
          <w:szCs w:val="32"/>
        </w:rPr>
        <w:t>万元、其他工资福利支出</w:t>
      </w:r>
      <w:r>
        <w:rPr>
          <w:rFonts w:hint="eastAsia" w:ascii="仿宋" w:hAnsi="仿宋" w:eastAsia="仿宋"/>
          <w:color w:val="auto"/>
          <w:sz w:val="32"/>
          <w:szCs w:val="32"/>
          <w:lang w:val="en-US" w:eastAsia="zh-CN"/>
        </w:rPr>
        <w:t>25.36</w:t>
      </w:r>
      <w:r>
        <w:rPr>
          <w:rFonts w:hint="eastAsia" w:ascii="仿宋" w:hAnsi="仿宋" w:eastAsia="仿宋"/>
          <w:color w:val="auto"/>
          <w:sz w:val="32"/>
          <w:szCs w:val="32"/>
        </w:rPr>
        <w:t>万元、离休费0万元、退休费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万元、抚恤金</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万元、生活补助</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万元、奖励金</w:t>
      </w:r>
      <w:r>
        <w:rPr>
          <w:rFonts w:hint="eastAsia" w:ascii="仿宋" w:hAnsi="仿宋" w:eastAsia="仿宋"/>
          <w:color w:val="auto"/>
          <w:sz w:val="32"/>
          <w:szCs w:val="32"/>
          <w:lang w:val="en-US" w:eastAsia="zh-CN"/>
        </w:rPr>
        <w:t>0.02</w:t>
      </w:r>
      <w:r>
        <w:rPr>
          <w:rFonts w:hint="eastAsia" w:ascii="仿宋" w:hAnsi="仿宋" w:eastAsia="仿宋"/>
          <w:color w:val="auto"/>
          <w:sz w:val="32"/>
          <w:szCs w:val="32"/>
        </w:rPr>
        <w:t>万元、住房公积金</w:t>
      </w:r>
      <w:r>
        <w:rPr>
          <w:rFonts w:hint="eastAsia" w:ascii="仿宋" w:hAnsi="仿宋" w:eastAsia="仿宋"/>
          <w:color w:val="auto"/>
          <w:sz w:val="32"/>
          <w:szCs w:val="32"/>
          <w:lang w:val="en-US" w:eastAsia="zh-CN"/>
        </w:rPr>
        <w:t>8.12</w:t>
      </w:r>
      <w:r>
        <w:rPr>
          <w:rFonts w:hint="eastAsia" w:ascii="仿宋" w:hAnsi="仿宋" w:eastAsia="仿宋"/>
          <w:color w:val="auto"/>
          <w:sz w:val="32"/>
          <w:szCs w:val="32"/>
        </w:rPr>
        <w:t>万元等。</w:t>
      </w:r>
      <w:r>
        <w:rPr>
          <w:rFonts w:ascii="仿宋" w:hAnsi="仿宋" w:eastAsia="仿宋"/>
          <w:color w:val="auto"/>
          <w:sz w:val="32"/>
          <w:szCs w:val="32"/>
        </w:rPr>
        <w:br w:type="textWrapping"/>
      </w:r>
      <w:r>
        <w:rPr>
          <w:rFonts w:hint="eastAsia" w:ascii="仿宋" w:hAnsi="仿宋" w:eastAsia="仿宋"/>
          <w:color w:val="auto"/>
          <w:sz w:val="32"/>
          <w:szCs w:val="32"/>
        </w:rPr>
        <w:t>　　</w:t>
      </w:r>
      <w:r>
        <w:rPr>
          <w:rFonts w:hint="eastAsia" w:ascii="仿宋" w:hAnsi="仿宋" w:eastAsia="仿宋"/>
          <w:b/>
          <w:bCs/>
          <w:color w:val="auto"/>
          <w:sz w:val="32"/>
          <w:szCs w:val="32"/>
        </w:rPr>
        <w:t>公用经费</w:t>
      </w:r>
      <w:r>
        <w:rPr>
          <w:rFonts w:hint="eastAsia" w:ascii="仿宋" w:hAnsi="仿宋" w:eastAsia="仿宋"/>
          <w:color w:val="auto"/>
          <w:sz w:val="32"/>
          <w:szCs w:val="32"/>
          <w:lang w:val="en-US" w:eastAsia="zh-CN"/>
        </w:rPr>
        <w:t>11.25</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万元、印刷费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万元、咨询费0万元、手续费0万元、水费0万元、电费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万元、邮电费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万元、取暖费0万元、物业管理费0万元、差旅费</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万元、因公出国（境）费用0万元、维修（护）费</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万元、租赁费0万元、会议费0万元、培训费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万元、劳务费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万元、委托业务费0万元、工会经费</w:t>
      </w:r>
      <w:r>
        <w:rPr>
          <w:rFonts w:hint="eastAsia" w:ascii="仿宋" w:hAnsi="仿宋" w:eastAsia="仿宋"/>
          <w:color w:val="auto"/>
          <w:sz w:val="32"/>
          <w:szCs w:val="32"/>
          <w:lang w:val="en-US" w:eastAsia="zh-CN"/>
        </w:rPr>
        <w:t>0.76</w:t>
      </w:r>
      <w:r>
        <w:rPr>
          <w:rFonts w:hint="eastAsia" w:ascii="仿宋" w:hAnsi="仿宋" w:eastAsia="仿宋"/>
          <w:color w:val="auto"/>
          <w:sz w:val="32"/>
          <w:szCs w:val="32"/>
        </w:rPr>
        <w:t>万元、福利费</w:t>
      </w:r>
      <w:r>
        <w:rPr>
          <w:rFonts w:hint="eastAsia" w:ascii="仿宋" w:hAnsi="仿宋" w:eastAsia="仿宋"/>
          <w:color w:val="auto"/>
          <w:sz w:val="32"/>
          <w:szCs w:val="32"/>
          <w:lang w:val="en-US" w:eastAsia="zh-CN"/>
        </w:rPr>
        <w:t>1.56</w:t>
      </w:r>
      <w:r>
        <w:rPr>
          <w:rFonts w:hint="eastAsia" w:ascii="仿宋" w:hAnsi="仿宋" w:eastAsia="仿宋"/>
          <w:color w:val="auto"/>
          <w:sz w:val="32"/>
          <w:szCs w:val="32"/>
        </w:rPr>
        <w:t>万元、公务用车运行维护费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万元、其他交通费</w:t>
      </w:r>
      <w:r>
        <w:rPr>
          <w:rFonts w:hint="eastAsia" w:ascii="仿宋" w:hAnsi="仿宋" w:eastAsia="仿宋"/>
          <w:color w:val="auto"/>
          <w:sz w:val="32"/>
          <w:szCs w:val="32"/>
          <w:lang w:val="en-US" w:eastAsia="zh-CN"/>
        </w:rPr>
        <w:t>0.04</w:t>
      </w:r>
      <w:r>
        <w:rPr>
          <w:rFonts w:hint="eastAsia" w:ascii="仿宋" w:hAnsi="仿宋" w:eastAsia="仿宋"/>
          <w:color w:val="auto"/>
          <w:sz w:val="32"/>
          <w:szCs w:val="32"/>
        </w:rPr>
        <w:t>万元、税金及附加费用0万元、其他商品和服务支出</w:t>
      </w:r>
      <w:r>
        <w:rPr>
          <w:rFonts w:hint="eastAsia" w:ascii="仿宋" w:hAnsi="仿宋" w:eastAsia="仿宋"/>
          <w:color w:val="auto"/>
          <w:sz w:val="32"/>
          <w:szCs w:val="32"/>
          <w:lang w:val="en-US" w:eastAsia="zh-CN"/>
        </w:rPr>
        <w:t>2.89万</w:t>
      </w:r>
      <w:r>
        <w:rPr>
          <w:rFonts w:hint="eastAsia" w:ascii="仿宋" w:hAnsi="仿宋" w:eastAsia="仿宋"/>
          <w:color w:val="auto"/>
          <w:sz w:val="32"/>
          <w:szCs w:val="32"/>
        </w:rPr>
        <w:t>元、办公设备购置0万元、专用设备购置0万元、信息网络及软件购置更新0万元、其他资本性支出0万元等。</w:t>
      </w:r>
    </w:p>
    <w:p w14:paraId="793CD3EA">
      <w:pPr>
        <w:spacing w:line="600" w:lineRule="exact"/>
        <w:ind w:firstLine="640"/>
        <w:outlineLvl w:val="1"/>
        <w:rPr>
          <w:rStyle w:val="29"/>
          <w:rFonts w:ascii="黑体" w:hAnsi="黑体" w:eastAsia="黑体"/>
          <w:b w:val="0"/>
          <w:color w:val="auto"/>
        </w:rPr>
      </w:pPr>
      <w:bookmarkStart w:id="36" w:name="_Toc15396609"/>
      <w:bookmarkStart w:id="37" w:name="_Toc15377215"/>
      <w:r>
        <w:rPr>
          <w:rFonts w:hint="eastAsia" w:ascii="黑体" w:eastAsia="黑体"/>
          <w:color w:val="auto"/>
          <w:sz w:val="32"/>
          <w:szCs w:val="32"/>
        </w:rPr>
        <w:t>七、</w:t>
      </w:r>
      <w:bookmarkEnd w:id="36"/>
      <w:bookmarkEnd w:id="37"/>
      <w:r>
        <w:rPr>
          <w:rStyle w:val="37"/>
          <w:rFonts w:hint="eastAsia" w:ascii="黑体" w:hAnsi="黑体" w:eastAsia="黑体"/>
          <w:b w:val="0"/>
          <w:color w:val="auto"/>
        </w:rPr>
        <w:t>财政拨款</w:t>
      </w:r>
      <w:r>
        <w:rPr>
          <w:rStyle w:val="37"/>
          <w:rFonts w:hint="eastAsia" w:ascii="黑体" w:hAnsi="黑体" w:eastAsia="黑体"/>
          <w:color w:val="auto"/>
        </w:rPr>
        <w:t>“</w:t>
      </w:r>
      <w:r>
        <w:rPr>
          <w:rStyle w:val="37"/>
          <w:rFonts w:hint="eastAsia" w:ascii="黑体" w:hAnsi="黑体" w:eastAsia="黑体"/>
          <w:b w:val="0"/>
          <w:color w:val="auto"/>
        </w:rPr>
        <w:t>三公”经费支出决算情况说明</w:t>
      </w:r>
    </w:p>
    <w:p w14:paraId="45477913">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14:paraId="142F6AA4">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Style w:val="17"/>
          <w:rFonts w:hint="eastAsia" w:ascii="仿宋" w:hAnsi="仿宋" w:eastAsia="仿宋"/>
          <w:b w:val="0"/>
          <w:bCs/>
          <w:color w:val="auto"/>
          <w:sz w:val="32"/>
          <w:szCs w:val="32"/>
        </w:rPr>
        <w:t>完成预算0%，</w:t>
      </w:r>
      <w:r>
        <w:rPr>
          <w:rStyle w:val="17"/>
          <w:rFonts w:hint="eastAsia" w:ascii="仿宋" w:hAnsi="仿宋" w:eastAsia="仿宋"/>
          <w:b w:val="0"/>
          <w:bCs/>
          <w:color w:val="auto"/>
          <w:sz w:val="32"/>
          <w:szCs w:val="32"/>
          <w:highlight w:val="none"/>
        </w:rPr>
        <w:t>决算数</w:t>
      </w:r>
      <w:r>
        <w:rPr>
          <w:rStyle w:val="17"/>
          <w:rFonts w:hint="eastAsia" w:ascii="仿宋" w:hAnsi="仿宋" w:eastAsia="仿宋"/>
          <w:b w:val="0"/>
          <w:bCs/>
          <w:color w:val="auto"/>
          <w:sz w:val="32"/>
          <w:szCs w:val="32"/>
          <w:highlight w:val="none"/>
          <w:lang w:val="en-US" w:eastAsia="zh-CN"/>
        </w:rPr>
        <w:t>与</w:t>
      </w:r>
      <w:r>
        <w:rPr>
          <w:rStyle w:val="17"/>
          <w:rFonts w:hint="eastAsia" w:ascii="仿宋" w:hAnsi="仿宋" w:eastAsia="仿宋"/>
          <w:b w:val="0"/>
          <w:bCs/>
          <w:color w:val="auto"/>
          <w:sz w:val="32"/>
          <w:szCs w:val="32"/>
          <w:highlight w:val="none"/>
        </w:rPr>
        <w:t>预算数</w:t>
      </w:r>
      <w:r>
        <w:rPr>
          <w:rStyle w:val="17"/>
          <w:rFonts w:hint="eastAsia" w:ascii="仿宋" w:hAnsi="仿宋" w:eastAsia="仿宋"/>
          <w:b w:val="0"/>
          <w:bCs/>
          <w:color w:val="auto"/>
          <w:sz w:val="32"/>
          <w:szCs w:val="32"/>
          <w:highlight w:val="none"/>
          <w:lang w:eastAsia="zh-CN"/>
        </w:rPr>
        <w:t>持平</w:t>
      </w:r>
      <w:r>
        <w:rPr>
          <w:rStyle w:val="17"/>
          <w:rFonts w:hint="eastAsia" w:ascii="仿宋" w:hAnsi="仿宋" w:eastAsia="仿宋"/>
          <w:b w:val="0"/>
          <w:bCs/>
          <w:color w:val="auto"/>
          <w:sz w:val="32"/>
          <w:szCs w:val="32"/>
        </w:rPr>
        <w:t>。</w:t>
      </w:r>
    </w:p>
    <w:p w14:paraId="44A15EA0">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（注：上述“预算”口径为调整预算数，包括一般公共预算和政府性基金预算财政拨款支出决算情况。）</w:t>
      </w:r>
    </w:p>
    <w:p w14:paraId="7D4A7E51">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14:paraId="46621D2C">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。具体情况如下：</w:t>
      </w:r>
    </w:p>
    <w:p w14:paraId="2AB84241">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14:paraId="68FDCDD7">
      <w:pPr>
        <w:pStyle w:val="6"/>
        <w:spacing w:before="93"/>
        <w:jc w:val="center"/>
        <w:rPr>
          <w:color w:val="auto"/>
        </w:rPr>
      </w:pPr>
      <w:r>
        <w:rPr>
          <w:rFonts w:ascii="仿宋" w:hAnsi="仿宋" w:eastAsia="仿宋"/>
          <w:color w:val="auto"/>
          <w:sz w:val="32"/>
          <w:szCs w:val="32"/>
        </w:rPr>
        <w:drawing>
          <wp:inline distT="0" distB="0" distL="0" distR="0">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8FFF4E">
      <w:pPr>
        <w:pStyle w:val="6"/>
        <w:tabs>
          <w:tab w:val="left" w:pos="5000"/>
        </w:tabs>
        <w:spacing w:before="93"/>
        <w:rPr>
          <w:color w:val="auto"/>
        </w:rPr>
      </w:pPr>
      <w:r>
        <w:rPr>
          <w:color w:val="auto"/>
        </w:rPr>
        <w:tab/>
      </w:r>
    </w:p>
    <w:p w14:paraId="7574088A">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7"/>
          <w:rFonts w:hint="eastAsia" w:ascii="仿宋" w:hAnsi="仿宋" w:eastAsia="仿宋"/>
          <w:b w:val="0"/>
          <w:bCs/>
          <w:color w:val="auto"/>
          <w:sz w:val="32"/>
          <w:szCs w:val="32"/>
        </w:rPr>
        <w:t>完成预算0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减少0万元，增长</w:t>
      </w:r>
      <w:r>
        <w:rPr>
          <w:rFonts w:ascii="仿宋_GB2312" w:eastAsia="仿宋_GB2312"/>
          <w:color w:val="auto"/>
          <w:sz w:val="32"/>
          <w:szCs w:val="32"/>
        </w:rPr>
        <w:t>/</w:t>
      </w:r>
      <w:r>
        <w:rPr>
          <w:rFonts w:hint="eastAsia" w:ascii="仿宋_GB2312" w:eastAsia="仿宋_GB2312"/>
          <w:color w:val="auto"/>
          <w:sz w:val="32"/>
          <w:szCs w:val="32"/>
        </w:rPr>
        <w:t>下降0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本年</w:t>
      </w:r>
      <w:r>
        <w:rPr>
          <w:rFonts w:hint="eastAsia" w:ascii="仿宋_GB2312" w:eastAsia="仿宋_GB2312"/>
          <w:color w:val="auto"/>
          <w:sz w:val="32"/>
          <w:szCs w:val="32"/>
        </w:rPr>
        <w:t>没有因公出国（境）事项。（无相关数据不能删除）</w:t>
      </w:r>
    </w:p>
    <w:p w14:paraId="4544AC07">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年保持一致。主要原因是严格按照预算要求执行。</w:t>
      </w:r>
    </w:p>
    <w:p w14:paraId="48D626D3">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0万元。全年按规定更新购置公务用车0辆，其中：轿车0辆、金额0万元，越野车0辆、金额0万元，载客汽车0辆、金额0万元。截至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辆，其中：轿车0辆、越野车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辆、载客汽车0辆。</w:t>
      </w:r>
    </w:p>
    <w:p w14:paraId="7677D085">
      <w:p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14:paraId="058605CB">
      <w:pPr>
        <w:widowControl/>
        <w:spacing w:line="315" w:lineRule="atLeast"/>
        <w:ind w:firstLine="480"/>
        <w:rPr>
          <w:rFonts w:hint="eastAsia" w:ascii="仿宋_GB2312" w:eastAsia="仿宋_GB2312"/>
          <w:color w:val="auto"/>
          <w:sz w:val="32"/>
          <w:szCs w:val="32"/>
          <w:lang w:val="en-US"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减少0</w:t>
      </w:r>
      <w:r>
        <w:rPr>
          <w:rFonts w:hint="eastAsia" w:ascii="仿宋_GB2312" w:eastAsia="仿宋_GB2312"/>
          <w:color w:val="auto"/>
          <w:sz w:val="32"/>
          <w:szCs w:val="32"/>
        </w:rPr>
        <w:t>元，</w:t>
      </w:r>
      <w:r>
        <w:rPr>
          <w:rFonts w:hint="eastAsia" w:ascii="仿宋_GB2312" w:eastAsia="仿宋_GB2312"/>
          <w:color w:val="auto"/>
          <w:sz w:val="32"/>
          <w:szCs w:val="32"/>
          <w:lang w:val="en-US" w:eastAsia="zh-CN"/>
        </w:rPr>
        <w:t>减少0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2023年无公务接待。</w:t>
      </w:r>
    </w:p>
    <w:p w14:paraId="625E2723">
      <w:pPr>
        <w:spacing w:line="600" w:lineRule="exact"/>
        <w:ind w:firstLine="640"/>
        <w:rPr>
          <w:rFonts w:hint="eastAsia" w:ascii="仿宋_GB2312" w:eastAsia="仿宋_GB2312"/>
          <w:color w:val="auto"/>
          <w:sz w:val="32"/>
          <w:szCs w:val="32"/>
          <w:lang w:val="en-US" w:eastAsia="zh-CN"/>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14:paraId="4BBDAD77">
      <w:pPr>
        <w:spacing w:line="600" w:lineRule="exact"/>
        <w:ind w:firstLine="643" w:firstLineChars="200"/>
        <w:rPr>
          <w:rFonts w:hint="eastAsia"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rPr>
        <w:t>0</w:t>
      </w:r>
      <w:r>
        <w:rPr>
          <w:rFonts w:hint="eastAsia" w:ascii="仿宋_GB2312" w:eastAsia="仿宋_GB2312"/>
          <w:color w:val="auto"/>
          <w:sz w:val="32"/>
          <w:szCs w:val="32"/>
        </w:rPr>
        <w:t>万元，外事接待0批次，0人，共计支出0万元。</w:t>
      </w:r>
      <w:bookmarkStart w:id="40" w:name="_Toc15396610"/>
      <w:bookmarkStart w:id="41" w:name="_Toc15377218"/>
    </w:p>
    <w:p w14:paraId="3A8AF5E8">
      <w:pPr>
        <w:pStyle w:val="2"/>
        <w:rPr>
          <w:color w:val="auto"/>
        </w:rPr>
      </w:pPr>
    </w:p>
    <w:p w14:paraId="71A41645">
      <w:pPr>
        <w:spacing w:line="600" w:lineRule="exact"/>
        <w:ind w:firstLine="640"/>
        <w:outlineLvl w:val="1"/>
        <w:rPr>
          <w:rStyle w:val="29"/>
          <w:rFonts w:ascii="黑体" w:hAnsi="黑体" w:eastAsia="黑体"/>
          <w:color w:val="auto"/>
        </w:rPr>
      </w:pPr>
      <w:r>
        <w:rPr>
          <w:rFonts w:hint="eastAsia" w:ascii="黑体" w:eastAsia="黑体"/>
          <w:color w:val="auto"/>
          <w:sz w:val="32"/>
          <w:szCs w:val="32"/>
        </w:rPr>
        <w:t>八、</w:t>
      </w:r>
      <w:r>
        <w:rPr>
          <w:rStyle w:val="29"/>
          <w:rFonts w:hint="eastAsia" w:ascii="黑体" w:hAnsi="黑体" w:eastAsia="黑体"/>
          <w:b w:val="0"/>
          <w:color w:val="auto"/>
        </w:rPr>
        <w:t>政府性基金预算支出决算情况说明</w:t>
      </w:r>
      <w:bookmarkEnd w:id="40"/>
      <w:bookmarkEnd w:id="41"/>
    </w:p>
    <w:p w14:paraId="2FF3D2AF">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年政府性基金预算财政拨款支出0万元。</w:t>
      </w:r>
    </w:p>
    <w:p w14:paraId="3FCD5607">
      <w:pPr>
        <w:spacing w:line="600" w:lineRule="exact"/>
        <w:ind w:firstLine="640"/>
        <w:rPr>
          <w:rFonts w:ascii="仿宋_GB2312" w:eastAsia="仿宋_GB2312"/>
          <w:color w:val="auto"/>
          <w:sz w:val="32"/>
          <w:szCs w:val="32"/>
        </w:rPr>
      </w:pPr>
    </w:p>
    <w:p w14:paraId="56F94E42">
      <w:pPr>
        <w:numPr>
          <w:ilvl w:val="0"/>
          <w:numId w:val="2"/>
        </w:numPr>
        <w:spacing w:line="600" w:lineRule="exact"/>
        <w:ind w:firstLine="640"/>
        <w:outlineLvl w:val="1"/>
        <w:rPr>
          <w:rStyle w:val="29"/>
          <w:rFonts w:ascii="黑体" w:hAnsi="黑体" w:eastAsia="黑体"/>
          <w:b w:val="0"/>
          <w:color w:val="auto"/>
        </w:rPr>
      </w:pPr>
      <w:bookmarkStart w:id="42" w:name="_Toc15396611"/>
      <w:bookmarkStart w:id="43" w:name="_Toc15377219"/>
      <w:r>
        <w:rPr>
          <w:rStyle w:val="29"/>
          <w:rFonts w:hint="eastAsia" w:ascii="黑体" w:hAnsi="黑体" w:eastAsia="黑体"/>
          <w:b w:val="0"/>
          <w:color w:val="auto"/>
        </w:rPr>
        <w:t>国有资本经营预算支出决算情况说明</w:t>
      </w:r>
      <w:bookmarkEnd w:id="42"/>
      <w:bookmarkEnd w:id="43"/>
    </w:p>
    <w:p w14:paraId="6B245C40">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年国有资本经营预算财政拨款支出0万元。</w:t>
      </w:r>
    </w:p>
    <w:p w14:paraId="76114349">
      <w:pPr>
        <w:spacing w:line="580" w:lineRule="exact"/>
        <w:jc w:val="center"/>
        <w:rPr>
          <w:rFonts w:ascii="方正小标宋简体" w:hAnsi="方正小标宋简体" w:eastAsia="方正小标宋简体" w:cs="方正小标宋简体"/>
          <w:color w:val="auto"/>
          <w:sz w:val="44"/>
          <w:szCs w:val="44"/>
        </w:rPr>
      </w:pPr>
    </w:p>
    <w:p w14:paraId="25B75770">
      <w:pPr>
        <w:numPr>
          <w:ilvl w:val="0"/>
          <w:numId w:val="2"/>
        </w:numPr>
        <w:spacing w:line="600" w:lineRule="exact"/>
        <w:ind w:firstLine="640"/>
        <w:outlineLvl w:val="1"/>
        <w:rPr>
          <w:rStyle w:val="29"/>
          <w:rFonts w:ascii="黑体" w:hAnsi="黑体" w:eastAsia="黑体"/>
          <w:b w:val="0"/>
          <w:color w:val="auto"/>
        </w:rPr>
      </w:pPr>
      <w:bookmarkStart w:id="44" w:name="_Toc15396612"/>
      <w:bookmarkStart w:id="45" w:name="_Toc15377221"/>
      <w:r>
        <w:rPr>
          <w:rStyle w:val="29"/>
          <w:rFonts w:hint="eastAsia" w:ascii="黑体" w:hAnsi="黑体" w:eastAsia="黑体"/>
          <w:b w:val="0"/>
          <w:color w:val="auto"/>
        </w:rPr>
        <w:t>其他重要事项的情况说明</w:t>
      </w:r>
      <w:bookmarkEnd w:id="44"/>
      <w:bookmarkEnd w:id="45"/>
    </w:p>
    <w:p w14:paraId="54564EEA">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14:paraId="5ABF9412">
      <w:pPr>
        <w:spacing w:line="600"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农村饮水安全水质检测中心</w:t>
      </w:r>
      <w:r>
        <w:rPr>
          <w:rFonts w:hint="eastAsia" w:ascii="仿宋_GB2312" w:eastAsia="仿宋_GB2312"/>
          <w:color w:val="auto"/>
          <w:sz w:val="32"/>
          <w:szCs w:val="32"/>
        </w:rPr>
        <w:t>是事业单位，无机关运行经费支出。</w:t>
      </w:r>
    </w:p>
    <w:p w14:paraId="39432B70">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7" w:name="_Toc15377223"/>
      <w:r>
        <w:rPr>
          <w:rFonts w:hint="eastAsia" w:ascii="仿宋" w:hAnsi="仿宋" w:eastAsia="仿宋"/>
          <w:b/>
          <w:color w:val="auto"/>
          <w:sz w:val="32"/>
          <w:szCs w:val="32"/>
        </w:rPr>
        <w:t>（二）政府采购支出情况</w:t>
      </w:r>
      <w:bookmarkEnd w:id="47"/>
    </w:p>
    <w:p w14:paraId="6DAD3CA4">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年，大竹县</w:t>
      </w:r>
      <w:r>
        <w:rPr>
          <w:rFonts w:hint="eastAsia" w:ascii="仿宋_GB2312" w:eastAsia="仿宋_GB2312"/>
          <w:color w:val="auto"/>
          <w:sz w:val="32"/>
          <w:szCs w:val="32"/>
          <w:lang w:val="en-US" w:eastAsia="zh-CN"/>
        </w:rPr>
        <w:t>农村饮水安全水质检测中心</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万元、政府采购工程支出0万元、政府采购服务支出0万元。授予中小企业合同金额0万元，占政府采购支出总额的0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w:t>
      </w:r>
      <w:bookmarkStart w:id="67" w:name="_GoBack"/>
      <w:bookmarkEnd w:id="67"/>
      <w:r>
        <w:rPr>
          <w:rFonts w:hint="eastAsia" w:ascii="仿宋_GB2312" w:eastAsia="仿宋_GB2312"/>
          <w:color w:val="auto"/>
          <w:sz w:val="32"/>
          <w:szCs w:val="32"/>
        </w:rPr>
        <w:t>总额的0</w:t>
      </w:r>
      <w:r>
        <w:rPr>
          <w:rFonts w:ascii="仿宋_GB2312" w:eastAsia="仿宋_GB2312"/>
          <w:color w:val="auto"/>
          <w:sz w:val="32"/>
          <w:szCs w:val="32"/>
        </w:rPr>
        <w:t>%</w:t>
      </w:r>
      <w:r>
        <w:rPr>
          <w:rFonts w:hint="eastAsia" w:ascii="仿宋_GB2312" w:eastAsia="仿宋_GB2312"/>
          <w:color w:val="auto"/>
          <w:sz w:val="32"/>
          <w:szCs w:val="32"/>
        </w:rPr>
        <w:t>。</w:t>
      </w:r>
    </w:p>
    <w:p w14:paraId="49BF7F6E">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14:paraId="296DCE5C">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单价50万元以上通用设备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2483C46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w:t>
      </w:r>
      <w:r>
        <w:rPr>
          <w:rFonts w:hint="eastAsia" w:ascii="仿宋" w:hAnsi="仿宋" w:eastAsia="仿宋"/>
          <w:b w:val="0"/>
          <w:bCs/>
          <w:color w:val="auto"/>
          <w:sz w:val="32"/>
          <w:szCs w:val="32"/>
          <w:highlight w:val="none"/>
        </w:rPr>
        <w:t>）预算绩效管</w:t>
      </w:r>
      <w:r>
        <w:rPr>
          <w:rFonts w:hint="eastAsia" w:ascii="仿宋" w:hAnsi="仿宋" w:eastAsia="仿宋"/>
          <w:b/>
          <w:color w:val="auto"/>
          <w:sz w:val="32"/>
          <w:szCs w:val="32"/>
          <w:highlight w:val="none"/>
        </w:rPr>
        <w:t>理情况</w:t>
      </w:r>
    </w:p>
    <w:p w14:paraId="5A845813">
      <w:pPr>
        <w:spacing w:line="580" w:lineRule="exact"/>
        <w:ind w:firstLine="640" w:firstLineChars="200"/>
        <w:rPr>
          <w:rFonts w:ascii="仿宋_GB2312" w:hAnsi="仿宋_GB2312" w:eastAsia="仿宋_GB2312" w:cs="仿宋_GB2312"/>
          <w:sz w:val="32"/>
          <w:szCs w:val="32"/>
        </w:rPr>
      </w:pPr>
      <w:bookmarkStart w:id="49" w:name="_Toc15377225"/>
      <w:bookmarkStart w:id="50" w:name="_Toc15396613"/>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项目开展了绩效目标完成情况自评。</w:t>
      </w:r>
    </w:p>
    <w:p w14:paraId="20CB0B88">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年部门整体支出开展绩效自评，</w:t>
      </w:r>
      <w:r>
        <w:rPr>
          <w:rFonts w:hint="eastAsia" w:ascii="仿宋_GB2312" w:hAnsi="仿宋_GB2312" w:eastAsia="仿宋_GB2312" w:cs="仿宋_GB2312"/>
          <w:sz w:val="32"/>
          <w:szCs w:val="32"/>
          <w:lang w:eastAsia="zh-CN"/>
        </w:rPr>
        <w:t>具体而言，进一步规范了财政资金管理，提高了财政资金使用效益，</w:t>
      </w:r>
      <w:r>
        <w:rPr>
          <w:rFonts w:hint="eastAsia" w:ascii="仿宋_GB2312" w:hAnsi="仿宋_GB2312" w:eastAsia="仿宋_GB2312" w:cs="仿宋_GB2312"/>
          <w:sz w:val="32"/>
          <w:szCs w:val="32"/>
          <w:lang w:val="en-US" w:eastAsia="zh-CN"/>
        </w:rPr>
        <w:t>2023年整体支出均纳入预算绩效目标管理，通过绩效目标管理，保重点、保运转，有效促进了控制管理，优化资金使用</w:t>
      </w:r>
      <w:r>
        <w:rPr>
          <w:rFonts w:hint="eastAsia" w:ascii="仿宋_GB2312" w:hAnsi="仿宋_GB2312" w:eastAsia="仿宋_GB2312" w:cs="仿宋_GB2312"/>
          <w:sz w:val="32"/>
          <w:szCs w:val="32"/>
        </w:rPr>
        <w:t>。</w:t>
      </w:r>
      <w:r>
        <w:rPr>
          <w:rFonts w:hint="eastAsia" w:ascii="仿宋_GB2312" w:eastAsia="仿宋_GB2312"/>
          <w:color w:val="000000"/>
          <w:sz w:val="32"/>
          <w:szCs w:val="32"/>
        </w:rPr>
        <w:t>存在的问题：</w:t>
      </w:r>
      <w:r>
        <w:rPr>
          <w:rFonts w:hint="eastAsia" w:ascii="仿宋_GB2312" w:eastAsia="仿宋_GB2312"/>
          <w:color w:val="000000"/>
          <w:sz w:val="32"/>
          <w:szCs w:val="32"/>
          <w:lang w:eastAsia="zh-CN"/>
        </w:rPr>
        <w:t>单位公用经费严重不足</w:t>
      </w:r>
      <w:r>
        <w:rPr>
          <w:rFonts w:hint="eastAsia" w:ascii="仿宋_GB2312" w:eastAsia="仿宋_GB2312"/>
          <w:color w:val="000000"/>
          <w:sz w:val="32"/>
          <w:szCs w:val="32"/>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项目支出绩效评价</w:t>
      </w:r>
      <w:r>
        <w:rPr>
          <w:rFonts w:hint="eastAsia" w:ascii="仿宋_GB2312" w:hAnsi="仿宋_GB2312" w:eastAsia="仿宋_GB2312" w:cs="仿宋_GB2312"/>
          <w:sz w:val="32"/>
          <w:szCs w:val="32"/>
          <w:lang w:eastAsia="zh-CN"/>
        </w:rPr>
        <w:t>。</w:t>
      </w:r>
    </w:p>
    <w:p w14:paraId="797BCEA9">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14:paraId="40D15C2D">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rPr>
      </w:pPr>
      <w:r>
        <w:rPr>
          <w:rFonts w:hint="eastAsia" w:ascii="仿宋_GB2312" w:hAnsi="仿宋_GB2312" w:eastAsia="仿宋_GB2312" w:cs="仿宋_GB2312"/>
          <w:sz w:val="32"/>
          <w:szCs w:val="32"/>
        </w:rPr>
        <w:t>本单位在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个项目绩效目标完成实际情况</w:t>
      </w:r>
      <w:r>
        <w:rPr>
          <w:rFonts w:hint="eastAsia" w:ascii="仿宋_GB2312" w:hAnsi="仿宋_GB2312" w:eastAsia="仿宋_GB2312" w:cs="仿宋_GB2312"/>
          <w:sz w:val="32"/>
          <w:szCs w:val="32"/>
          <w:lang w:eastAsia="zh-CN"/>
        </w:rPr>
        <w:t>。</w:t>
      </w:r>
    </w:p>
    <w:p w14:paraId="34BEE9ED">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14:paraId="1FE38F5F">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通过项目实施，项目绩效目标实现情况如下：</w:t>
      </w:r>
    </w:p>
    <w:p w14:paraId="5536360F">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2023年本单位对228处农村饮水安全实施了检测，做到应检尽检。</w:t>
      </w:r>
    </w:p>
    <w:p w14:paraId="2F59C144">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通过项目实施，发现的主要问题：工作经费严重不足。下一步改进措施：</w:t>
      </w:r>
      <w:r>
        <w:rPr>
          <w:rFonts w:hint="eastAsia" w:ascii="仿宋_GB2312" w:hAnsi="仿宋_GB2312" w:eastAsia="仿宋_GB2312" w:cs="仿宋_GB2312"/>
          <w:color w:val="auto"/>
          <w:sz w:val="32"/>
          <w:szCs w:val="32"/>
          <w:highlight w:val="none"/>
          <w:lang w:val="en-US" w:eastAsia="zh-CN"/>
        </w:rPr>
        <w:t>开源节流，争取政府和财政对我单位资金的支持</w:t>
      </w:r>
    </w:p>
    <w:p w14:paraId="3B1C8FE3">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sz w:val="32"/>
          <w:szCs w:val="32"/>
          <w:lang w:val="en-US" w:eastAsia="zh-CN"/>
        </w:rPr>
        <w:t>水质监测运行维护费</w:t>
      </w:r>
      <w:r>
        <w:rPr>
          <w:rFonts w:hint="eastAsia" w:ascii="仿宋_GB2312" w:hAnsi="仿宋_GB2312" w:eastAsia="仿宋_GB2312" w:cs="仿宋_GB2312"/>
          <w:color w:val="auto"/>
          <w:sz w:val="32"/>
          <w:szCs w:val="32"/>
          <w:highlight w:val="none"/>
        </w:rPr>
        <w:t>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hint="eastAsia" w:ascii="仿宋_GB2312" w:hAnsi="仿宋_GB2312" w:eastAsia="仿宋_GB2312" w:cs="仿宋_GB2312"/>
          <w:color w:val="auto"/>
          <w:sz w:val="32"/>
          <w:szCs w:val="32"/>
          <w:highlight w:val="none"/>
        </w:rPr>
        <w:t>。</w:t>
      </w:r>
    </w:p>
    <w:p w14:paraId="628B860D">
      <w:pPr>
        <w:numPr>
          <w:ilvl w:val="0"/>
          <w:numId w:val="4"/>
        </w:numPr>
        <w:spacing w:line="600" w:lineRule="exact"/>
        <w:ind w:firstLine="660" w:firstLineChars="150"/>
        <w:jc w:val="center"/>
        <w:outlineLvl w:val="0"/>
        <w:rPr>
          <w:rStyle w:val="28"/>
          <w:rFonts w:ascii="黑体" w:hAnsi="黑体" w:eastAsia="黑体"/>
          <w:b w:val="0"/>
          <w:color w:val="auto"/>
        </w:rPr>
      </w:pPr>
      <w:r>
        <w:rPr>
          <w:rFonts w:hint="eastAsia" w:ascii="黑体" w:hAnsi="黑体" w:eastAsia="黑体"/>
          <w:color w:val="auto"/>
          <w:sz w:val="44"/>
          <w:szCs w:val="44"/>
        </w:rPr>
        <w:t>名</w:t>
      </w:r>
      <w:r>
        <w:rPr>
          <w:rStyle w:val="28"/>
          <w:rFonts w:hint="eastAsia" w:ascii="黑体" w:hAnsi="黑体" w:eastAsia="黑体"/>
          <w:b w:val="0"/>
          <w:color w:val="auto"/>
        </w:rPr>
        <w:t>词解释</w:t>
      </w:r>
      <w:bookmarkEnd w:id="49"/>
      <w:bookmarkEnd w:id="50"/>
    </w:p>
    <w:p w14:paraId="1A2A9672">
      <w:pPr>
        <w:spacing w:line="600" w:lineRule="exact"/>
        <w:jc w:val="left"/>
        <w:rPr>
          <w:rFonts w:ascii="宋体"/>
          <w:b/>
          <w:color w:val="auto"/>
          <w:sz w:val="44"/>
          <w:szCs w:val="44"/>
        </w:rPr>
      </w:pPr>
    </w:p>
    <w:p w14:paraId="23F6B38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A15078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2739C0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2707347C">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42FA147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EE8512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A2525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4BD76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47E92D">
      <w:pPr>
        <w:ind w:firstLine="640" w:firstLineChars="200"/>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一般公共服务（类）…（款）…（项）：指……。</w:t>
      </w:r>
    </w:p>
    <w:p w14:paraId="36FD98B4">
      <w:pPr>
        <w:ind w:firstLine="640" w:firstLineChars="200"/>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外交（类）…（款）…（项）：指……。</w:t>
      </w:r>
    </w:p>
    <w:p w14:paraId="3F03A5E6">
      <w:pPr>
        <w:ind w:firstLine="640" w:firstLineChars="200"/>
        <w:rPr>
          <w:rFonts w:ascii="仿宋_GB2312" w:eastAsia="仿宋_GB2312"/>
          <w:color w:val="auto"/>
          <w:sz w:val="32"/>
          <w:szCs w:val="32"/>
        </w:rPr>
      </w:pPr>
      <w:r>
        <w:rPr>
          <w:rFonts w:ascii="仿宋_GB2312" w:eastAsia="仿宋_GB2312"/>
          <w:color w:val="auto"/>
          <w:sz w:val="32"/>
          <w:szCs w:val="32"/>
        </w:rPr>
        <w:t>11.</w:t>
      </w:r>
      <w:r>
        <w:rPr>
          <w:rFonts w:hint="eastAsia" w:ascii="仿宋_GB2312" w:eastAsia="仿宋_GB2312"/>
          <w:color w:val="auto"/>
          <w:sz w:val="32"/>
          <w:szCs w:val="32"/>
        </w:rPr>
        <w:t>公共安全（类）…（款）…（项）：指……。</w:t>
      </w:r>
    </w:p>
    <w:p w14:paraId="2031D8A5">
      <w:pPr>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教育（类）…（款）…（项）：指……。</w:t>
      </w:r>
    </w:p>
    <w:p w14:paraId="21A90DE5">
      <w:pPr>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科学技术（类）…（款）…（项）：指……。</w:t>
      </w:r>
    </w:p>
    <w:p w14:paraId="29661D80">
      <w:pPr>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文化体育与传媒（类）…（款）…（项）：指……。</w:t>
      </w:r>
    </w:p>
    <w:p w14:paraId="5DBFDF0E">
      <w:pPr>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社会保障和就业（类）…（款）…（项）：指……。</w:t>
      </w:r>
    </w:p>
    <w:p w14:paraId="7470B0E4">
      <w:pPr>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医疗卫生与计划生育（类）…（款）…（项）：指……。</w:t>
      </w:r>
    </w:p>
    <w:p w14:paraId="4429E839">
      <w:pPr>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节能环保（类）…（款）…（项）：指……。</w:t>
      </w:r>
    </w:p>
    <w:p w14:paraId="77C6CCC8">
      <w:pPr>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rPr>
        <w:t>城乡社区（类）…（款）…（项）：指……。</w:t>
      </w:r>
    </w:p>
    <w:p w14:paraId="169D522C">
      <w:pPr>
        <w:ind w:firstLine="640" w:firstLineChars="200"/>
        <w:rPr>
          <w:rFonts w:ascii="仿宋_GB2312" w:eastAsia="仿宋_GB2312"/>
          <w:color w:val="auto"/>
          <w:sz w:val="32"/>
          <w:szCs w:val="32"/>
        </w:rPr>
      </w:pPr>
      <w:r>
        <w:rPr>
          <w:rFonts w:ascii="仿宋_GB2312" w:eastAsia="仿宋_GB2312"/>
          <w:color w:val="auto"/>
          <w:sz w:val="32"/>
          <w:szCs w:val="32"/>
        </w:rPr>
        <w:t>19.</w:t>
      </w:r>
      <w:r>
        <w:rPr>
          <w:rFonts w:hint="eastAsia" w:ascii="仿宋_GB2312" w:eastAsia="仿宋_GB2312"/>
          <w:color w:val="auto"/>
          <w:sz w:val="32"/>
          <w:szCs w:val="32"/>
        </w:rPr>
        <w:t>农林水（类）…（款）…（项）：指……。</w:t>
      </w:r>
    </w:p>
    <w:p w14:paraId="0E466A7C">
      <w:pPr>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交通运输（类）…（款）…（项）：指……。</w:t>
      </w:r>
    </w:p>
    <w:p w14:paraId="1CB97E62">
      <w:pPr>
        <w:ind w:firstLine="640" w:firstLineChars="200"/>
        <w:rPr>
          <w:rFonts w:ascii="仿宋_GB2312" w:eastAsia="仿宋_GB2312"/>
          <w:color w:val="auto"/>
          <w:sz w:val="32"/>
          <w:szCs w:val="32"/>
        </w:rPr>
      </w:pPr>
      <w:r>
        <w:rPr>
          <w:rFonts w:ascii="仿宋_GB2312" w:eastAsia="仿宋_GB2312"/>
          <w:color w:val="auto"/>
          <w:sz w:val="32"/>
          <w:szCs w:val="32"/>
        </w:rPr>
        <w:t>21.</w:t>
      </w:r>
      <w:r>
        <w:rPr>
          <w:rFonts w:hint="eastAsia" w:ascii="仿宋_GB2312" w:eastAsia="仿宋_GB2312"/>
          <w:color w:val="auto"/>
          <w:sz w:val="32"/>
          <w:szCs w:val="32"/>
        </w:rPr>
        <w:t>资源勘探信息等（类）…（款）…（项）：指……。</w:t>
      </w:r>
    </w:p>
    <w:p w14:paraId="26A7F16F">
      <w:pPr>
        <w:ind w:firstLine="640" w:firstLineChars="200"/>
        <w:rPr>
          <w:rFonts w:ascii="仿宋_GB2312" w:eastAsia="仿宋_GB2312"/>
          <w:color w:val="auto"/>
          <w:sz w:val="32"/>
          <w:szCs w:val="32"/>
        </w:rPr>
      </w:pPr>
      <w:r>
        <w:rPr>
          <w:rFonts w:ascii="仿宋_GB2312" w:eastAsia="仿宋_GB2312"/>
          <w:color w:val="auto"/>
          <w:sz w:val="32"/>
          <w:szCs w:val="32"/>
        </w:rPr>
        <w:t>22.</w:t>
      </w:r>
      <w:r>
        <w:rPr>
          <w:rFonts w:hint="eastAsia" w:ascii="仿宋_GB2312" w:eastAsia="仿宋_GB2312"/>
          <w:color w:val="auto"/>
          <w:sz w:val="32"/>
          <w:szCs w:val="32"/>
        </w:rPr>
        <w:t>商业服务业（类）…（款）…（项）：指……。</w:t>
      </w:r>
    </w:p>
    <w:p w14:paraId="0BDD33E5">
      <w:pPr>
        <w:ind w:firstLine="640" w:firstLineChars="200"/>
        <w:rPr>
          <w:rFonts w:ascii="仿宋_GB2312" w:eastAsia="仿宋_GB2312"/>
          <w:color w:val="auto"/>
          <w:sz w:val="32"/>
          <w:szCs w:val="32"/>
        </w:rPr>
      </w:pPr>
      <w:r>
        <w:rPr>
          <w:rFonts w:ascii="仿宋_GB2312" w:eastAsia="仿宋_GB2312"/>
          <w:color w:val="auto"/>
          <w:sz w:val="32"/>
          <w:szCs w:val="32"/>
        </w:rPr>
        <w:t>23.</w:t>
      </w:r>
      <w:r>
        <w:rPr>
          <w:rFonts w:hint="eastAsia" w:ascii="仿宋_GB2312" w:eastAsia="仿宋_GB2312"/>
          <w:color w:val="auto"/>
          <w:sz w:val="32"/>
          <w:szCs w:val="32"/>
        </w:rPr>
        <w:t>金融（类）…（款）…（项）：指……。</w:t>
      </w:r>
    </w:p>
    <w:p w14:paraId="4D7BA680">
      <w:pPr>
        <w:ind w:firstLine="640" w:firstLineChars="200"/>
        <w:rPr>
          <w:rFonts w:ascii="仿宋_GB2312" w:eastAsia="仿宋_GB2312"/>
          <w:color w:val="auto"/>
          <w:sz w:val="32"/>
          <w:szCs w:val="32"/>
        </w:rPr>
      </w:pPr>
      <w:r>
        <w:rPr>
          <w:rFonts w:ascii="仿宋_GB2312" w:eastAsia="仿宋_GB2312"/>
          <w:color w:val="auto"/>
          <w:sz w:val="32"/>
          <w:szCs w:val="32"/>
        </w:rPr>
        <w:t>24.</w:t>
      </w:r>
      <w:r>
        <w:rPr>
          <w:rFonts w:hint="eastAsia" w:ascii="仿宋_GB2312" w:eastAsia="仿宋_GB2312"/>
          <w:color w:val="auto"/>
          <w:sz w:val="32"/>
          <w:szCs w:val="32"/>
        </w:rPr>
        <w:t>国土海洋气象等（类）…（款）…（项）：指……。</w:t>
      </w:r>
    </w:p>
    <w:p w14:paraId="6D00BB52">
      <w:pPr>
        <w:ind w:firstLine="640" w:firstLineChars="200"/>
        <w:rPr>
          <w:rFonts w:ascii="仿宋_GB2312" w:eastAsia="仿宋_GB2312"/>
          <w:color w:val="auto"/>
          <w:sz w:val="32"/>
          <w:szCs w:val="32"/>
        </w:rPr>
      </w:pPr>
      <w:r>
        <w:rPr>
          <w:rFonts w:ascii="仿宋_GB2312" w:eastAsia="仿宋_GB2312"/>
          <w:color w:val="auto"/>
          <w:sz w:val="32"/>
          <w:szCs w:val="32"/>
        </w:rPr>
        <w:t>25.</w:t>
      </w:r>
      <w:r>
        <w:rPr>
          <w:rFonts w:hint="eastAsia" w:ascii="仿宋_GB2312" w:eastAsia="仿宋_GB2312"/>
          <w:color w:val="auto"/>
          <w:sz w:val="32"/>
          <w:szCs w:val="32"/>
        </w:rPr>
        <w:t>住房保障（类）…（款）…（项）：指……。</w:t>
      </w:r>
    </w:p>
    <w:p w14:paraId="392B5E16">
      <w:pPr>
        <w:ind w:firstLine="640" w:firstLineChars="200"/>
        <w:rPr>
          <w:rFonts w:ascii="仿宋_GB2312" w:eastAsia="仿宋_GB2312"/>
          <w:color w:val="auto"/>
          <w:sz w:val="32"/>
          <w:szCs w:val="32"/>
        </w:rPr>
      </w:pPr>
      <w:r>
        <w:rPr>
          <w:rFonts w:ascii="仿宋_GB2312" w:eastAsia="仿宋_GB2312"/>
          <w:color w:val="auto"/>
          <w:sz w:val="32"/>
          <w:szCs w:val="32"/>
        </w:rPr>
        <w:t>26.</w:t>
      </w:r>
      <w:r>
        <w:rPr>
          <w:rFonts w:hint="eastAsia" w:ascii="仿宋_GB2312" w:eastAsia="仿宋_GB2312"/>
          <w:color w:val="auto"/>
          <w:sz w:val="32"/>
          <w:szCs w:val="32"/>
        </w:rPr>
        <w:t>粮油物资储备（类）…（款）…（项）：指……。</w:t>
      </w:r>
    </w:p>
    <w:p w14:paraId="317D0B87">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2AE841E3">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4407AD04">
      <w:pPr>
        <w:ind w:firstLine="640" w:firstLineChars="200"/>
        <w:rPr>
          <w:rFonts w:ascii="仿宋_GB2312" w:eastAsia="仿宋_GB2312"/>
          <w:color w:val="auto"/>
          <w:sz w:val="32"/>
          <w:szCs w:val="32"/>
        </w:rPr>
      </w:pPr>
      <w:r>
        <w:rPr>
          <w:rFonts w:hint="eastAsia" w:ascii="仿宋_GB2312" w:eastAsia="仿宋_GB2312"/>
          <w:color w:val="auto"/>
          <w:sz w:val="32"/>
          <w:szCs w:val="32"/>
        </w:rPr>
        <w:t>……</w:t>
      </w:r>
    </w:p>
    <w:p w14:paraId="05DDF007">
      <w:pPr>
        <w:ind w:firstLine="640" w:firstLineChars="200"/>
        <w:rPr>
          <w:rFonts w:ascii="仿宋_GB2312" w:eastAsia="仿宋_GB2312"/>
          <w:color w:val="auto"/>
          <w:sz w:val="32"/>
          <w:szCs w:val="32"/>
        </w:rPr>
      </w:pPr>
      <w:r>
        <w:rPr>
          <w:rFonts w:ascii="仿宋_GB2312" w:eastAsia="仿宋_GB2312"/>
          <w:color w:val="auto"/>
          <w:sz w:val="32"/>
          <w:szCs w:val="32"/>
        </w:rPr>
        <w:t>27.</w:t>
      </w:r>
      <w:r>
        <w:rPr>
          <w:rFonts w:hint="eastAsia" w:ascii="仿宋_GB2312" w:eastAsia="仿宋_GB2312"/>
          <w:color w:val="auto"/>
          <w:sz w:val="32"/>
          <w:szCs w:val="32"/>
        </w:rPr>
        <w:t>基本支出：指为保障机构正常运转、完成日常工作任务而发生的人员支出和公用支出。</w:t>
      </w:r>
    </w:p>
    <w:p w14:paraId="4A1EC40F">
      <w:pPr>
        <w:ind w:firstLine="640" w:firstLineChars="200"/>
        <w:rPr>
          <w:rFonts w:ascii="仿宋_GB2312" w:eastAsia="仿宋_GB2312"/>
          <w:color w:val="auto"/>
          <w:sz w:val="32"/>
          <w:szCs w:val="32"/>
        </w:rPr>
      </w:pPr>
      <w:r>
        <w:rPr>
          <w:rFonts w:ascii="仿宋_GB2312" w:eastAsia="仿宋_GB2312"/>
          <w:color w:val="auto"/>
          <w:sz w:val="32"/>
          <w:szCs w:val="32"/>
        </w:rPr>
        <w:t>28.</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14:paraId="08D92783">
      <w:pPr>
        <w:ind w:firstLine="640" w:firstLineChars="200"/>
        <w:rPr>
          <w:rFonts w:ascii="仿宋_GB2312" w:eastAsia="仿宋_GB2312"/>
          <w:color w:val="auto"/>
          <w:sz w:val="32"/>
          <w:szCs w:val="32"/>
        </w:rPr>
      </w:pPr>
      <w:r>
        <w:rPr>
          <w:rFonts w:ascii="仿宋_GB2312" w:eastAsia="仿宋_GB2312"/>
          <w:color w:val="auto"/>
          <w:sz w:val="32"/>
          <w:szCs w:val="32"/>
        </w:rPr>
        <w:t>29.</w:t>
      </w:r>
      <w:r>
        <w:rPr>
          <w:rFonts w:hint="eastAsia" w:ascii="仿宋_GB2312" w:eastAsia="仿宋_GB2312"/>
          <w:color w:val="auto"/>
          <w:sz w:val="32"/>
          <w:szCs w:val="32"/>
        </w:rPr>
        <w:t>经营支出：指事业单位在专业业务活动及其辅助活动之外开展非独立核算经营活动发生的支出。</w:t>
      </w:r>
    </w:p>
    <w:p w14:paraId="2B7CD71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E87BB9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14BA0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808F41B">
      <w:pPr>
        <w:pStyle w:val="26"/>
        <w:spacing w:line="560" w:lineRule="exact"/>
        <w:ind w:firstLine="640" w:firstLineChars="200"/>
        <w:rPr>
          <w:rFonts w:ascii="仿宋_GB2312" w:eastAsia="仿宋_GB2312" w:cs="黑体"/>
          <w:color w:val="auto"/>
          <w:sz w:val="32"/>
          <w:szCs w:val="32"/>
        </w:rPr>
      </w:pPr>
    </w:p>
    <w:p w14:paraId="7106208E">
      <w:pPr>
        <w:ind w:firstLine="643" w:firstLineChars="200"/>
        <w:rPr>
          <w:rFonts w:ascii="仿宋" w:hAnsi="仿宋" w:eastAsia="仿宋"/>
          <w:b/>
          <w:color w:val="auto"/>
          <w:sz w:val="32"/>
          <w:szCs w:val="32"/>
        </w:rPr>
      </w:pPr>
      <w:r>
        <w:rPr>
          <w:rFonts w:hint="eastAsia" w:ascii="仿宋" w:hAnsi="仿宋" w:eastAsia="仿宋"/>
          <w:b/>
          <w:color w:val="auto"/>
          <w:sz w:val="32"/>
          <w:szCs w:val="32"/>
        </w:rPr>
        <w:t>（名词解释部分请根据各单位实际列支情况罗列，并根据本单位职责职能增减名词解释内容。）</w:t>
      </w:r>
    </w:p>
    <w:p w14:paraId="331022E3">
      <w:pPr>
        <w:numPr>
          <w:ilvl w:val="0"/>
          <w:numId w:val="4"/>
        </w:numPr>
        <w:spacing w:line="600" w:lineRule="exact"/>
        <w:ind w:left="0" w:leftChars="0" w:firstLine="663" w:firstLineChars="150"/>
        <w:jc w:val="center"/>
        <w:outlineLvl w:val="0"/>
        <w:rPr>
          <w:rStyle w:val="28"/>
          <w:rFonts w:hint="eastAsia" w:ascii="黑体" w:hAnsi="黑体" w:eastAsia="黑体"/>
          <w:b w:val="0"/>
          <w:color w:val="auto"/>
        </w:rPr>
      </w:pPr>
      <w:bookmarkStart w:id="51" w:name="_Toc15377226"/>
      <w:r>
        <w:rPr>
          <w:rFonts w:ascii="宋体"/>
          <w:b/>
          <w:color w:val="auto"/>
          <w:sz w:val="44"/>
          <w:szCs w:val="44"/>
        </w:rPr>
        <w:br w:type="page"/>
      </w:r>
      <w:bookmarkStart w:id="52" w:name="_Toc15396614"/>
      <w:r>
        <w:rPr>
          <w:rStyle w:val="28"/>
          <w:rFonts w:hint="eastAsia" w:ascii="黑体" w:hAnsi="黑体" w:eastAsia="黑体"/>
          <w:b w:val="0"/>
          <w:color w:val="auto"/>
        </w:rPr>
        <w:t>附件</w:t>
      </w:r>
      <w:bookmarkEnd w:id="52"/>
    </w:p>
    <w:p w14:paraId="4E035F77">
      <w:pPr>
        <w:jc w:val="center"/>
        <w:rPr>
          <w:rFonts w:hint="eastAsia" w:ascii="宋体" w:hAnsi="宋体" w:eastAsia="宋体"/>
          <w:b/>
          <w:sz w:val="44"/>
          <w:szCs w:val="44"/>
          <w:shd w:val="clear" w:color="auto" w:fill="FFFFFF"/>
          <w:lang w:eastAsia="zh-CN"/>
        </w:rPr>
      </w:pPr>
      <w:r>
        <w:rPr>
          <w:rFonts w:hint="eastAsia" w:ascii="宋体" w:hAnsi="宋体" w:eastAsia="宋体"/>
          <w:b/>
          <w:sz w:val="44"/>
          <w:szCs w:val="44"/>
          <w:shd w:val="clear" w:color="auto" w:fill="FFFFFF"/>
          <w:lang w:eastAsia="zh-CN"/>
        </w:rPr>
        <w:t>大竹县农村饮水安全水质检测中心</w:t>
      </w:r>
    </w:p>
    <w:p w14:paraId="0804CC09">
      <w:pPr>
        <w:keepNext w:val="0"/>
        <w:keepLines w:val="0"/>
        <w:pageBreakBefore w:val="0"/>
        <w:widowControl/>
        <w:kinsoku/>
        <w:wordWrap/>
        <w:overflowPunct/>
        <w:topLinePunct w:val="0"/>
        <w:autoSpaceDE/>
        <w:autoSpaceDN/>
        <w:bidi w:val="0"/>
        <w:adjustRightInd w:val="0"/>
        <w:snapToGrid w:val="0"/>
        <w:spacing w:line="578" w:lineRule="exact"/>
        <w:ind w:firstLine="883" w:firstLineChars="200"/>
        <w:contextualSpacing/>
        <w:jc w:val="left"/>
        <w:textAlignment w:val="auto"/>
        <w:outlineLvl w:val="9"/>
        <w:rPr>
          <w:rFonts w:hint="eastAsia" w:ascii="宋体" w:hAnsi="宋体" w:eastAsia="宋体"/>
          <w:b/>
          <w:sz w:val="44"/>
          <w:szCs w:val="44"/>
          <w:shd w:val="clear" w:color="auto" w:fill="FFFFFF"/>
        </w:rPr>
      </w:pPr>
      <w:r>
        <w:rPr>
          <w:rFonts w:hint="eastAsia" w:ascii="宋体" w:hAnsi="宋体" w:eastAsia="宋体"/>
          <w:b/>
          <w:sz w:val="44"/>
          <w:szCs w:val="44"/>
          <w:shd w:val="clear" w:color="auto" w:fill="FFFFFF"/>
        </w:rPr>
        <w:t>20</w:t>
      </w:r>
      <w:r>
        <w:rPr>
          <w:rFonts w:hint="eastAsia" w:ascii="宋体" w:hAnsi="宋体" w:eastAsia="宋体"/>
          <w:b/>
          <w:sz w:val="44"/>
          <w:szCs w:val="44"/>
          <w:shd w:val="clear" w:color="auto" w:fill="FFFFFF"/>
          <w:lang w:val="en-US" w:eastAsia="zh-CN"/>
        </w:rPr>
        <w:t>24</w:t>
      </w:r>
      <w:r>
        <w:rPr>
          <w:rFonts w:hint="eastAsia" w:ascii="宋体" w:hAnsi="宋体" w:eastAsia="宋体"/>
          <w:b/>
          <w:sz w:val="44"/>
          <w:szCs w:val="44"/>
          <w:shd w:val="clear" w:color="auto" w:fill="FFFFFF"/>
        </w:rPr>
        <w:t>年部门整体支出绩效评价报告</w:t>
      </w:r>
    </w:p>
    <w:p w14:paraId="05E5CD96">
      <w:pPr>
        <w:pStyle w:val="2"/>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sz w:val="32"/>
          <w:szCs w:val="32"/>
        </w:rPr>
      </w:pPr>
    </w:p>
    <w:p w14:paraId="446987D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highlight w:val="none"/>
          <w:shd w:val="clear" w:color="auto" w:fill="FFFFFF"/>
          <w:lang w:val="zh-CN"/>
        </w:rPr>
        <w:t>一、部门（单位）基本情况</w:t>
      </w:r>
    </w:p>
    <w:p w14:paraId="0AD5A3F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（一）机构组成。</w:t>
      </w:r>
    </w:p>
    <w:p w14:paraId="77A4C40B">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lang w:eastAsia="zh-CN"/>
        </w:rPr>
        <w:t>大竹县</w:t>
      </w:r>
      <w:r>
        <w:rPr>
          <w:rFonts w:hint="eastAsia" w:ascii="仿宋_GB2312" w:hAnsi="仿宋_GB2312" w:eastAsia="仿宋_GB2312" w:cs="仿宋_GB2312"/>
          <w:sz w:val="32"/>
          <w:szCs w:val="32"/>
          <w:lang w:val="en-US" w:eastAsia="zh-CN"/>
        </w:rPr>
        <w:t>农村饮水安全水质检测</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是财政全额拨款的一级预算单位。</w:t>
      </w:r>
    </w:p>
    <w:p w14:paraId="2035B6C1">
      <w:pPr>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机构职能。</w:t>
      </w:r>
    </w:p>
    <w:p w14:paraId="30EEF3D8">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大竹县</w:t>
      </w:r>
      <w:r>
        <w:rPr>
          <w:rFonts w:hint="eastAsia" w:ascii="仿宋_GB2312" w:hAnsi="仿宋_GB2312" w:eastAsia="仿宋_GB2312" w:cs="仿宋_GB2312"/>
          <w:color w:val="000000"/>
          <w:sz w:val="32"/>
          <w:szCs w:val="32"/>
          <w:lang w:val="en-US" w:eastAsia="zh-CN"/>
        </w:rPr>
        <w:t>农村饮水安全水质检测</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lang w:val="en-US" w:eastAsia="zh-CN"/>
        </w:rPr>
        <w:t>负责对农村饮水的水质进行检测和监测，对水质状况做出分析和评价，按规定上报有关部门，负责农村水厂水处理技术指导和培训，为提高净水工艺开展科学研究。</w:t>
      </w:r>
    </w:p>
    <w:p w14:paraId="73C29E0D">
      <w:pPr>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人员概况。</w:t>
      </w:r>
    </w:p>
    <w:p w14:paraId="7144DD64">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lang w:eastAsia="zh-CN"/>
        </w:rPr>
        <w:t>大竹县</w:t>
      </w:r>
      <w:r>
        <w:rPr>
          <w:rFonts w:hint="eastAsia" w:ascii="仿宋_GB2312" w:hAnsi="仿宋_GB2312" w:eastAsia="仿宋_GB2312" w:cs="仿宋_GB2312"/>
          <w:sz w:val="32"/>
          <w:szCs w:val="32"/>
          <w:lang w:val="en-US" w:eastAsia="zh-CN"/>
        </w:rPr>
        <w:t>农村饮水安全水质检测</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年末实有在职人员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p>
    <w:p w14:paraId="7506D240">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w:t>
      </w:r>
      <w:r>
        <w:rPr>
          <w:rFonts w:hint="eastAsia" w:ascii="仿宋_GB2312" w:hAnsi="仿宋_GB2312" w:eastAsia="仿宋_GB2312" w:cs="仿宋_GB2312"/>
          <w:color w:val="000000"/>
          <w:kern w:val="0"/>
          <w:sz w:val="32"/>
          <w:szCs w:val="32"/>
          <w:highlight w:val="none"/>
          <w:shd w:val="clear" w:color="auto" w:fill="FFFFFF"/>
          <w:lang w:eastAsia="zh-CN"/>
        </w:rPr>
        <w:t>部门</w:t>
      </w:r>
      <w:r>
        <w:rPr>
          <w:rFonts w:hint="eastAsia" w:ascii="仿宋_GB2312" w:hAnsi="仿宋_GB2312" w:eastAsia="仿宋_GB2312" w:cs="仿宋_GB2312"/>
          <w:color w:val="000000"/>
          <w:kern w:val="0"/>
          <w:sz w:val="32"/>
          <w:szCs w:val="32"/>
          <w:highlight w:val="none"/>
          <w:shd w:val="clear" w:color="auto" w:fill="FFFFFF"/>
        </w:rPr>
        <w:t>资金收支情况</w:t>
      </w:r>
    </w:p>
    <w:p w14:paraId="4602F43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（一）收入情况。</w:t>
      </w:r>
    </w:p>
    <w:p w14:paraId="7270792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b w:val="0"/>
          <w:kern w:val="2"/>
          <w:sz w:val="32"/>
          <w:szCs w:val="32"/>
          <w:lang w:val="zh-CN" w:eastAsia="zh-CN" w:bidi="ar-SA"/>
        </w:rPr>
        <w:t>年度一般公共预算财政拨款收入</w:t>
      </w:r>
      <w:r>
        <w:rPr>
          <w:rFonts w:hint="eastAsia" w:ascii="仿宋_GB2312" w:hAnsi="仿宋_GB2312" w:eastAsia="仿宋_GB2312" w:cs="仿宋_GB2312"/>
          <w:b w:val="0"/>
          <w:kern w:val="2"/>
          <w:sz w:val="32"/>
          <w:szCs w:val="32"/>
          <w:lang w:val="en-US" w:eastAsia="zh-CN" w:bidi="ar-SA"/>
        </w:rPr>
        <w:t>137.5</w:t>
      </w:r>
      <w:r>
        <w:rPr>
          <w:rFonts w:hint="eastAsia" w:ascii="仿宋_GB2312" w:hAnsi="仿宋_GB2312" w:eastAsia="仿宋_GB2312" w:cs="仿宋_GB2312"/>
          <w:b w:val="0"/>
          <w:kern w:val="2"/>
          <w:sz w:val="32"/>
          <w:szCs w:val="32"/>
          <w:lang w:val="zh-CN" w:eastAsia="zh-CN" w:bidi="ar-SA"/>
        </w:rPr>
        <w:t>万元，年初结转结余</w:t>
      </w:r>
      <w:r>
        <w:rPr>
          <w:rFonts w:hint="eastAsia" w:ascii="仿宋_GB2312" w:hAnsi="仿宋_GB2312" w:eastAsia="仿宋_GB2312" w:cs="仿宋_GB2312"/>
          <w:b w:val="0"/>
          <w:kern w:val="2"/>
          <w:sz w:val="32"/>
          <w:szCs w:val="32"/>
          <w:lang w:val="en-US" w:eastAsia="zh-CN" w:bidi="ar-SA"/>
        </w:rPr>
        <w:t>15.52</w:t>
      </w:r>
      <w:r>
        <w:rPr>
          <w:rFonts w:hint="eastAsia" w:ascii="仿宋_GB2312" w:hAnsi="仿宋_GB2312" w:eastAsia="仿宋_GB2312" w:cs="仿宋_GB2312"/>
          <w:b w:val="0"/>
          <w:kern w:val="2"/>
          <w:sz w:val="32"/>
          <w:szCs w:val="32"/>
          <w:lang w:val="zh-CN" w:eastAsia="zh-CN" w:bidi="ar-SA"/>
        </w:rPr>
        <w:t>万元，本年收入共计</w:t>
      </w:r>
      <w:r>
        <w:rPr>
          <w:rFonts w:hint="eastAsia" w:ascii="仿宋_GB2312" w:hAnsi="仿宋_GB2312" w:eastAsia="仿宋_GB2312" w:cs="仿宋_GB2312"/>
          <w:b w:val="0"/>
          <w:kern w:val="2"/>
          <w:sz w:val="32"/>
          <w:szCs w:val="32"/>
          <w:lang w:val="en-US" w:eastAsia="zh-CN" w:bidi="ar-SA"/>
        </w:rPr>
        <w:t>153.02</w:t>
      </w:r>
      <w:r>
        <w:rPr>
          <w:rFonts w:hint="eastAsia" w:ascii="仿宋_GB2312" w:hAnsi="仿宋_GB2312" w:eastAsia="仿宋_GB2312" w:cs="仿宋_GB2312"/>
          <w:b w:val="0"/>
          <w:kern w:val="2"/>
          <w:sz w:val="32"/>
          <w:szCs w:val="32"/>
          <w:lang w:val="zh-CN" w:eastAsia="zh-CN" w:bidi="ar-SA"/>
        </w:rPr>
        <w:t>万元，其中人员经费</w:t>
      </w:r>
      <w:r>
        <w:rPr>
          <w:rFonts w:hint="eastAsia" w:ascii="仿宋_GB2312" w:hAnsi="仿宋_GB2312" w:eastAsia="仿宋_GB2312" w:cs="仿宋_GB2312"/>
          <w:b w:val="0"/>
          <w:kern w:val="2"/>
          <w:sz w:val="32"/>
          <w:szCs w:val="32"/>
          <w:lang w:val="en-US" w:eastAsia="zh-CN" w:bidi="ar-SA"/>
        </w:rPr>
        <w:t>121.77</w:t>
      </w:r>
      <w:r>
        <w:rPr>
          <w:rFonts w:hint="eastAsia" w:ascii="仿宋_GB2312" w:hAnsi="仿宋_GB2312" w:eastAsia="仿宋_GB2312" w:cs="仿宋_GB2312"/>
          <w:b w:val="0"/>
          <w:kern w:val="2"/>
          <w:sz w:val="32"/>
          <w:szCs w:val="32"/>
          <w:lang w:val="zh-CN" w:eastAsia="zh-CN" w:bidi="ar-SA"/>
        </w:rPr>
        <w:t>万元，日常公用经费</w:t>
      </w:r>
      <w:r>
        <w:rPr>
          <w:rFonts w:hint="eastAsia" w:ascii="仿宋_GB2312" w:hAnsi="仿宋_GB2312" w:eastAsia="仿宋_GB2312" w:cs="仿宋_GB2312"/>
          <w:b w:val="0"/>
          <w:kern w:val="2"/>
          <w:sz w:val="32"/>
          <w:szCs w:val="32"/>
          <w:lang w:val="en-US" w:eastAsia="zh-CN" w:bidi="ar-SA"/>
        </w:rPr>
        <w:t>11.25</w:t>
      </w:r>
      <w:r>
        <w:rPr>
          <w:rFonts w:hint="eastAsia" w:ascii="仿宋_GB2312" w:hAnsi="仿宋_GB2312" w:eastAsia="仿宋_GB2312" w:cs="仿宋_GB2312"/>
          <w:b w:val="0"/>
          <w:kern w:val="2"/>
          <w:sz w:val="32"/>
          <w:szCs w:val="32"/>
          <w:lang w:val="zh-CN" w:eastAsia="zh-CN" w:bidi="ar-SA"/>
        </w:rPr>
        <w:t>万元，项目支出</w:t>
      </w:r>
      <w:r>
        <w:rPr>
          <w:rFonts w:hint="eastAsia" w:ascii="仿宋_GB2312" w:hAnsi="仿宋_GB2312" w:eastAsia="仿宋_GB2312" w:cs="仿宋_GB2312"/>
          <w:b w:val="0"/>
          <w:kern w:val="2"/>
          <w:sz w:val="32"/>
          <w:szCs w:val="32"/>
          <w:lang w:val="en-US" w:eastAsia="zh-CN" w:bidi="ar-SA"/>
        </w:rPr>
        <w:t>20</w:t>
      </w:r>
      <w:r>
        <w:rPr>
          <w:rFonts w:hint="eastAsia" w:ascii="仿宋_GB2312" w:hAnsi="仿宋_GB2312" w:eastAsia="仿宋_GB2312" w:cs="仿宋_GB2312"/>
          <w:b w:val="0"/>
          <w:kern w:val="2"/>
          <w:sz w:val="32"/>
          <w:szCs w:val="32"/>
          <w:lang w:val="zh-CN" w:eastAsia="zh-CN" w:bidi="ar-SA"/>
        </w:rPr>
        <w:t>万元。</w:t>
      </w:r>
    </w:p>
    <w:p w14:paraId="1A43E38B">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支出情况。</w:t>
      </w:r>
    </w:p>
    <w:p w14:paraId="6E270237">
      <w:pPr>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val="0"/>
          <w:kern w:val="2"/>
          <w:sz w:val="32"/>
          <w:szCs w:val="32"/>
          <w:lang w:val="zh-CN" w:eastAsia="zh-CN" w:bidi="ar-SA"/>
        </w:rPr>
        <w:t>202</w:t>
      </w:r>
      <w:r>
        <w:rPr>
          <w:rFonts w:hint="eastAsia" w:ascii="仿宋_GB2312" w:hAnsi="仿宋_GB2312" w:eastAsia="仿宋_GB2312" w:cs="仿宋_GB2312"/>
          <w:b w:val="0"/>
          <w:kern w:val="2"/>
          <w:sz w:val="32"/>
          <w:szCs w:val="32"/>
          <w:lang w:val="en-US" w:eastAsia="zh-CN" w:bidi="ar-SA"/>
        </w:rPr>
        <w:t>3</w:t>
      </w:r>
      <w:r>
        <w:rPr>
          <w:rFonts w:hint="eastAsia" w:ascii="仿宋_GB2312" w:hAnsi="仿宋_GB2312" w:eastAsia="仿宋_GB2312" w:cs="仿宋_GB2312"/>
          <w:color w:val="000000"/>
          <w:kern w:val="0"/>
          <w:sz w:val="32"/>
          <w:szCs w:val="32"/>
          <w:shd w:val="clear" w:color="auto" w:fill="FFFFFF"/>
          <w:lang w:val="zh-CN"/>
        </w:rPr>
        <w:t>年度部门决算支出</w:t>
      </w:r>
      <w:r>
        <w:rPr>
          <w:rFonts w:hint="eastAsia" w:ascii="仿宋_GB2312" w:hAnsi="仿宋_GB2312" w:eastAsia="仿宋_GB2312" w:cs="仿宋_GB2312"/>
          <w:b w:val="0"/>
          <w:kern w:val="2"/>
          <w:sz w:val="32"/>
          <w:szCs w:val="32"/>
          <w:lang w:val="en-US" w:eastAsia="zh-CN" w:bidi="ar-SA"/>
        </w:rPr>
        <w:t>153.02</w:t>
      </w:r>
      <w:r>
        <w:rPr>
          <w:rFonts w:hint="eastAsia" w:ascii="仿宋_GB2312" w:hAnsi="仿宋_GB2312" w:eastAsia="仿宋_GB2312" w:cs="仿宋_GB2312"/>
          <w:color w:val="000000"/>
          <w:kern w:val="0"/>
          <w:sz w:val="32"/>
          <w:szCs w:val="32"/>
          <w:shd w:val="clear" w:color="auto" w:fill="FFFFFF"/>
          <w:lang w:val="zh-CN"/>
        </w:rPr>
        <w:t>万元，其中工资福利支出</w:t>
      </w:r>
      <w:r>
        <w:rPr>
          <w:rFonts w:hint="eastAsia" w:ascii="仿宋_GB2312" w:hAnsi="仿宋_GB2312" w:eastAsia="仿宋_GB2312" w:cs="仿宋_GB2312"/>
          <w:b w:val="0"/>
          <w:kern w:val="2"/>
          <w:sz w:val="32"/>
          <w:szCs w:val="32"/>
          <w:lang w:val="en-US" w:eastAsia="zh-CN" w:bidi="ar-SA"/>
        </w:rPr>
        <w:t>121.75</w:t>
      </w:r>
      <w:r>
        <w:rPr>
          <w:rFonts w:hint="eastAsia" w:ascii="仿宋_GB2312" w:hAnsi="仿宋_GB2312" w:eastAsia="仿宋_GB2312" w:cs="仿宋_GB2312"/>
          <w:color w:val="000000"/>
          <w:kern w:val="0"/>
          <w:sz w:val="32"/>
          <w:szCs w:val="32"/>
          <w:shd w:val="clear" w:color="auto" w:fill="FFFFFF"/>
          <w:lang w:val="zh-CN"/>
        </w:rPr>
        <w:t>万元，对个人和家庭补助支出</w:t>
      </w:r>
      <w:r>
        <w:rPr>
          <w:rFonts w:hint="eastAsia" w:ascii="仿宋_GB2312" w:hAnsi="仿宋_GB2312" w:eastAsia="仿宋_GB2312" w:cs="仿宋_GB2312"/>
          <w:b w:val="0"/>
          <w:kern w:val="2"/>
          <w:sz w:val="32"/>
          <w:szCs w:val="32"/>
          <w:lang w:val="en-US" w:eastAsia="zh-CN" w:bidi="ar-SA"/>
        </w:rPr>
        <w:t>0.02</w:t>
      </w:r>
      <w:r>
        <w:rPr>
          <w:rFonts w:hint="eastAsia" w:ascii="仿宋_GB2312" w:hAnsi="仿宋_GB2312" w:eastAsia="仿宋_GB2312" w:cs="仿宋_GB2312"/>
          <w:color w:val="000000"/>
          <w:kern w:val="0"/>
          <w:sz w:val="32"/>
          <w:szCs w:val="32"/>
          <w:shd w:val="clear" w:color="auto" w:fill="FFFFFF"/>
          <w:lang w:val="zh-CN"/>
        </w:rPr>
        <w:t>万元，日常公用经费</w:t>
      </w:r>
      <w:r>
        <w:rPr>
          <w:rFonts w:hint="eastAsia" w:ascii="仿宋_GB2312" w:hAnsi="仿宋_GB2312" w:eastAsia="仿宋_GB2312" w:cs="仿宋_GB2312"/>
          <w:b w:val="0"/>
          <w:kern w:val="2"/>
          <w:sz w:val="32"/>
          <w:szCs w:val="32"/>
          <w:lang w:val="en-US" w:eastAsia="zh-CN" w:bidi="ar-SA"/>
        </w:rPr>
        <w:t>11.25</w:t>
      </w:r>
      <w:r>
        <w:rPr>
          <w:rFonts w:hint="eastAsia" w:ascii="仿宋_GB2312" w:hAnsi="仿宋_GB2312" w:eastAsia="仿宋_GB2312" w:cs="仿宋_GB2312"/>
          <w:color w:val="000000"/>
          <w:kern w:val="0"/>
          <w:sz w:val="32"/>
          <w:szCs w:val="32"/>
          <w:shd w:val="clear" w:color="auto" w:fill="FFFFFF"/>
          <w:lang w:val="zh-CN"/>
        </w:rPr>
        <w:t>万元，项目支出</w:t>
      </w:r>
      <w:r>
        <w:rPr>
          <w:rFonts w:hint="eastAsia" w:ascii="仿宋_GB2312" w:hAnsi="仿宋_GB2312" w:eastAsia="仿宋_GB2312" w:cs="仿宋_GB2312"/>
          <w:b w:val="0"/>
          <w:kern w:val="2"/>
          <w:sz w:val="32"/>
          <w:szCs w:val="32"/>
          <w:lang w:val="en-US" w:eastAsia="zh-CN" w:bidi="ar-SA"/>
        </w:rPr>
        <w:t>20</w:t>
      </w:r>
      <w:r>
        <w:rPr>
          <w:rFonts w:hint="eastAsia" w:ascii="仿宋_GB2312" w:hAnsi="仿宋_GB2312" w:eastAsia="仿宋_GB2312" w:cs="仿宋_GB2312"/>
          <w:color w:val="000000"/>
          <w:kern w:val="0"/>
          <w:sz w:val="32"/>
          <w:szCs w:val="32"/>
          <w:shd w:val="clear" w:color="auto" w:fill="FFFFFF"/>
          <w:lang w:val="zh-CN"/>
        </w:rPr>
        <w:t>万元。</w:t>
      </w:r>
    </w:p>
    <w:p w14:paraId="03C8CE18">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结余分配和结转结余情况</w:t>
      </w:r>
      <w:r>
        <w:rPr>
          <w:rFonts w:hint="eastAsia" w:ascii="仿宋_GB2312" w:hAnsi="仿宋_GB2312" w:eastAsia="仿宋_GB2312" w:cs="仿宋_GB2312"/>
          <w:b/>
          <w:sz w:val="32"/>
          <w:szCs w:val="32"/>
          <w:lang w:eastAsia="zh-CN"/>
        </w:rPr>
        <w:t>。</w:t>
      </w:r>
    </w:p>
    <w:p w14:paraId="7CF02E3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b w:val="0"/>
          <w:bCs w:val="0"/>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2023年决算报表</w:t>
      </w:r>
      <w:r>
        <w:rPr>
          <w:rFonts w:hint="eastAsia" w:ascii="仿宋_GB2312" w:hAnsi="仿宋_GB2312" w:eastAsia="仿宋_GB2312" w:cs="仿宋_GB2312"/>
          <w:b w:val="0"/>
          <w:bCs w:val="0"/>
          <w:color w:val="000000"/>
          <w:kern w:val="0"/>
          <w:sz w:val="32"/>
          <w:szCs w:val="32"/>
          <w:highlight w:val="none"/>
          <w:shd w:val="clear" w:color="auto" w:fill="FFFFFF"/>
          <w:lang w:val="en-US" w:eastAsia="zh-CN"/>
        </w:rPr>
        <w:t>结转结余为0。</w:t>
      </w:r>
    </w:p>
    <w:p w14:paraId="2284216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kern w:val="0"/>
          <w:sz w:val="32"/>
          <w:szCs w:val="32"/>
          <w:highlight w:val="none"/>
          <w:shd w:val="clear" w:color="auto" w:fill="FFFFFF"/>
        </w:rPr>
        <w:t>三、</w:t>
      </w:r>
      <w:r>
        <w:rPr>
          <w:rFonts w:hint="eastAsia" w:ascii="仿宋_GB2312" w:hAnsi="仿宋_GB2312" w:eastAsia="仿宋_GB2312" w:cs="仿宋_GB2312"/>
          <w:color w:val="000000"/>
          <w:kern w:val="0"/>
          <w:sz w:val="32"/>
          <w:szCs w:val="32"/>
          <w:highlight w:val="none"/>
          <w:u w:val="none"/>
          <w:shd w:val="clear" w:color="auto" w:fill="FFFFFF"/>
        </w:rPr>
        <w:t>部门</w:t>
      </w:r>
      <w:r>
        <w:rPr>
          <w:rFonts w:hint="eastAsia" w:ascii="仿宋_GB2312" w:hAnsi="仿宋_GB2312" w:eastAsia="仿宋_GB2312" w:cs="仿宋_GB2312"/>
          <w:color w:val="000000"/>
          <w:kern w:val="0"/>
          <w:sz w:val="32"/>
          <w:szCs w:val="32"/>
          <w:highlight w:val="none"/>
          <w:u w:val="none"/>
          <w:shd w:val="clear" w:color="auto" w:fill="FFFFFF"/>
          <w:lang w:eastAsia="zh-CN"/>
        </w:rPr>
        <w:t>预算</w:t>
      </w:r>
      <w:r>
        <w:rPr>
          <w:rFonts w:hint="eastAsia" w:ascii="仿宋_GB2312" w:hAnsi="仿宋_GB2312" w:eastAsia="仿宋_GB2312" w:cs="仿宋_GB2312"/>
          <w:color w:val="000000"/>
          <w:kern w:val="0"/>
          <w:sz w:val="32"/>
          <w:szCs w:val="32"/>
          <w:highlight w:val="none"/>
          <w:u w:val="none"/>
          <w:shd w:val="clear" w:color="auto" w:fill="FFFFFF"/>
        </w:rPr>
        <w:t>绩效</w:t>
      </w:r>
      <w:r>
        <w:rPr>
          <w:rFonts w:hint="eastAsia" w:ascii="仿宋_GB2312" w:hAnsi="仿宋_GB2312" w:eastAsia="仿宋_GB2312" w:cs="仿宋_GB2312"/>
          <w:color w:val="000000"/>
          <w:kern w:val="0"/>
          <w:sz w:val="32"/>
          <w:szCs w:val="32"/>
          <w:highlight w:val="none"/>
          <w:u w:val="none"/>
          <w:shd w:val="clear" w:color="auto" w:fill="FFFFFF"/>
          <w:lang w:eastAsia="zh-CN"/>
        </w:rPr>
        <w:t>分析</w:t>
      </w:r>
    </w:p>
    <w:p w14:paraId="2A71F77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部门预算总体绩效分析</w:t>
      </w:r>
    </w:p>
    <w:p w14:paraId="45669BA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w:t>
      </w:r>
      <w:r>
        <w:rPr>
          <w:rFonts w:hint="eastAsia" w:ascii="仿宋_GB2312" w:hAnsi="仿宋_GB2312" w:eastAsia="仿宋_GB2312" w:cs="仿宋_GB2312"/>
          <w:color w:val="000000"/>
          <w:kern w:val="0"/>
          <w:sz w:val="32"/>
          <w:szCs w:val="32"/>
          <w:highlight w:val="none"/>
          <w:shd w:val="clear" w:color="auto" w:fill="FFFFFF"/>
          <w:lang w:val="zh-CN"/>
        </w:rPr>
        <w:t>履职效能。</w:t>
      </w:r>
    </w:p>
    <w:p w14:paraId="791A8397">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rPr>
        <w:t>农村饮水安全水质检测中心主要负责</w:t>
      </w:r>
      <w:r>
        <w:rPr>
          <w:rFonts w:hint="eastAsia" w:ascii="仿宋_GB2312" w:hAnsi="仿宋_GB2312" w:eastAsia="仿宋_GB2312" w:cs="仿宋_GB2312"/>
          <w:color w:val="000000"/>
          <w:sz w:val="32"/>
          <w:szCs w:val="32"/>
          <w:lang w:val="en-US" w:eastAsia="zh-CN"/>
        </w:rPr>
        <w:t>负责对农村饮水的水质进行检测和监测，对水质状况做出分析和评价，按规定上报有关部门，负责农村水厂水处理技术指导和培训，为提高净水工艺开展科学研究。</w:t>
      </w:r>
    </w:p>
    <w:p w14:paraId="1812E9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（二）</w:t>
      </w:r>
      <w:r>
        <w:rPr>
          <w:rFonts w:hint="eastAsia" w:ascii="仿宋_GB2312" w:hAnsi="仿宋_GB2312" w:eastAsia="仿宋_GB2312" w:cs="仿宋_GB2312"/>
          <w:color w:val="000000"/>
          <w:kern w:val="0"/>
          <w:sz w:val="32"/>
          <w:szCs w:val="32"/>
          <w:highlight w:val="none"/>
          <w:shd w:val="clear" w:color="auto" w:fill="FFFFFF"/>
          <w:lang w:val="zh-CN"/>
        </w:rPr>
        <w:t>预算管理。</w:t>
      </w:r>
    </w:p>
    <w:p w14:paraId="2687B52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10101"/>
          <w:sz w:val="32"/>
          <w:szCs w:val="32"/>
        </w:rPr>
        <w:t>一是严格按照上级的安排，按时保质的完成单位的预算的编制和上报。</w:t>
      </w:r>
      <w:r>
        <w:rPr>
          <w:rFonts w:hint="eastAsia" w:ascii="仿宋_GB2312" w:hAnsi="仿宋_GB2312" w:eastAsia="仿宋_GB2312" w:cs="仿宋_GB2312"/>
          <w:sz w:val="32"/>
          <w:szCs w:val="32"/>
        </w:rPr>
        <w:t>二是稳步推进预算绩效目标管理。部门由一般公共预算、政府性基金预算安排的全部项目支出都申报预算绩效目标，并将绩效目标申报纳入预算信息系统，实现了绩效目标管理与部门预算编制一同申报、一同审核、一同批复。三是专项资金提前细化。有预算，才有支出。</w:t>
      </w:r>
    </w:p>
    <w:p w14:paraId="15D6CC4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（三）</w:t>
      </w:r>
      <w:r>
        <w:rPr>
          <w:rFonts w:hint="eastAsia" w:ascii="仿宋_GB2312" w:hAnsi="仿宋_GB2312" w:eastAsia="仿宋_GB2312" w:cs="仿宋_GB2312"/>
          <w:color w:val="000000"/>
          <w:kern w:val="0"/>
          <w:sz w:val="32"/>
          <w:szCs w:val="32"/>
          <w:highlight w:val="none"/>
          <w:shd w:val="clear" w:color="auto" w:fill="FFFFFF"/>
          <w:lang w:val="zh-CN"/>
        </w:rPr>
        <w:t>财务管理。</w:t>
      </w:r>
    </w:p>
    <w:p w14:paraId="414036B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rPr>
        <w:t>按照国家财经制度、法规要求，各项财务收支活动都纳入财务统一管理、统一核算，按照年初预算实现支出，大额消费支出使用转账支付和公务卡支付。具体情况如下：工资和福利支出</w:t>
      </w:r>
      <w:r>
        <w:rPr>
          <w:rFonts w:hint="eastAsia" w:ascii="仿宋_GB2312" w:hAnsi="仿宋_GB2312" w:eastAsia="仿宋_GB2312" w:cs="仿宋_GB2312"/>
          <w:sz w:val="32"/>
          <w:szCs w:val="32"/>
          <w:lang w:val="en-US" w:eastAsia="zh-CN"/>
        </w:rPr>
        <w:t>121.75万</w:t>
      </w:r>
      <w:r>
        <w:rPr>
          <w:rFonts w:hint="eastAsia" w:ascii="仿宋_GB2312" w:hAnsi="仿宋_GB2312" w:eastAsia="仿宋_GB2312" w:cs="仿宋_GB2312"/>
          <w:sz w:val="32"/>
          <w:szCs w:val="32"/>
        </w:rPr>
        <w:t>元，商品和服务支</w:t>
      </w:r>
      <w:r>
        <w:rPr>
          <w:rFonts w:hint="eastAsia" w:ascii="仿宋_GB2312" w:hAnsi="仿宋_GB2312" w:eastAsia="仿宋_GB2312" w:cs="仿宋_GB2312"/>
          <w:sz w:val="32"/>
          <w:szCs w:val="32"/>
          <w:lang w:val="en-US" w:eastAsia="zh-CN"/>
        </w:rPr>
        <w:t>31.25万</w:t>
      </w:r>
      <w:r>
        <w:rPr>
          <w:rFonts w:hint="eastAsia" w:ascii="仿宋_GB2312" w:hAnsi="仿宋_GB2312" w:eastAsia="仿宋_GB2312" w:cs="仿宋_GB2312"/>
          <w:sz w:val="32"/>
          <w:szCs w:val="32"/>
        </w:rPr>
        <w:t>元，对个人和家庭的补助支出</w:t>
      </w:r>
      <w:r>
        <w:rPr>
          <w:rFonts w:hint="eastAsia" w:ascii="仿宋_GB2312" w:hAnsi="仿宋_GB2312" w:eastAsia="仿宋_GB2312" w:cs="仿宋_GB2312"/>
          <w:sz w:val="32"/>
          <w:szCs w:val="32"/>
          <w:lang w:val="en-US" w:eastAsia="zh-CN"/>
        </w:rPr>
        <w:t>0.02万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无职工工资拖欠现象；无外债情况，没有挪用款项情况，保证了单位正常运行。</w:t>
      </w:r>
    </w:p>
    <w:p w14:paraId="4673A6B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zh-CN"/>
        </w:rPr>
        <w:t>（四）</w:t>
      </w:r>
      <w:r>
        <w:rPr>
          <w:rFonts w:hint="eastAsia" w:ascii="仿宋_GB2312" w:hAnsi="仿宋_GB2312" w:eastAsia="仿宋_GB2312" w:cs="仿宋_GB2312"/>
          <w:b w:val="0"/>
          <w:bCs w:val="0"/>
          <w:sz w:val="32"/>
          <w:szCs w:val="32"/>
          <w:lang w:val="zh-CN"/>
        </w:rPr>
        <w:t>绩效结果应用情况。</w:t>
      </w:r>
    </w:p>
    <w:p w14:paraId="3494DC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zh-CN" w:eastAsia="zh-CN"/>
        </w:rPr>
        <w:t>围绕内部应用情况、信息公开情况、整改反馈情况进分析。按照预算公开程序，及时报送公开资料，在规定的时间内完成了</w:t>
      </w:r>
      <w:r>
        <w:rPr>
          <w:rFonts w:hint="eastAsia" w:ascii="仿宋_GB2312" w:hAnsi="仿宋_GB2312" w:eastAsia="仿宋_GB2312" w:cs="仿宋_GB2312"/>
          <w:color w:val="000000"/>
          <w:kern w:val="0"/>
          <w:sz w:val="32"/>
          <w:szCs w:val="32"/>
          <w:highlight w:val="none"/>
          <w:shd w:val="clear" w:color="auto" w:fill="FFFFFF"/>
          <w:lang w:val="en-US" w:eastAsia="zh-CN"/>
        </w:rPr>
        <w:t>2023年预算挂网公开工作，确保了预算公开透明。</w:t>
      </w:r>
    </w:p>
    <w:p w14:paraId="4A5F0D7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eastAsia="zh-CN"/>
        </w:rPr>
        <w:t>四、</w:t>
      </w:r>
      <w:r>
        <w:rPr>
          <w:rFonts w:hint="eastAsia" w:ascii="仿宋_GB2312" w:hAnsi="仿宋_GB2312" w:eastAsia="仿宋_GB2312" w:cs="仿宋_GB2312"/>
          <w:color w:val="000000"/>
          <w:kern w:val="0"/>
          <w:sz w:val="32"/>
          <w:szCs w:val="32"/>
          <w:highlight w:val="none"/>
          <w:shd w:val="clear" w:color="auto" w:fill="FFFFFF"/>
        </w:rPr>
        <w:t>评价结论及建议</w:t>
      </w:r>
    </w:p>
    <w:p w14:paraId="0A47879F">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仿宋_GB2312" w:eastAsia="仿宋_GB2312" w:cs="仿宋_GB2312"/>
          <w:b/>
          <w:bCs/>
          <w:color w:val="000000"/>
          <w:kern w:val="0"/>
          <w:sz w:val="32"/>
          <w:szCs w:val="32"/>
          <w:highlight w:val="none"/>
          <w:shd w:val="clear" w:color="auto" w:fill="FFFFFF"/>
          <w:lang w:val="zh-CN"/>
        </w:rPr>
      </w:pPr>
      <w:r>
        <w:rPr>
          <w:rFonts w:hint="eastAsia" w:ascii="仿宋_GB2312" w:hAnsi="仿宋_GB2312" w:eastAsia="仿宋_GB2312" w:cs="仿宋_GB2312"/>
          <w:b/>
          <w:bCs/>
          <w:color w:val="000000"/>
          <w:kern w:val="0"/>
          <w:sz w:val="32"/>
          <w:szCs w:val="32"/>
          <w:highlight w:val="none"/>
          <w:shd w:val="clear" w:color="auto" w:fill="FFFFFF"/>
          <w:lang w:val="zh-CN"/>
        </w:rPr>
        <w:t>（一）评价结论。</w:t>
      </w:r>
    </w:p>
    <w:p w14:paraId="1A333BB3">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sz w:val="32"/>
          <w:szCs w:val="32"/>
          <w:lang w:val="en-US" w:eastAsia="zh-CN"/>
        </w:rPr>
        <w:t>我单位严肃认真地对本单位2023年整体支出绩效进行了自评，深入分析调整了涉及我单位的绩效目标申报、财政资金收入支出、财政支出管理、整体绩效等情况。对绩效监控和评价反映出的问题进行了深入剖析，并及时整改。将绩效目标和部门年初预算，将绩效目标完成情况、部门整体支出绩效评价报告和部门年终决算同步在政府门户网站公开。</w:t>
      </w:r>
    </w:p>
    <w:p w14:paraId="2BB9513C">
      <w:pPr>
        <w:widowControl/>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下一步工作打算和改进举措</w:t>
      </w:r>
    </w:p>
    <w:p w14:paraId="1DC782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大竹县农村饮水安全水质检测中心将针对财政支出绩效评价工作中所存在的问题，坚持科学规范、公正公开、绩效相关的原则，对本单位财政资金支出进行全方位地绩效评价。一是进一步完善预算编制尤其是项目资金的预算编制。在预算编制方面，应坚持实事求是和零基预算，量入为出的编制原则，保障工作顺利推进。二是进—步改进评价方法及评价指标体系，不断完善财政支出绩效评价。</w:t>
      </w:r>
    </w:p>
    <w:p w14:paraId="450E66A5">
      <w:pPr>
        <w:rPr>
          <w:rFonts w:hint="eastAsia" w:ascii="仿宋_GB2312" w:hAnsi="仿宋_GB2312" w:eastAsia="仿宋_GB2312" w:cs="仿宋_GB2312"/>
          <w:sz w:val="32"/>
          <w:szCs w:val="32"/>
          <w:highlight w:val="none"/>
          <w:lang w:val="en-US" w:eastAsia="zh-CN"/>
        </w:rPr>
      </w:pPr>
    </w:p>
    <w:p w14:paraId="3C500604">
      <w:pPr>
        <w:pStyle w:val="2"/>
        <w:rPr>
          <w:rFonts w:hint="eastAsia" w:ascii="仿宋_GB2312" w:hAnsi="仿宋_GB2312" w:eastAsia="仿宋_GB2312" w:cs="仿宋_GB2312"/>
          <w:sz w:val="32"/>
          <w:szCs w:val="32"/>
          <w:lang w:val="en-US" w:eastAsia="zh-CN"/>
        </w:rPr>
      </w:pPr>
    </w:p>
    <w:p w14:paraId="73CAFA8C">
      <w:pPr>
        <w:numPr>
          <w:ilvl w:val="0"/>
          <w:numId w:val="0"/>
        </w:numPr>
        <w:spacing w:line="600" w:lineRule="exact"/>
        <w:ind w:leftChars="150"/>
        <w:jc w:val="both"/>
        <w:outlineLvl w:val="0"/>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附表：部门整体支出绩效目标完成情况自评表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31"/>
        <w:gridCol w:w="923"/>
        <w:gridCol w:w="1176"/>
        <w:gridCol w:w="396"/>
        <w:gridCol w:w="842"/>
        <w:gridCol w:w="396"/>
        <w:gridCol w:w="846"/>
        <w:gridCol w:w="486"/>
        <w:gridCol w:w="396"/>
        <w:gridCol w:w="1354"/>
      </w:tblGrid>
      <w:tr w14:paraId="46C4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4B103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89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7C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9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AD2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51172422T000005484870-水质检测运行维护费</w:t>
            </w:r>
          </w:p>
        </w:tc>
      </w:tr>
      <w:tr w14:paraId="14B2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04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72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大竹县农村饮水安全水质检测中心部门</w:t>
            </w:r>
          </w:p>
        </w:tc>
        <w:tc>
          <w:tcPr>
            <w:tcW w:w="383" w:type="pct"/>
            <w:tcBorders>
              <w:top w:val="nil"/>
              <w:left w:val="nil"/>
              <w:bottom w:val="nil"/>
              <w:right w:val="nil"/>
            </w:tcBorders>
            <w:shd w:val="clear" w:color="auto" w:fill="auto"/>
            <w:vAlign w:val="center"/>
          </w:tcPr>
          <w:p w14:paraId="3D9EE87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31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大竹县农村饮水安全水质检测中心</w:t>
            </w:r>
          </w:p>
        </w:tc>
      </w:tr>
      <w:tr w14:paraId="738B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3F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C6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87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89F2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9FB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E693">
            <w:pP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042FF">
            <w:pPr>
              <w:rPr>
                <w:rFonts w:hint="eastAsia" w:ascii="宋体" w:hAnsi="宋体" w:eastAsia="宋体" w:cs="宋体"/>
                <w:i w:val="0"/>
                <w:iCs w:val="0"/>
                <w:color w:val="000000"/>
                <w:sz w:val="18"/>
                <w:szCs w:val="18"/>
                <w:u w:val="none"/>
              </w:rPr>
            </w:pP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CCA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完成228处水质检测，确保水质安全</w:t>
            </w:r>
          </w:p>
        </w:tc>
        <w:tc>
          <w:tcPr>
            <w:tcW w:w="16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530A6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w:t>
            </w:r>
          </w:p>
        </w:tc>
      </w:tr>
      <w:tr w14:paraId="57E4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C6F9D">
            <w:pP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7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9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456078">
            <w:pPr>
              <w:rPr>
                <w:rFonts w:hint="eastAsia" w:ascii="宋体" w:hAnsi="宋体" w:eastAsia="宋体" w:cs="宋体"/>
                <w:i w:val="0"/>
                <w:iCs w:val="0"/>
                <w:color w:val="000000"/>
                <w:sz w:val="18"/>
                <w:szCs w:val="18"/>
                <w:u w:val="none"/>
              </w:rPr>
            </w:pPr>
          </w:p>
        </w:tc>
      </w:tr>
      <w:tr w14:paraId="55C8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90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5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C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F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13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5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F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B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2FD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26A5">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E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C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5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2F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D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8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A125">
            <w:pPr>
              <w:jc w:val="center"/>
              <w:rPr>
                <w:rFonts w:hint="eastAsia" w:ascii="宋体" w:hAnsi="宋体" w:eastAsia="宋体" w:cs="宋体"/>
                <w:i w:val="0"/>
                <w:iCs w:val="0"/>
                <w:color w:val="000000"/>
                <w:sz w:val="18"/>
                <w:szCs w:val="18"/>
                <w:u w:val="none"/>
              </w:rPr>
            </w:pP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4E58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31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ACE2F">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5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6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B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D4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2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E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2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178D">
            <w:pPr>
              <w:rPr>
                <w:rFonts w:hint="eastAsia" w:ascii="黑体" w:hAnsi="黑体" w:eastAsia="黑体" w:cs="黑体"/>
                <w:i/>
                <w:iCs/>
                <w:color w:val="000000"/>
                <w:sz w:val="18"/>
                <w:szCs w:val="18"/>
                <w:u w:val="none"/>
              </w:rPr>
            </w:pPr>
          </w:p>
        </w:tc>
      </w:tr>
      <w:tr w14:paraId="074B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CD1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3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0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A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B5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8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7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0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1A159">
            <w:pPr>
              <w:rPr>
                <w:rFonts w:hint="eastAsia" w:ascii="黑体" w:hAnsi="黑体" w:eastAsia="黑体" w:cs="黑体"/>
                <w:i/>
                <w:iCs/>
                <w:color w:val="000000"/>
                <w:sz w:val="18"/>
                <w:szCs w:val="18"/>
                <w:u w:val="none"/>
              </w:rPr>
            </w:pPr>
          </w:p>
        </w:tc>
      </w:tr>
      <w:tr w14:paraId="0F2A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64344">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1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D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8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63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5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F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E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B5CBD">
            <w:pPr>
              <w:rPr>
                <w:rFonts w:hint="eastAsia" w:ascii="黑体" w:hAnsi="黑体" w:eastAsia="黑体" w:cs="黑体"/>
                <w:i/>
                <w:iCs/>
                <w:color w:val="000000"/>
                <w:sz w:val="18"/>
                <w:szCs w:val="18"/>
                <w:u w:val="none"/>
              </w:rPr>
            </w:pPr>
          </w:p>
        </w:tc>
      </w:tr>
      <w:tr w14:paraId="5120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5605">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4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7885">
            <w:pPr>
              <w:jc w:val="center"/>
              <w:rPr>
                <w:rFonts w:hint="eastAsia" w:ascii="微软雅黑" w:hAnsi="微软雅黑" w:eastAsia="微软雅黑" w:cs="微软雅黑"/>
                <w:i/>
                <w:iCs/>
                <w:color w:val="000000"/>
                <w:sz w:val="16"/>
                <w:szCs w:val="16"/>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61F4">
            <w:pPr>
              <w:jc w:val="center"/>
              <w:rPr>
                <w:rFonts w:hint="eastAsia" w:ascii="微软雅黑" w:hAnsi="微软雅黑" w:eastAsia="微软雅黑" w:cs="微软雅黑"/>
                <w:i/>
                <w:iCs/>
                <w:color w:val="000000"/>
                <w:sz w:val="16"/>
                <w:szCs w:val="16"/>
                <w:u w:val="none"/>
              </w:rPr>
            </w:pPr>
          </w:p>
        </w:tc>
        <w:tc>
          <w:tcPr>
            <w:tcW w:w="10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30377">
            <w:pPr>
              <w:jc w:val="center"/>
              <w:rPr>
                <w:rFonts w:hint="eastAsia" w:ascii="微软雅黑" w:hAnsi="微软雅黑" w:eastAsia="微软雅黑" w:cs="微软雅黑"/>
                <w:i/>
                <w:iCs/>
                <w:color w:val="000000"/>
                <w:sz w:val="16"/>
                <w:szCs w:val="16"/>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C3E8">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B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B499">
            <w:pPr>
              <w:rPr>
                <w:rFonts w:hint="eastAsia" w:ascii="黑体" w:hAnsi="黑体" w:eastAsia="黑体" w:cs="黑体"/>
                <w:i/>
                <w:iCs/>
                <w:color w:val="000000"/>
                <w:sz w:val="18"/>
                <w:szCs w:val="18"/>
                <w:u w:val="none"/>
              </w:rPr>
            </w:pPr>
          </w:p>
        </w:tc>
      </w:tr>
      <w:tr w14:paraId="74EB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DB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0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D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C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B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9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B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8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9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8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10E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88CB">
            <w:pPr>
              <w:jc w:val="center"/>
              <w:rPr>
                <w:rFonts w:hint="eastAsia" w:ascii="宋体" w:hAnsi="宋体" w:eastAsia="宋体" w:cs="宋体"/>
                <w:i w:val="0"/>
                <w:iCs w:val="0"/>
                <w:color w:val="000000"/>
                <w:sz w:val="18"/>
                <w:szCs w:val="18"/>
                <w:u w:val="none"/>
              </w:rPr>
            </w:pP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6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8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1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水质检测数量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4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82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1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5752">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0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4D5F">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7FDB">
            <w:pPr>
              <w:jc w:val="center"/>
              <w:rPr>
                <w:rFonts w:hint="eastAsia" w:ascii="微软雅黑" w:hAnsi="微软雅黑" w:eastAsia="微软雅黑" w:cs="微软雅黑"/>
                <w:i/>
                <w:iCs/>
                <w:color w:val="000000"/>
                <w:sz w:val="16"/>
                <w:szCs w:val="16"/>
                <w:u w:val="none"/>
              </w:rPr>
            </w:pPr>
          </w:p>
        </w:tc>
      </w:tr>
      <w:tr w14:paraId="6480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440A">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72370">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6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8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检测水质被投诉次数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2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6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A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0C4A">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7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1576">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0ABD">
            <w:pPr>
              <w:jc w:val="center"/>
              <w:rPr>
                <w:rFonts w:hint="eastAsia" w:ascii="微软雅黑" w:hAnsi="微软雅黑" w:eastAsia="微软雅黑" w:cs="微软雅黑"/>
                <w:i/>
                <w:iCs/>
                <w:color w:val="000000"/>
                <w:sz w:val="16"/>
                <w:szCs w:val="16"/>
                <w:u w:val="none"/>
              </w:rPr>
            </w:pPr>
          </w:p>
        </w:tc>
      </w:tr>
      <w:tr w14:paraId="0DC0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F972">
            <w:pPr>
              <w:jc w:val="center"/>
              <w:rPr>
                <w:rFonts w:hint="eastAsia" w:ascii="宋体" w:hAnsi="宋体" w:eastAsia="宋体" w:cs="宋体"/>
                <w:i w:val="0"/>
                <w:iCs w:val="0"/>
                <w:color w:val="000000"/>
                <w:sz w:val="18"/>
                <w:szCs w:val="18"/>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27EA">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A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2023年完成</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2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A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9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A76F">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1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0134">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1843">
            <w:pPr>
              <w:jc w:val="center"/>
              <w:rPr>
                <w:rFonts w:hint="eastAsia" w:ascii="微软雅黑" w:hAnsi="微软雅黑" w:eastAsia="微软雅黑" w:cs="微软雅黑"/>
                <w:i/>
                <w:iCs/>
                <w:color w:val="000000"/>
                <w:sz w:val="16"/>
                <w:szCs w:val="16"/>
                <w:u w:val="none"/>
              </w:rPr>
            </w:pPr>
          </w:p>
        </w:tc>
      </w:tr>
      <w:tr w14:paraId="7F4B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3BC2">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C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5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7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水质检测报告使用时间</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6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F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F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6995">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5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A8ED">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55DD">
            <w:pPr>
              <w:jc w:val="center"/>
              <w:rPr>
                <w:rFonts w:hint="eastAsia" w:ascii="微软雅黑" w:hAnsi="微软雅黑" w:eastAsia="微软雅黑" w:cs="微软雅黑"/>
                <w:i/>
                <w:iCs/>
                <w:color w:val="000000"/>
                <w:sz w:val="16"/>
                <w:szCs w:val="16"/>
                <w:u w:val="none"/>
              </w:rPr>
            </w:pPr>
          </w:p>
        </w:tc>
      </w:tr>
      <w:tr w14:paraId="197C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0F75">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6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B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9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A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2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9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2392">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E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3A86">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9048">
            <w:pPr>
              <w:jc w:val="center"/>
              <w:rPr>
                <w:rFonts w:hint="eastAsia" w:ascii="微软雅黑" w:hAnsi="微软雅黑" w:eastAsia="微软雅黑" w:cs="微软雅黑"/>
                <w:i/>
                <w:iCs/>
                <w:color w:val="000000"/>
                <w:sz w:val="16"/>
                <w:szCs w:val="16"/>
                <w:u w:val="none"/>
              </w:rPr>
            </w:pPr>
          </w:p>
        </w:tc>
      </w:tr>
      <w:tr w14:paraId="5A92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A210">
            <w:pPr>
              <w:jc w:val="center"/>
              <w:rPr>
                <w:rFonts w:hint="eastAsia" w:ascii="宋体" w:hAnsi="宋体" w:eastAsia="宋体" w:cs="宋体"/>
                <w:i w:val="0"/>
                <w:iCs w:val="0"/>
                <w:color w:val="000000"/>
                <w:sz w:val="18"/>
                <w:szCs w:val="18"/>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2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D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B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每处1500元</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5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5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3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元/个</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1089">
            <w:pPr>
              <w:jc w:val="center"/>
              <w:rPr>
                <w:rFonts w:hint="eastAsia" w:ascii="微软雅黑" w:hAnsi="微软雅黑" w:eastAsia="微软雅黑" w:cs="微软雅黑"/>
                <w:i/>
                <w:iCs/>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7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EAD2">
            <w:pPr>
              <w:jc w:val="cente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E421">
            <w:pPr>
              <w:jc w:val="center"/>
              <w:rPr>
                <w:rFonts w:hint="eastAsia" w:ascii="微软雅黑" w:hAnsi="微软雅黑" w:eastAsia="微软雅黑" w:cs="微软雅黑"/>
                <w:i/>
                <w:iCs/>
                <w:color w:val="000000"/>
                <w:sz w:val="16"/>
                <w:szCs w:val="16"/>
                <w:u w:val="none"/>
              </w:rPr>
            </w:pPr>
          </w:p>
        </w:tc>
      </w:tr>
      <w:tr w14:paraId="1BF1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2A7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7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284C3">
            <w:pPr>
              <w:rPr>
                <w:rFonts w:hint="eastAsia" w:ascii="宋体" w:hAnsi="宋体" w:eastAsia="宋体" w:cs="宋体"/>
                <w:i w:val="0"/>
                <w:iCs w:val="0"/>
                <w:color w:val="000000"/>
                <w:sz w:val="18"/>
                <w:szCs w:val="18"/>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B5E8">
            <w:pPr>
              <w:rPr>
                <w:rFonts w:hint="eastAsia" w:ascii="宋体" w:hAnsi="宋体" w:eastAsia="宋体" w:cs="宋体"/>
                <w:i w:val="0"/>
                <w:iCs w:val="0"/>
                <w:color w:val="000000"/>
                <w:sz w:val="18"/>
                <w:szCs w:val="18"/>
                <w:u w:val="none"/>
              </w:rPr>
            </w:pPr>
          </w:p>
        </w:tc>
      </w:tr>
      <w:tr w14:paraId="42EE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5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9A5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2023年12月完成了228处水质检测，确保水质安全。</w:t>
            </w:r>
          </w:p>
        </w:tc>
      </w:tr>
      <w:tr w14:paraId="6CFE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9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360C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财政资金拨付不及时。</w:t>
            </w:r>
          </w:p>
        </w:tc>
      </w:tr>
      <w:tr w14:paraId="0180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6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BE6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希望财政能及时并足额拨付水质检测运行维护费。</w:t>
            </w:r>
          </w:p>
        </w:tc>
      </w:tr>
      <w:tr w14:paraId="3FC7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CBB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项目负责人：李开荣</w:t>
            </w:r>
          </w:p>
        </w:tc>
        <w:tc>
          <w:tcPr>
            <w:tcW w:w="24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0C8D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财务负责人：胡先燕</w:t>
            </w:r>
          </w:p>
        </w:tc>
      </w:tr>
    </w:tbl>
    <w:p w14:paraId="0B8AB288">
      <w:pPr>
        <w:numPr>
          <w:ilvl w:val="0"/>
          <w:numId w:val="0"/>
        </w:numPr>
        <w:spacing w:line="600" w:lineRule="exact"/>
        <w:ind w:leftChars="150"/>
        <w:jc w:val="both"/>
        <w:outlineLvl w:val="0"/>
      </w:pPr>
      <w:r>
        <w:rPr>
          <w:rFonts w:hint="eastAsia" w:ascii="仿宋_GB2312" w:hAnsi="仿宋_GB2312" w:eastAsia="仿宋_GB2312" w:cs="仿宋_GB2312"/>
          <w:color w:val="000000"/>
          <w:kern w:val="0"/>
          <w:sz w:val="32"/>
          <w:szCs w:val="32"/>
          <w:highlight w:val="none"/>
          <w:shd w:val="clear" w:color="auto" w:fill="FFFFFF"/>
          <w:lang w:val="en-US" w:eastAsia="zh-CN"/>
        </w:rPr>
        <w:br w:type="page"/>
      </w:r>
      <w:bookmarkStart w:id="53" w:name="_Toc15396618"/>
    </w:p>
    <w:bookmarkEnd w:id="51"/>
    <w:bookmarkEnd w:id="53"/>
    <w:p w14:paraId="01834089">
      <w:pPr>
        <w:spacing w:line="600" w:lineRule="exact"/>
        <w:jc w:val="center"/>
        <w:outlineLvl w:val="0"/>
        <w:rPr>
          <w:rFonts w:ascii="仿宋" w:hAnsi="仿宋" w:eastAsia="仿宋"/>
          <w:color w:val="auto"/>
        </w:rPr>
      </w:pPr>
      <w:r>
        <w:rPr>
          <w:rFonts w:hint="eastAsia" w:ascii="黑体" w:hAnsi="黑体" w:eastAsia="黑体"/>
          <w:color w:val="auto"/>
          <w:sz w:val="44"/>
          <w:szCs w:val="44"/>
        </w:rPr>
        <w:t>第</w:t>
      </w:r>
      <w:r>
        <w:rPr>
          <w:rStyle w:val="28"/>
          <w:rFonts w:hint="eastAsia" w:ascii="黑体" w:hAnsi="黑体" w:eastAsia="黑体"/>
          <w:b w:val="0"/>
          <w:color w:val="auto"/>
        </w:rPr>
        <w:t>五部分 附表</w:t>
      </w:r>
      <w:bookmarkStart w:id="54" w:name="_Toc15396619"/>
    </w:p>
    <w:p w14:paraId="0BC65615">
      <w:pPr>
        <w:pStyle w:val="4"/>
        <w:rPr>
          <w:rFonts w:ascii="仿宋" w:hAnsi="仿宋" w:eastAsia="仿宋"/>
          <w:color w:val="auto"/>
        </w:rPr>
      </w:pPr>
      <w:r>
        <w:rPr>
          <w:rFonts w:hint="eastAsia" w:ascii="仿宋" w:hAnsi="仿宋" w:eastAsia="仿宋"/>
          <w:b w:val="0"/>
          <w:color w:val="auto"/>
        </w:rPr>
        <w:t>一、收</w:t>
      </w:r>
      <w:r>
        <w:rPr>
          <w:rStyle w:val="29"/>
          <w:rFonts w:hint="eastAsia" w:ascii="仿宋" w:hAnsi="仿宋" w:eastAsia="仿宋"/>
          <w:b w:val="0"/>
          <w:bCs w:val="0"/>
          <w:color w:val="auto"/>
        </w:rPr>
        <w:t>入支出决算总表</w:t>
      </w:r>
      <w:bookmarkEnd w:id="54"/>
    </w:p>
    <w:p w14:paraId="68344B00">
      <w:pPr>
        <w:pStyle w:val="4"/>
        <w:rPr>
          <w:rFonts w:ascii="仿宋" w:hAnsi="仿宋" w:eastAsia="仿宋"/>
          <w:color w:val="auto"/>
        </w:rPr>
      </w:pPr>
      <w:bookmarkStart w:id="55" w:name="_Toc15396620"/>
      <w:r>
        <w:rPr>
          <w:rFonts w:hint="eastAsia" w:ascii="仿宋" w:hAnsi="仿宋" w:eastAsia="仿宋"/>
          <w:b w:val="0"/>
          <w:color w:val="auto"/>
        </w:rPr>
        <w:t>二、收</w:t>
      </w:r>
      <w:r>
        <w:rPr>
          <w:rStyle w:val="29"/>
          <w:rFonts w:hint="eastAsia" w:ascii="仿宋" w:hAnsi="仿宋" w:eastAsia="仿宋"/>
          <w:b w:val="0"/>
          <w:bCs w:val="0"/>
          <w:color w:val="auto"/>
        </w:rPr>
        <w:t>入决算表</w:t>
      </w:r>
      <w:bookmarkEnd w:id="55"/>
    </w:p>
    <w:p w14:paraId="305F0944">
      <w:pPr>
        <w:pStyle w:val="4"/>
        <w:rPr>
          <w:rFonts w:ascii="仿宋" w:hAnsi="仿宋" w:eastAsia="仿宋"/>
          <w:color w:val="auto"/>
        </w:rPr>
      </w:pPr>
      <w:bookmarkStart w:id="56" w:name="_Toc15396621"/>
      <w:r>
        <w:rPr>
          <w:rStyle w:val="29"/>
          <w:rFonts w:hint="eastAsia" w:ascii="仿宋" w:hAnsi="仿宋" w:eastAsia="仿宋"/>
          <w:b w:val="0"/>
          <w:bCs w:val="0"/>
          <w:color w:val="auto"/>
        </w:rPr>
        <w:t>三、</w:t>
      </w:r>
      <w:r>
        <w:rPr>
          <w:rFonts w:hint="eastAsia" w:ascii="仿宋" w:hAnsi="仿宋" w:eastAsia="仿宋"/>
          <w:b w:val="0"/>
          <w:color w:val="auto"/>
        </w:rPr>
        <w:t>支</w:t>
      </w:r>
      <w:r>
        <w:rPr>
          <w:rStyle w:val="29"/>
          <w:rFonts w:hint="eastAsia" w:ascii="仿宋" w:hAnsi="仿宋" w:eastAsia="仿宋"/>
          <w:b w:val="0"/>
          <w:bCs w:val="0"/>
          <w:color w:val="auto"/>
        </w:rPr>
        <w:t>出决算表</w:t>
      </w:r>
      <w:bookmarkEnd w:id="56"/>
    </w:p>
    <w:p w14:paraId="70EAA936">
      <w:pPr>
        <w:pStyle w:val="4"/>
        <w:rPr>
          <w:rFonts w:ascii="仿宋" w:hAnsi="仿宋" w:eastAsia="仿宋"/>
          <w:b w:val="0"/>
          <w:color w:val="auto"/>
        </w:rPr>
      </w:pPr>
      <w:bookmarkStart w:id="57" w:name="_Toc15396622"/>
      <w:r>
        <w:rPr>
          <w:rStyle w:val="29"/>
          <w:rFonts w:hint="eastAsia" w:ascii="仿宋" w:hAnsi="仿宋" w:eastAsia="仿宋"/>
          <w:b w:val="0"/>
          <w:bCs w:val="0"/>
          <w:color w:val="auto"/>
        </w:rPr>
        <w:t>四、</w:t>
      </w:r>
      <w:r>
        <w:rPr>
          <w:rFonts w:hint="eastAsia" w:ascii="仿宋" w:hAnsi="仿宋" w:eastAsia="仿宋"/>
          <w:b w:val="0"/>
          <w:color w:val="auto"/>
        </w:rPr>
        <w:t>财</w:t>
      </w:r>
      <w:r>
        <w:rPr>
          <w:rStyle w:val="29"/>
          <w:rFonts w:hint="eastAsia" w:ascii="仿宋" w:hAnsi="仿宋" w:eastAsia="仿宋"/>
          <w:b w:val="0"/>
          <w:bCs w:val="0"/>
          <w:color w:val="auto"/>
        </w:rPr>
        <w:t>政拨款收入支出决算总表</w:t>
      </w:r>
      <w:bookmarkEnd w:id="57"/>
    </w:p>
    <w:p w14:paraId="20E84415">
      <w:pPr>
        <w:pStyle w:val="4"/>
        <w:rPr>
          <w:rStyle w:val="29"/>
          <w:rFonts w:ascii="仿宋" w:hAnsi="仿宋" w:eastAsia="仿宋"/>
          <w:b w:val="0"/>
          <w:bCs w:val="0"/>
          <w:color w:val="auto"/>
        </w:rPr>
      </w:pPr>
      <w:bookmarkStart w:id="58" w:name="_Toc15396623"/>
      <w:r>
        <w:rPr>
          <w:rStyle w:val="29"/>
          <w:rFonts w:hint="eastAsia" w:ascii="仿宋" w:hAnsi="仿宋" w:eastAsia="仿宋"/>
          <w:b w:val="0"/>
          <w:bCs w:val="0"/>
          <w:color w:val="auto"/>
        </w:rPr>
        <w:t>五、</w:t>
      </w:r>
      <w:r>
        <w:rPr>
          <w:rFonts w:hint="eastAsia" w:ascii="仿宋" w:hAnsi="仿宋" w:eastAsia="仿宋"/>
          <w:b w:val="0"/>
          <w:color w:val="auto"/>
        </w:rPr>
        <w:t>财</w:t>
      </w:r>
      <w:r>
        <w:rPr>
          <w:rStyle w:val="29"/>
          <w:rFonts w:hint="eastAsia" w:ascii="仿宋" w:hAnsi="仿宋" w:eastAsia="仿宋"/>
          <w:b w:val="0"/>
          <w:bCs w:val="0"/>
          <w:color w:val="auto"/>
        </w:rPr>
        <w:t>政拨款支出决算明细表</w:t>
      </w:r>
      <w:bookmarkEnd w:id="58"/>
      <w:bookmarkStart w:id="59" w:name="_Toc15396624"/>
    </w:p>
    <w:p w14:paraId="27DBFFAD">
      <w:pPr>
        <w:pStyle w:val="4"/>
        <w:rPr>
          <w:rFonts w:ascii="仿宋" w:hAnsi="仿宋" w:eastAsia="仿宋"/>
          <w:color w:val="auto"/>
        </w:rPr>
      </w:pPr>
      <w:r>
        <w:rPr>
          <w:rStyle w:val="29"/>
          <w:rFonts w:hint="eastAsia" w:ascii="仿宋" w:hAnsi="仿宋" w:eastAsia="仿宋"/>
          <w:b w:val="0"/>
          <w:bCs w:val="0"/>
          <w:color w:val="auto"/>
        </w:rPr>
        <w:t>六、</w:t>
      </w:r>
      <w:r>
        <w:rPr>
          <w:rFonts w:hint="eastAsia" w:ascii="仿宋" w:hAnsi="仿宋" w:eastAsia="仿宋"/>
          <w:b w:val="0"/>
          <w:color w:val="auto"/>
        </w:rPr>
        <w:t>一</w:t>
      </w:r>
      <w:r>
        <w:rPr>
          <w:rStyle w:val="29"/>
          <w:rFonts w:hint="eastAsia" w:ascii="仿宋" w:hAnsi="仿宋" w:eastAsia="仿宋"/>
          <w:b w:val="0"/>
          <w:bCs w:val="0"/>
          <w:color w:val="auto"/>
        </w:rPr>
        <w:t>般公共预算财政拨款支出决算表</w:t>
      </w:r>
      <w:bookmarkEnd w:id="59"/>
    </w:p>
    <w:p w14:paraId="6D7BAF01">
      <w:pPr>
        <w:pStyle w:val="4"/>
        <w:rPr>
          <w:rFonts w:ascii="仿宋" w:hAnsi="仿宋" w:eastAsia="仿宋"/>
          <w:color w:val="auto"/>
        </w:rPr>
      </w:pPr>
      <w:bookmarkStart w:id="60" w:name="_Toc15396625"/>
      <w:r>
        <w:rPr>
          <w:rStyle w:val="29"/>
          <w:rFonts w:hint="eastAsia" w:ascii="仿宋" w:hAnsi="仿宋" w:eastAsia="仿宋"/>
          <w:b w:val="0"/>
          <w:bCs w:val="0"/>
          <w:color w:val="auto"/>
        </w:rPr>
        <w:t>七、</w:t>
      </w:r>
      <w:r>
        <w:rPr>
          <w:rFonts w:hint="eastAsia" w:ascii="仿宋" w:hAnsi="仿宋" w:eastAsia="仿宋"/>
          <w:b w:val="0"/>
          <w:color w:val="auto"/>
        </w:rPr>
        <w:t>一</w:t>
      </w:r>
      <w:r>
        <w:rPr>
          <w:rStyle w:val="29"/>
          <w:rFonts w:hint="eastAsia" w:ascii="仿宋" w:hAnsi="仿宋" w:eastAsia="仿宋"/>
          <w:b w:val="0"/>
          <w:bCs w:val="0"/>
          <w:color w:val="auto"/>
        </w:rPr>
        <w:t>般公共预算财政拨款支出决算明细表</w:t>
      </w:r>
      <w:bookmarkEnd w:id="60"/>
    </w:p>
    <w:p w14:paraId="60C05E2F">
      <w:pPr>
        <w:pStyle w:val="4"/>
        <w:rPr>
          <w:rFonts w:ascii="仿宋" w:hAnsi="仿宋" w:eastAsia="仿宋"/>
          <w:color w:val="auto"/>
        </w:rPr>
      </w:pPr>
      <w:bookmarkStart w:id="61" w:name="_Toc15396626"/>
      <w:r>
        <w:rPr>
          <w:rStyle w:val="29"/>
          <w:rFonts w:hint="eastAsia" w:ascii="仿宋" w:hAnsi="仿宋" w:eastAsia="仿宋"/>
          <w:b w:val="0"/>
          <w:bCs w:val="0"/>
          <w:color w:val="auto"/>
        </w:rPr>
        <w:t>八、</w:t>
      </w:r>
      <w:r>
        <w:rPr>
          <w:rFonts w:hint="eastAsia" w:ascii="仿宋" w:hAnsi="仿宋" w:eastAsia="仿宋"/>
          <w:b w:val="0"/>
          <w:color w:val="auto"/>
        </w:rPr>
        <w:t>一</w:t>
      </w:r>
      <w:r>
        <w:rPr>
          <w:rStyle w:val="29"/>
          <w:rFonts w:hint="eastAsia" w:ascii="仿宋" w:hAnsi="仿宋" w:eastAsia="仿宋"/>
          <w:b w:val="0"/>
          <w:bCs w:val="0"/>
          <w:color w:val="auto"/>
        </w:rPr>
        <w:t>般公共预算财政拨款基本支出决算表</w:t>
      </w:r>
      <w:bookmarkEnd w:id="61"/>
    </w:p>
    <w:p w14:paraId="0E8DBD36">
      <w:pPr>
        <w:pStyle w:val="4"/>
        <w:rPr>
          <w:rFonts w:ascii="仿宋" w:hAnsi="仿宋" w:eastAsia="仿宋"/>
          <w:color w:val="auto"/>
        </w:rPr>
      </w:pPr>
      <w:bookmarkStart w:id="62" w:name="_Toc15396627"/>
      <w:r>
        <w:rPr>
          <w:rStyle w:val="29"/>
          <w:rFonts w:hint="eastAsia" w:ascii="仿宋" w:hAnsi="仿宋" w:eastAsia="仿宋"/>
          <w:b w:val="0"/>
          <w:bCs w:val="0"/>
          <w:color w:val="auto"/>
        </w:rPr>
        <w:t>九、</w:t>
      </w:r>
      <w:r>
        <w:rPr>
          <w:rFonts w:hint="eastAsia" w:ascii="仿宋" w:hAnsi="仿宋" w:eastAsia="仿宋"/>
          <w:b w:val="0"/>
          <w:color w:val="auto"/>
        </w:rPr>
        <w:t>一</w:t>
      </w:r>
      <w:r>
        <w:rPr>
          <w:rStyle w:val="29"/>
          <w:rFonts w:hint="eastAsia" w:ascii="仿宋" w:hAnsi="仿宋" w:eastAsia="仿宋"/>
          <w:b w:val="0"/>
          <w:bCs w:val="0"/>
          <w:color w:val="auto"/>
        </w:rPr>
        <w:t>般公共预算财政拨款项目支出决算表</w:t>
      </w:r>
      <w:bookmarkEnd w:id="62"/>
    </w:p>
    <w:p w14:paraId="12A0AC70">
      <w:pPr>
        <w:pStyle w:val="4"/>
        <w:rPr>
          <w:rFonts w:ascii="仿宋" w:hAnsi="仿宋" w:eastAsia="仿宋"/>
          <w:color w:val="auto"/>
        </w:rPr>
      </w:pPr>
      <w:bookmarkStart w:id="63" w:name="_Toc15396628"/>
      <w:r>
        <w:rPr>
          <w:rStyle w:val="29"/>
          <w:rFonts w:hint="eastAsia" w:ascii="仿宋" w:hAnsi="仿宋" w:eastAsia="仿宋"/>
          <w:b w:val="0"/>
          <w:bCs w:val="0"/>
          <w:color w:val="auto"/>
        </w:rPr>
        <w:t>十、</w:t>
      </w:r>
      <w:bookmarkEnd w:id="63"/>
      <w:r>
        <w:rPr>
          <w:rFonts w:hint="eastAsia" w:ascii="仿宋" w:hAnsi="仿宋" w:eastAsia="仿宋"/>
          <w:b w:val="0"/>
          <w:color w:val="auto"/>
        </w:rPr>
        <w:t>政</w:t>
      </w:r>
      <w:r>
        <w:rPr>
          <w:rStyle w:val="29"/>
          <w:rFonts w:hint="eastAsia" w:ascii="仿宋" w:hAnsi="仿宋" w:eastAsia="仿宋"/>
          <w:b w:val="0"/>
          <w:bCs w:val="0"/>
          <w:color w:val="auto"/>
        </w:rPr>
        <w:t>府性基金预算财政拨款收入支出决算表</w:t>
      </w:r>
    </w:p>
    <w:p w14:paraId="23440A31">
      <w:pPr>
        <w:pStyle w:val="4"/>
        <w:rPr>
          <w:rFonts w:ascii="仿宋" w:hAnsi="仿宋" w:eastAsia="仿宋"/>
          <w:color w:val="auto"/>
        </w:rPr>
      </w:pPr>
      <w:bookmarkStart w:id="64" w:name="_Toc15396629"/>
      <w:r>
        <w:rPr>
          <w:rStyle w:val="29"/>
          <w:rFonts w:hint="eastAsia" w:ascii="仿宋" w:hAnsi="仿宋" w:eastAsia="仿宋"/>
          <w:b w:val="0"/>
          <w:bCs w:val="0"/>
          <w:color w:val="auto"/>
        </w:rPr>
        <w:t>十一、</w:t>
      </w:r>
      <w:bookmarkEnd w:id="64"/>
      <w:r>
        <w:rPr>
          <w:rFonts w:hint="eastAsia" w:ascii="仿宋" w:hAnsi="仿宋" w:eastAsia="仿宋"/>
          <w:b w:val="0"/>
          <w:color w:val="auto"/>
        </w:rPr>
        <w:t>国</w:t>
      </w:r>
      <w:r>
        <w:rPr>
          <w:rStyle w:val="29"/>
          <w:rFonts w:hint="eastAsia" w:ascii="仿宋" w:hAnsi="仿宋" w:eastAsia="仿宋"/>
          <w:b w:val="0"/>
          <w:bCs w:val="0"/>
          <w:color w:val="auto"/>
        </w:rPr>
        <w:t>有资本经营预算财政拨款收入支出决算表</w:t>
      </w:r>
    </w:p>
    <w:p w14:paraId="44E3A9F9">
      <w:pPr>
        <w:pStyle w:val="4"/>
        <w:rPr>
          <w:rFonts w:ascii="仿宋" w:hAnsi="仿宋" w:eastAsia="仿宋"/>
          <w:color w:val="auto"/>
        </w:rPr>
      </w:pPr>
      <w:bookmarkStart w:id="65" w:name="_Toc15396630"/>
      <w:r>
        <w:rPr>
          <w:rStyle w:val="29"/>
          <w:rFonts w:hint="eastAsia" w:ascii="仿宋" w:hAnsi="仿宋" w:eastAsia="仿宋"/>
          <w:b w:val="0"/>
          <w:bCs w:val="0"/>
          <w:color w:val="auto"/>
        </w:rPr>
        <w:t>十二、</w:t>
      </w:r>
      <w:bookmarkEnd w:id="65"/>
      <w:r>
        <w:rPr>
          <w:rStyle w:val="29"/>
          <w:rFonts w:hint="eastAsia" w:ascii="仿宋" w:hAnsi="仿宋" w:eastAsia="仿宋"/>
          <w:b w:val="0"/>
          <w:bCs w:val="0"/>
          <w:color w:val="auto"/>
        </w:rPr>
        <w:t>国有资本经营预算财政拨款支出决算表</w:t>
      </w:r>
    </w:p>
    <w:p w14:paraId="68C80D3A">
      <w:pPr>
        <w:pStyle w:val="4"/>
        <w:rPr>
          <w:rFonts w:eastAsia="仿宋"/>
          <w:color w:val="auto"/>
        </w:rPr>
      </w:pPr>
      <w:bookmarkStart w:id="66" w:name="_Toc15396631"/>
      <w:r>
        <w:rPr>
          <w:rStyle w:val="29"/>
          <w:rFonts w:hint="eastAsia" w:ascii="仿宋" w:hAnsi="仿宋" w:eastAsia="仿宋"/>
          <w:b w:val="0"/>
          <w:bCs w:val="0"/>
          <w:color w:val="auto"/>
        </w:rPr>
        <w:t>十三、</w:t>
      </w:r>
      <w:bookmarkEnd w:id="66"/>
      <w:r>
        <w:rPr>
          <w:rStyle w:val="29"/>
          <w:rFonts w:hint="eastAsia" w:ascii="仿宋" w:hAnsi="仿宋" w:eastAsia="仿宋"/>
          <w:b w:val="0"/>
          <w:bCs w:val="0"/>
          <w:color w:val="auto"/>
        </w:rPr>
        <w:t>财政拨款“三公”经费支出决算表</w:t>
      </w:r>
    </w:p>
    <w:p w14:paraId="516DC6FF">
      <w:pPr>
        <w:pStyle w:val="4"/>
        <w:rPr>
          <w:rFonts w:eastAsia="仿宋"/>
          <w:color w:val="auto"/>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2EB92C">
        <w:pPr>
          <w:pStyle w:val="11"/>
          <w:jc w:val="center"/>
        </w:pPr>
        <w:r>
          <w:fldChar w:fldCharType="begin"/>
        </w:r>
        <w:r>
          <w:instrText xml:space="preserve">PAGE   \* MERGEFORMAT</w:instrText>
        </w:r>
        <w:r>
          <w:fldChar w:fldCharType="separate"/>
        </w:r>
        <w:r>
          <w:rPr>
            <w:lang w:val="zh-CN"/>
          </w:rPr>
          <w:t>3</w:t>
        </w:r>
        <w:r>
          <w:fldChar w:fldCharType="end"/>
        </w:r>
      </w:p>
    </w:sdtContent>
  </w:sdt>
  <w:p w14:paraId="41FD70E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473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F9CB"/>
    <w:multiLevelType w:val="singleLevel"/>
    <w:tmpl w:val="8665F9CB"/>
    <w:lvl w:ilvl="0" w:tentative="0">
      <w:start w:val="2"/>
      <w:numFmt w:val="chineseCounting"/>
      <w:suff w:val="nothing"/>
      <w:lvlText w:val="（%1）"/>
      <w:lvlJc w:val="left"/>
      <w:rPr>
        <w:rFonts w:hint="eastAsia"/>
      </w:rPr>
    </w:lvl>
  </w:abstractNum>
  <w:abstractNum w:abstractNumId="1">
    <w:nsid w:val="C3FB985A"/>
    <w:multiLevelType w:val="singleLevel"/>
    <w:tmpl w:val="C3FB985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05FD63EE"/>
    <w:multiLevelType w:val="singleLevel"/>
    <w:tmpl w:val="05FD63E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OTQzZDVkZmM5MzJjZDhhNGNmYzEyNWNkYzIzMmUifQ=="/>
  </w:docVars>
  <w:rsids>
    <w:rsidRoot w:val="00F1361C"/>
    <w:rsid w:val="000222C6"/>
    <w:rsid w:val="0002549F"/>
    <w:rsid w:val="0003198C"/>
    <w:rsid w:val="000468DB"/>
    <w:rsid w:val="0005215F"/>
    <w:rsid w:val="00060CA5"/>
    <w:rsid w:val="0006487A"/>
    <w:rsid w:val="00065F8F"/>
    <w:rsid w:val="00070A43"/>
    <w:rsid w:val="000718DE"/>
    <w:rsid w:val="000768F2"/>
    <w:rsid w:val="0009184B"/>
    <w:rsid w:val="00091B18"/>
    <w:rsid w:val="00094236"/>
    <w:rsid w:val="0009593C"/>
    <w:rsid w:val="00097322"/>
    <w:rsid w:val="000A6A92"/>
    <w:rsid w:val="000B047F"/>
    <w:rsid w:val="000B5923"/>
    <w:rsid w:val="000B5A48"/>
    <w:rsid w:val="000B6FF3"/>
    <w:rsid w:val="000C3467"/>
    <w:rsid w:val="000C3CA6"/>
    <w:rsid w:val="000D1267"/>
    <w:rsid w:val="000D1D50"/>
    <w:rsid w:val="000D5782"/>
    <w:rsid w:val="000E25D9"/>
    <w:rsid w:val="000E6613"/>
    <w:rsid w:val="000E7119"/>
    <w:rsid w:val="000F161E"/>
    <w:rsid w:val="00114E9B"/>
    <w:rsid w:val="00142216"/>
    <w:rsid w:val="001422F6"/>
    <w:rsid w:val="00144D6A"/>
    <w:rsid w:val="0014729F"/>
    <w:rsid w:val="00152A0C"/>
    <w:rsid w:val="00157BAB"/>
    <w:rsid w:val="001654D1"/>
    <w:rsid w:val="00174518"/>
    <w:rsid w:val="0018106D"/>
    <w:rsid w:val="00186684"/>
    <w:rsid w:val="001871CA"/>
    <w:rsid w:val="001877A7"/>
    <w:rsid w:val="00191536"/>
    <w:rsid w:val="00196687"/>
    <w:rsid w:val="001A6633"/>
    <w:rsid w:val="001A79B9"/>
    <w:rsid w:val="001C0962"/>
    <w:rsid w:val="001D7531"/>
    <w:rsid w:val="001E0EB3"/>
    <w:rsid w:val="001E737D"/>
    <w:rsid w:val="001F0592"/>
    <w:rsid w:val="001F7506"/>
    <w:rsid w:val="002006CD"/>
    <w:rsid w:val="002010DD"/>
    <w:rsid w:val="00202B36"/>
    <w:rsid w:val="00204B7A"/>
    <w:rsid w:val="00204CDE"/>
    <w:rsid w:val="0021101A"/>
    <w:rsid w:val="00220536"/>
    <w:rsid w:val="0022702B"/>
    <w:rsid w:val="00235629"/>
    <w:rsid w:val="00260C38"/>
    <w:rsid w:val="002616C0"/>
    <w:rsid w:val="00265372"/>
    <w:rsid w:val="002662AA"/>
    <w:rsid w:val="00271376"/>
    <w:rsid w:val="00280496"/>
    <w:rsid w:val="00281494"/>
    <w:rsid w:val="00294DC9"/>
    <w:rsid w:val="00295495"/>
    <w:rsid w:val="002A31DE"/>
    <w:rsid w:val="002B2613"/>
    <w:rsid w:val="002D6D05"/>
    <w:rsid w:val="002E79ED"/>
    <w:rsid w:val="002F1818"/>
    <w:rsid w:val="002F567B"/>
    <w:rsid w:val="003061F8"/>
    <w:rsid w:val="003216A9"/>
    <w:rsid w:val="00331ABE"/>
    <w:rsid w:val="00335A74"/>
    <w:rsid w:val="00346078"/>
    <w:rsid w:val="0036561B"/>
    <w:rsid w:val="0037013F"/>
    <w:rsid w:val="00380C92"/>
    <w:rsid w:val="00386F00"/>
    <w:rsid w:val="003A484F"/>
    <w:rsid w:val="003A4883"/>
    <w:rsid w:val="003B0BE0"/>
    <w:rsid w:val="003B0C1B"/>
    <w:rsid w:val="003B688C"/>
    <w:rsid w:val="003C0291"/>
    <w:rsid w:val="003C39AE"/>
    <w:rsid w:val="003C7B60"/>
    <w:rsid w:val="003D0C0F"/>
    <w:rsid w:val="003D1FB2"/>
    <w:rsid w:val="003D66DA"/>
    <w:rsid w:val="003E1310"/>
    <w:rsid w:val="003E1856"/>
    <w:rsid w:val="003E6F55"/>
    <w:rsid w:val="00406254"/>
    <w:rsid w:val="004101EA"/>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F32"/>
    <w:rsid w:val="004F0FBD"/>
    <w:rsid w:val="00505A47"/>
    <w:rsid w:val="00512FDA"/>
    <w:rsid w:val="00520DA0"/>
    <w:rsid w:val="00522AC0"/>
    <w:rsid w:val="005664BB"/>
    <w:rsid w:val="00566FFA"/>
    <w:rsid w:val="0057481D"/>
    <w:rsid w:val="0058486E"/>
    <w:rsid w:val="00585B33"/>
    <w:rsid w:val="0059014D"/>
    <w:rsid w:val="0059746B"/>
    <w:rsid w:val="005A1166"/>
    <w:rsid w:val="005A5557"/>
    <w:rsid w:val="005B5C64"/>
    <w:rsid w:val="005C5337"/>
    <w:rsid w:val="005C6BD0"/>
    <w:rsid w:val="005D1C8B"/>
    <w:rsid w:val="005D468D"/>
    <w:rsid w:val="005D5CED"/>
    <w:rsid w:val="005E1569"/>
    <w:rsid w:val="005E682A"/>
    <w:rsid w:val="005F1A4C"/>
    <w:rsid w:val="005F457E"/>
    <w:rsid w:val="006037C1"/>
    <w:rsid w:val="00605688"/>
    <w:rsid w:val="006070AF"/>
    <w:rsid w:val="00607E6C"/>
    <w:rsid w:val="006101B1"/>
    <w:rsid w:val="00614E44"/>
    <w:rsid w:val="0062270A"/>
    <w:rsid w:val="00622830"/>
    <w:rsid w:val="00623DA0"/>
    <w:rsid w:val="00630AEF"/>
    <w:rsid w:val="006325F8"/>
    <w:rsid w:val="00633463"/>
    <w:rsid w:val="00634C9A"/>
    <w:rsid w:val="006440E4"/>
    <w:rsid w:val="00645710"/>
    <w:rsid w:val="0066343B"/>
    <w:rsid w:val="00664777"/>
    <w:rsid w:val="006748A4"/>
    <w:rsid w:val="00681A31"/>
    <w:rsid w:val="00683E73"/>
    <w:rsid w:val="006A3141"/>
    <w:rsid w:val="006A5E34"/>
    <w:rsid w:val="006B2422"/>
    <w:rsid w:val="006B2B9A"/>
    <w:rsid w:val="006C1937"/>
    <w:rsid w:val="006D1BCD"/>
    <w:rsid w:val="006F020C"/>
    <w:rsid w:val="007127B7"/>
    <w:rsid w:val="0071798E"/>
    <w:rsid w:val="00730AC1"/>
    <w:rsid w:val="007416B6"/>
    <w:rsid w:val="00746F48"/>
    <w:rsid w:val="0075404D"/>
    <w:rsid w:val="0076182A"/>
    <w:rsid w:val="00767B7E"/>
    <w:rsid w:val="007770C3"/>
    <w:rsid w:val="00784D24"/>
    <w:rsid w:val="00785FBA"/>
    <w:rsid w:val="00786E4A"/>
    <w:rsid w:val="007875EB"/>
    <w:rsid w:val="0079426B"/>
    <w:rsid w:val="007A0FCE"/>
    <w:rsid w:val="007D1682"/>
    <w:rsid w:val="007D312A"/>
    <w:rsid w:val="007D3F19"/>
    <w:rsid w:val="007E23B0"/>
    <w:rsid w:val="007E23E5"/>
    <w:rsid w:val="007E65C1"/>
    <w:rsid w:val="007F1991"/>
    <w:rsid w:val="007F2C2F"/>
    <w:rsid w:val="007F55FC"/>
    <w:rsid w:val="007F5665"/>
    <w:rsid w:val="007F7EF1"/>
    <w:rsid w:val="00800112"/>
    <w:rsid w:val="00813348"/>
    <w:rsid w:val="008175DF"/>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565"/>
    <w:rsid w:val="009315F9"/>
    <w:rsid w:val="00933499"/>
    <w:rsid w:val="00935C98"/>
    <w:rsid w:val="00946945"/>
    <w:rsid w:val="00951248"/>
    <w:rsid w:val="0095152F"/>
    <w:rsid w:val="00954C49"/>
    <w:rsid w:val="00955E37"/>
    <w:rsid w:val="0097099F"/>
    <w:rsid w:val="00971997"/>
    <w:rsid w:val="00971FFC"/>
    <w:rsid w:val="0098660A"/>
    <w:rsid w:val="00987122"/>
    <w:rsid w:val="009931C3"/>
    <w:rsid w:val="009B040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044"/>
    <w:rsid w:val="00A45BB7"/>
    <w:rsid w:val="00A50A7F"/>
    <w:rsid w:val="00A56DF2"/>
    <w:rsid w:val="00A56E6E"/>
    <w:rsid w:val="00A620C2"/>
    <w:rsid w:val="00A67AB5"/>
    <w:rsid w:val="00A733B2"/>
    <w:rsid w:val="00A741C2"/>
    <w:rsid w:val="00A91760"/>
    <w:rsid w:val="00A93B00"/>
    <w:rsid w:val="00A93C21"/>
    <w:rsid w:val="00AB64C9"/>
    <w:rsid w:val="00AC3C6A"/>
    <w:rsid w:val="00AD5620"/>
    <w:rsid w:val="00AD656B"/>
    <w:rsid w:val="00AD6FE7"/>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6E8"/>
    <w:rsid w:val="00B751EE"/>
    <w:rsid w:val="00B77EA6"/>
    <w:rsid w:val="00B81598"/>
    <w:rsid w:val="00B841F1"/>
    <w:rsid w:val="00B944D6"/>
    <w:rsid w:val="00B94DA8"/>
    <w:rsid w:val="00BB4DF0"/>
    <w:rsid w:val="00BC289F"/>
    <w:rsid w:val="00BC2D50"/>
    <w:rsid w:val="00BC5361"/>
    <w:rsid w:val="00BC5460"/>
    <w:rsid w:val="00BC6B50"/>
    <w:rsid w:val="00BD0E25"/>
    <w:rsid w:val="00BD72FF"/>
    <w:rsid w:val="00BF5BD6"/>
    <w:rsid w:val="00C03E31"/>
    <w:rsid w:val="00C33E72"/>
    <w:rsid w:val="00C34316"/>
    <w:rsid w:val="00C354B2"/>
    <w:rsid w:val="00C35554"/>
    <w:rsid w:val="00C42709"/>
    <w:rsid w:val="00C533CC"/>
    <w:rsid w:val="00C5751C"/>
    <w:rsid w:val="00C61BFC"/>
    <w:rsid w:val="00C62B85"/>
    <w:rsid w:val="00C65438"/>
    <w:rsid w:val="00C87FD8"/>
    <w:rsid w:val="00C91381"/>
    <w:rsid w:val="00C91CBB"/>
    <w:rsid w:val="00CA0567"/>
    <w:rsid w:val="00CA5666"/>
    <w:rsid w:val="00CB4E70"/>
    <w:rsid w:val="00CC09B6"/>
    <w:rsid w:val="00CC666F"/>
    <w:rsid w:val="00CD1E3F"/>
    <w:rsid w:val="00CE44F6"/>
    <w:rsid w:val="00CE46C7"/>
    <w:rsid w:val="00CE49DA"/>
    <w:rsid w:val="00CE7B61"/>
    <w:rsid w:val="00D00095"/>
    <w:rsid w:val="00D114F0"/>
    <w:rsid w:val="00D20620"/>
    <w:rsid w:val="00D254F7"/>
    <w:rsid w:val="00D26091"/>
    <w:rsid w:val="00D2685C"/>
    <w:rsid w:val="00D34E7C"/>
    <w:rsid w:val="00D35489"/>
    <w:rsid w:val="00D36AFE"/>
    <w:rsid w:val="00D51276"/>
    <w:rsid w:val="00D554AC"/>
    <w:rsid w:val="00D7035F"/>
    <w:rsid w:val="00DA634F"/>
    <w:rsid w:val="00DA65AC"/>
    <w:rsid w:val="00DB1913"/>
    <w:rsid w:val="00DC410D"/>
    <w:rsid w:val="00DC5A81"/>
    <w:rsid w:val="00DC68CA"/>
    <w:rsid w:val="00DC7CBA"/>
    <w:rsid w:val="00DD6D3B"/>
    <w:rsid w:val="00DD73B7"/>
    <w:rsid w:val="00DF28BC"/>
    <w:rsid w:val="00DF34B9"/>
    <w:rsid w:val="00E01053"/>
    <w:rsid w:val="00E07ACF"/>
    <w:rsid w:val="00E331A1"/>
    <w:rsid w:val="00E33202"/>
    <w:rsid w:val="00E336A9"/>
    <w:rsid w:val="00E472B1"/>
    <w:rsid w:val="00E50624"/>
    <w:rsid w:val="00E568DF"/>
    <w:rsid w:val="00E619A8"/>
    <w:rsid w:val="00E64269"/>
    <w:rsid w:val="00E71B6C"/>
    <w:rsid w:val="00E82267"/>
    <w:rsid w:val="00E853CE"/>
    <w:rsid w:val="00E867B6"/>
    <w:rsid w:val="00EA010F"/>
    <w:rsid w:val="00ED1373"/>
    <w:rsid w:val="00ED1B63"/>
    <w:rsid w:val="00ED1D7A"/>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52E"/>
    <w:rsid w:val="00FA23E8"/>
    <w:rsid w:val="00FD3CC1"/>
    <w:rsid w:val="00FD6870"/>
    <w:rsid w:val="00FE5B38"/>
    <w:rsid w:val="00FF1E02"/>
    <w:rsid w:val="00FF30B4"/>
    <w:rsid w:val="036B7DA6"/>
    <w:rsid w:val="06817D7F"/>
    <w:rsid w:val="099C4644"/>
    <w:rsid w:val="0A2032A3"/>
    <w:rsid w:val="0A9C487F"/>
    <w:rsid w:val="0AC83782"/>
    <w:rsid w:val="0AF86C03"/>
    <w:rsid w:val="0B8A37D8"/>
    <w:rsid w:val="0C590BAD"/>
    <w:rsid w:val="0DAD17DE"/>
    <w:rsid w:val="0DD95C10"/>
    <w:rsid w:val="0EB42265"/>
    <w:rsid w:val="0FFD54BA"/>
    <w:rsid w:val="10C055FF"/>
    <w:rsid w:val="118107EC"/>
    <w:rsid w:val="11D010D8"/>
    <w:rsid w:val="11DD6519"/>
    <w:rsid w:val="144620CE"/>
    <w:rsid w:val="1448764C"/>
    <w:rsid w:val="15815280"/>
    <w:rsid w:val="16822574"/>
    <w:rsid w:val="16BB723D"/>
    <w:rsid w:val="16BD1D76"/>
    <w:rsid w:val="1755339E"/>
    <w:rsid w:val="17FE3EB9"/>
    <w:rsid w:val="18015F3F"/>
    <w:rsid w:val="18266606"/>
    <w:rsid w:val="18883E29"/>
    <w:rsid w:val="1A625937"/>
    <w:rsid w:val="1B0B13D3"/>
    <w:rsid w:val="1BC70317"/>
    <w:rsid w:val="1BE8440E"/>
    <w:rsid w:val="1C50124F"/>
    <w:rsid w:val="1D155CEE"/>
    <w:rsid w:val="1E780D78"/>
    <w:rsid w:val="1F354C71"/>
    <w:rsid w:val="1F856491"/>
    <w:rsid w:val="20F57F95"/>
    <w:rsid w:val="240371BF"/>
    <w:rsid w:val="259158A9"/>
    <w:rsid w:val="25A14E4D"/>
    <w:rsid w:val="25C741E6"/>
    <w:rsid w:val="270429BB"/>
    <w:rsid w:val="27842671"/>
    <w:rsid w:val="29FD04D3"/>
    <w:rsid w:val="2ABE7A3E"/>
    <w:rsid w:val="2B0A5203"/>
    <w:rsid w:val="2D787FA8"/>
    <w:rsid w:val="2DD66294"/>
    <w:rsid w:val="2EFA178C"/>
    <w:rsid w:val="2F8D21B7"/>
    <w:rsid w:val="2FB01718"/>
    <w:rsid w:val="30B46D73"/>
    <w:rsid w:val="319F7F4E"/>
    <w:rsid w:val="324E3917"/>
    <w:rsid w:val="34B63D06"/>
    <w:rsid w:val="34D61C7F"/>
    <w:rsid w:val="34DD5737"/>
    <w:rsid w:val="377D37CE"/>
    <w:rsid w:val="37D71B4D"/>
    <w:rsid w:val="39AE70AB"/>
    <w:rsid w:val="3AFD443D"/>
    <w:rsid w:val="3C0C0783"/>
    <w:rsid w:val="3CCA02B2"/>
    <w:rsid w:val="3DD575F5"/>
    <w:rsid w:val="3F5C7D12"/>
    <w:rsid w:val="3F9F3A96"/>
    <w:rsid w:val="40A0022B"/>
    <w:rsid w:val="41026727"/>
    <w:rsid w:val="43167394"/>
    <w:rsid w:val="4785727F"/>
    <w:rsid w:val="48DE7563"/>
    <w:rsid w:val="493C27E9"/>
    <w:rsid w:val="496F39ED"/>
    <w:rsid w:val="497838FA"/>
    <w:rsid w:val="49FF41D3"/>
    <w:rsid w:val="4A081FD7"/>
    <w:rsid w:val="4BE068DB"/>
    <w:rsid w:val="4BF6002B"/>
    <w:rsid w:val="4D072507"/>
    <w:rsid w:val="4E2F0959"/>
    <w:rsid w:val="4E685480"/>
    <w:rsid w:val="4EB60048"/>
    <w:rsid w:val="4EB617F8"/>
    <w:rsid w:val="4ECE2238"/>
    <w:rsid w:val="50842402"/>
    <w:rsid w:val="511931FB"/>
    <w:rsid w:val="512201E8"/>
    <w:rsid w:val="51DB4B86"/>
    <w:rsid w:val="544E700E"/>
    <w:rsid w:val="55212D89"/>
    <w:rsid w:val="55333C3E"/>
    <w:rsid w:val="55501DDF"/>
    <w:rsid w:val="565D3B8A"/>
    <w:rsid w:val="566C7DF5"/>
    <w:rsid w:val="5673514B"/>
    <w:rsid w:val="56D77DE0"/>
    <w:rsid w:val="58B22337"/>
    <w:rsid w:val="590F358A"/>
    <w:rsid w:val="5C2515ED"/>
    <w:rsid w:val="5D52255C"/>
    <w:rsid w:val="5D5821AA"/>
    <w:rsid w:val="5DE62663"/>
    <w:rsid w:val="5E5215CD"/>
    <w:rsid w:val="5FAC19D9"/>
    <w:rsid w:val="62090567"/>
    <w:rsid w:val="64CA39A1"/>
    <w:rsid w:val="65425D45"/>
    <w:rsid w:val="68633EF1"/>
    <w:rsid w:val="69BE4A75"/>
    <w:rsid w:val="6C4A05C8"/>
    <w:rsid w:val="6D2946C4"/>
    <w:rsid w:val="6E5E2BB3"/>
    <w:rsid w:val="6F444552"/>
    <w:rsid w:val="710015DD"/>
    <w:rsid w:val="722A4BEA"/>
    <w:rsid w:val="72734D90"/>
    <w:rsid w:val="74580127"/>
    <w:rsid w:val="75A45EE7"/>
    <w:rsid w:val="763C5733"/>
    <w:rsid w:val="76A74C81"/>
    <w:rsid w:val="76F63747"/>
    <w:rsid w:val="79E7B28D"/>
    <w:rsid w:val="7A21770D"/>
    <w:rsid w:val="7A406FE4"/>
    <w:rsid w:val="7A8E594F"/>
    <w:rsid w:val="7B1C152E"/>
    <w:rsid w:val="7C530152"/>
    <w:rsid w:val="7CEB28A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link w:val="35"/>
    <w:semiHidden/>
    <w:unhideWhenUsed/>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99"/>
    <w:rPr>
      <w:rFonts w:ascii="宋体" w:hAnsi="Courier New" w:eastAsia="仿宋"/>
      <w:kern w:val="0"/>
      <w:sz w:val="32"/>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NormalIndent"/>
    <w:basedOn w:val="1"/>
    <w:qFormat/>
    <w:uiPriority w:val="0"/>
    <w:pPr>
      <w:spacing w:line="240" w:lineRule="auto"/>
      <w:ind w:firstLine="420" w:firstLineChars="200"/>
      <w:jc w:val="both"/>
    </w:p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正文文本缩进 Char"/>
    <w:basedOn w:val="16"/>
    <w:link w:val="7"/>
    <w:semiHidden/>
    <w:qFormat/>
    <w:uiPriority w:val="99"/>
    <w:rPr>
      <w:rFonts w:ascii="Times New Roman" w:hAnsi="Times New Roman"/>
      <w:kern w:val="2"/>
      <w:sz w:val="21"/>
      <w:szCs w:val="24"/>
    </w:rPr>
  </w:style>
  <w:style w:type="paragraph" w:customStyle="1" w:styleId="36">
    <w:name w:val="Body text|1"/>
    <w:basedOn w:val="1"/>
    <w:qFormat/>
    <w:uiPriority w:val="0"/>
    <w:pPr>
      <w:spacing w:line="403" w:lineRule="auto"/>
      <w:ind w:firstLine="400"/>
    </w:pPr>
    <w:rPr>
      <w:rFonts w:ascii="宋体" w:hAnsi="宋体" w:eastAsia="宋体" w:cs="宋体"/>
      <w:sz w:val="30"/>
      <w:szCs w:val="30"/>
      <w:lang w:val="zh-TW" w:eastAsia="zh-TW" w:bidi="zh-TW"/>
    </w:rPr>
  </w:style>
  <w:style w:type="character" w:customStyle="1" w:styleId="37">
    <w:name w:val="标题 2 字符"/>
    <w:basedOn w:val="16"/>
    <w:link w:val="4"/>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0705189812590101"/>
          <c:y val="0.195459976105137"/>
          <c:w val="0.903051417587698"/>
          <c:h val="0.565113500597372"/>
        </c:manualLayout>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Sheet1!$B$2:$B$3</c:f>
              <c:numCache>
                <c:formatCode>General</c:formatCode>
                <c:ptCount val="2"/>
                <c:pt idx="0">
                  <c:v>137.5</c:v>
                </c:pt>
                <c:pt idx="1">
                  <c:v>153.02</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收入（万元）</c:v>
                </c:pt>
                <c:pt idx="1">
                  <c:v>支出（万元）</c:v>
                </c:pt>
              </c:strCache>
            </c:strRef>
          </c:cat>
          <c:val>
            <c:numRef>
              <c:f>Sheet1!$C$2:$C$3</c:f>
              <c:numCache>
                <c:formatCode>General</c:formatCode>
                <c:ptCount val="2"/>
                <c:pt idx="0">
                  <c:v>122.61</c:v>
                </c:pt>
                <c:pt idx="1">
                  <c:v>122.61</c:v>
                </c:pt>
              </c:numCache>
            </c:numRef>
          </c:val>
        </c:ser>
        <c:dLbls>
          <c:showLegendKey val="0"/>
          <c:showVal val="1"/>
          <c:showCatName val="0"/>
          <c:showSerName val="0"/>
          <c:showPercent val="0"/>
          <c:showBubbleSize val="0"/>
        </c:dLbls>
        <c:gapWidth val="75"/>
        <c:overlap val="-25"/>
        <c:axId val="13894784"/>
        <c:axId val="13896320"/>
      </c:barChart>
      <c:catAx>
        <c:axId val="1389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6320"/>
        <c:crosses val="autoZero"/>
        <c:auto val="1"/>
        <c:lblAlgn val="ctr"/>
        <c:lblOffset val="100"/>
        <c:noMultiLvlLbl val="0"/>
      </c:catAx>
      <c:valAx>
        <c:axId val="1389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947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8d69af0-5603-44b0-bb32-8764c0a8d70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369077388211837"/>
                  <c:y val="-0.4548946517767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
          <c:y val="0.172003611013591"/>
          <c:w val="0.342722102918953"/>
          <c:h val="0.60904157680926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a7de0a0-3fae-419d-952d-61a414b3f82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manualLayout>
                  <c:x val="0.00822969350267713"/>
                  <c:y val="-0.4362953027094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133.02</c:v>
                </c:pt>
                <c:pt idx="1">
                  <c:v>20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e07921-cb49-4a16-a4d6-6ef83c1558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137.5</c:v>
                </c:pt>
                <c:pt idx="1">
                  <c:v>153.02</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122.61</c:v>
                </c:pt>
                <c:pt idx="1">
                  <c:v>122.61</c:v>
                </c:pt>
              </c:numCache>
            </c:numRef>
          </c:val>
        </c:ser>
        <c:dLbls>
          <c:showLegendKey val="0"/>
          <c:showVal val="1"/>
          <c:showCatName val="0"/>
          <c:showSerName val="0"/>
          <c:showPercent val="0"/>
          <c:showBubbleSize val="0"/>
        </c:dLbls>
        <c:gapWidth val="75"/>
        <c:overlap val="-25"/>
        <c:axId val="135614848"/>
        <c:axId val="135616384"/>
      </c:barChart>
      <c:catAx>
        <c:axId val="135614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6384"/>
        <c:crosses val="autoZero"/>
        <c:auto val="1"/>
        <c:lblAlgn val="ctr"/>
        <c:lblOffset val="100"/>
        <c:noMultiLvlLbl val="0"/>
      </c:catAx>
      <c:valAx>
        <c:axId val="135616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614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3596e2a-d046-438a-9e49-6ec191c7b213}"/>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Sheet1!$B$2</c:f>
              <c:numCache>
                <c:formatCode>General</c:formatCode>
                <c:ptCount val="1"/>
                <c:pt idx="0">
                  <c:v>153.02</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c:f>
              <c:strCache>
                <c:ptCount val="1"/>
                <c:pt idx="0">
                  <c:v>一般公共预算财政拨款支出</c:v>
                </c:pt>
              </c:strCache>
            </c:strRef>
          </c:cat>
          <c:val>
            <c:numRef>
              <c:f>Sheet1!$C$2</c:f>
              <c:numCache>
                <c:formatCode>General</c:formatCode>
                <c:ptCount val="1"/>
                <c:pt idx="0">
                  <c:v>122.61</c:v>
                </c:pt>
              </c:numCache>
            </c:numRef>
          </c:val>
        </c:ser>
        <c:dLbls>
          <c:showLegendKey val="0"/>
          <c:showVal val="1"/>
          <c:showCatName val="0"/>
          <c:showSerName val="0"/>
          <c:showPercent val="0"/>
          <c:showBubbleSize val="0"/>
        </c:dLbls>
        <c:gapWidth val="75"/>
        <c:overlap val="-25"/>
        <c:axId val="130673664"/>
        <c:axId val="131789568"/>
      </c:barChart>
      <c:catAx>
        <c:axId val="13067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789568"/>
        <c:crosses val="autoZero"/>
        <c:auto val="1"/>
        <c:lblAlgn val="ctr"/>
        <c:lblOffset val="100"/>
        <c:noMultiLvlLbl val="0"/>
      </c:catAx>
      <c:valAx>
        <c:axId val="13178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673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e4ce110-b7f8-45be-be62-ce55242b1ed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manualLayout>
                  <c:x val="-0.0341964260087843"/>
                  <c:y val="-0.006483250169057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7680682346834"/>
                  <c:y val="-0.086766170190021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9.09</c:v>
                </c:pt>
                <c:pt idx="1">
                  <c:v>4.33</c:v>
                </c:pt>
                <c:pt idx="2">
                  <c:v>8.12</c:v>
                </c:pt>
                <c:pt idx="3">
                  <c:v>131.49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bfcd753-8a53-407e-88f6-9b6698651fc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53185781355"/>
          <c:y val="0.110220492866407"/>
          <c:w val="0.403112005365526"/>
          <c:h val="0.779559014267185"/>
        </c:manualLayout>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dLbl>
              <c:idx val="0"/>
              <c:delete val="1"/>
            </c:dLbl>
            <c:dLbl>
              <c:idx val="1"/>
              <c:layout>
                <c:manualLayout>
                  <c:x val="-0.00122279390166482"/>
                  <c:y val="-0.4299882342293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
          <c:y val="0.291959815367907"/>
          <c:w val="0.421152215128039"/>
          <c:h val="0.4160803692641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02b1ce-d7ef-4e04-819e-22193bf4be0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7A07-82AD-4377-99DB-4A592557A19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3085</Words>
  <Characters>3504</Characters>
  <Lines>72</Lines>
  <Paragraphs>20</Paragraphs>
  <TotalTime>3</TotalTime>
  <ScaleCrop>false</ScaleCrop>
  <LinksUpToDate>false</LinksUpToDate>
  <CharactersWithSpaces>3546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2024-10-24T02:19:03Z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C31C3877E6754BF1B8E379A2E2A6B6F7_13</vt:lpwstr>
  </property>
</Properties>
</file>