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43" w:firstLineChars="300"/>
      </w:pPr>
      <w:r>
        <w:rPr>
          <w:rFonts w:hint="eastAsia" w:ascii="黑体" w:hAnsi="黑体" w:eastAsia="黑体"/>
          <w:b/>
          <w:sz w:val="28"/>
          <w:szCs w:val="28"/>
        </w:rPr>
        <w:t>大竹县</w:t>
      </w:r>
      <w:r>
        <w:rPr>
          <w:rFonts w:hint="eastAsia" w:ascii="黑体" w:hAnsi="黑体" w:eastAsia="黑体"/>
          <w:b/>
          <w:sz w:val="28"/>
          <w:szCs w:val="28"/>
          <w:lang w:val="en-US" w:eastAsia="zh-CN"/>
        </w:rPr>
        <w:t>气象</w:t>
      </w:r>
      <w:r>
        <w:rPr>
          <w:rFonts w:hint="eastAsia" w:ascii="黑体" w:hAnsi="黑体" w:eastAsia="黑体"/>
          <w:b/>
          <w:sz w:val="28"/>
          <w:szCs w:val="28"/>
        </w:rPr>
        <w:t>局行政许可事项责任清单（2023年）</w:t>
      </w:r>
    </w:p>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1"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序  号</w:t>
            </w:r>
          </w:p>
        </w:tc>
        <w:tc>
          <w:tcPr>
            <w:tcW w:w="6872" w:type="dxa"/>
            <w:noWrap w:val="0"/>
            <w:vAlign w:val="center"/>
          </w:tcPr>
          <w:p>
            <w:pPr>
              <w:jc w:val="center"/>
              <w:textAlignment w:val="center"/>
              <w:rPr>
                <w:rFonts w:hint="eastAsia" w:ascii="宋体" w:hAnsi="宋体" w:cs="宋体"/>
                <w:color w:val="000000"/>
                <w:szCs w:val="21"/>
              </w:rPr>
            </w:pPr>
            <w:bookmarkStart w:id="0" w:name="_GoBack"/>
            <w:bookmarkEnd w:id="0"/>
            <w:r>
              <w:rPr>
                <w:rFonts w:hint="eastAsia" w:ascii="宋体" w:hAnsi="宋体" w:cs="宋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44"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权力类型</w:t>
            </w:r>
          </w:p>
        </w:tc>
        <w:tc>
          <w:tcPr>
            <w:tcW w:w="6872" w:type="dxa"/>
            <w:noWrap w:val="0"/>
            <w:vAlign w:val="center"/>
          </w:tcPr>
          <w:p>
            <w:pPr>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26"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权力项目名称</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防雷装置设计审核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70"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实施依据</w:t>
            </w:r>
          </w:p>
        </w:tc>
        <w:tc>
          <w:tcPr>
            <w:tcW w:w="6872" w:type="dxa"/>
            <w:noWrap w:val="0"/>
            <w:vAlign w:val="center"/>
          </w:tcPr>
          <w:p>
            <w:pPr>
              <w:widowControl/>
              <w:jc w:val="left"/>
              <w:rPr>
                <w:rFonts w:hint="eastAsia" w:ascii="宋体" w:hAnsi="宋体" w:cs="宋体"/>
                <w:color w:val="000000"/>
                <w:szCs w:val="21"/>
              </w:rPr>
            </w:pPr>
            <w:r>
              <w:rPr>
                <w:rFonts w:hint="eastAsia" w:ascii="宋体" w:hAnsi="宋体" w:cs="宋体"/>
                <w:color w:val="000000"/>
                <w:szCs w:val="21"/>
              </w:rPr>
              <w:t>1.《国务院对确需保留的行政审批项目设定行政许可的决定》第三百七十八项“防雷装置设计审核和竣工验收。”</w:t>
            </w:r>
          </w:p>
          <w:p>
            <w:pPr>
              <w:widowControl/>
              <w:jc w:val="left"/>
              <w:rPr>
                <w:rFonts w:hint="eastAsia" w:ascii="宋体" w:hAnsi="宋体" w:cs="宋体"/>
                <w:color w:val="000000"/>
                <w:szCs w:val="21"/>
              </w:rPr>
            </w:pPr>
            <w:r>
              <w:rPr>
                <w:rFonts w:hint="eastAsia" w:ascii="宋体" w:hAnsi="宋体" w:cs="宋体"/>
                <w:color w:val="000000"/>
                <w:szCs w:val="21"/>
              </w:rPr>
              <w:t>2.《四川省〈中华人民共和国气象法〉实施办法》第二十一条“雷电灾害防护装置的设计审核和施工监督由气象主管机构授权的单位承担。气象主管机构授权的设计审核单位应当参加建设行政主管部门组织的初步设计审查或施工图设计审查，对新建、扩建、改建的建（构筑物的雷电灾害防护装置设计进行审核。未经审核同意的设计方案，不得交付施工。工程竣工后，经气象主管机构委托的单位检测合格后，方可投入使用。”</w:t>
            </w:r>
          </w:p>
          <w:p>
            <w:pPr>
              <w:widowControl/>
              <w:jc w:val="left"/>
              <w:rPr>
                <w:rFonts w:hint="eastAsia" w:ascii="宋体" w:hAnsi="宋体" w:cs="宋体"/>
                <w:color w:val="000000"/>
                <w:kern w:val="0"/>
                <w:szCs w:val="21"/>
              </w:rPr>
            </w:pPr>
            <w:r>
              <w:rPr>
                <w:rFonts w:hint="eastAsia" w:ascii="宋体" w:hAnsi="宋体" w:cs="宋体"/>
                <w:color w:val="000000"/>
                <w:szCs w:val="21"/>
              </w:rPr>
              <w:t>3.《防雷减灾管理办法》第十七条“</w:t>
            </w:r>
            <w:r>
              <w:rPr>
                <w:rFonts w:hint="eastAsia" w:ascii="宋体" w:hAnsi="宋体" w:cs="宋体"/>
                <w:color w:val="000000"/>
                <w:kern w:val="0"/>
                <w:szCs w:val="21"/>
              </w:rPr>
              <w:t>县级以上地方气象主管机构负责本行政区域内的防雷装置的竣工验收。负责验收的气象主管机构接到申请后，应当根据具有相应资质的防雷装置检测机构出具的检测报告进行核实。符合要求的，由气象主管机构出具验收文件。不符合要求的，负责验收的气象主管机构提出整改要求，申请单位整改后重新申请竣工验收。未取得验收合格文件的防雷装置，不得投入使用。”</w:t>
            </w:r>
          </w:p>
          <w:p>
            <w:pPr>
              <w:widowControl/>
              <w:jc w:val="left"/>
              <w:rPr>
                <w:rFonts w:hint="eastAsia" w:ascii="宋体" w:hAnsi="宋体" w:cs="宋体"/>
                <w:color w:val="000000"/>
                <w:szCs w:val="21"/>
              </w:rPr>
            </w:pPr>
            <w:r>
              <w:rPr>
                <w:rFonts w:hint="eastAsia" w:ascii="宋体" w:hAnsi="宋体" w:cs="宋体"/>
                <w:color w:val="000000"/>
                <w:szCs w:val="21"/>
              </w:rPr>
              <w:t>4.《防雷装置设计审核和竣工验收规定》第七条“</w:t>
            </w:r>
            <w:r>
              <w:rPr>
                <w:rFonts w:hint="eastAsia" w:ascii="宋体" w:hAnsi="宋体" w:cs="宋体"/>
                <w:color w:val="000000"/>
                <w:kern w:val="0"/>
                <w:szCs w:val="21"/>
              </w:rPr>
              <w:t>防雷装置设计实行审核制度。建设单位应当向气象主管机构提出申请。”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3"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责任主体</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法制股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041"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责任事项</w:t>
            </w:r>
          </w:p>
        </w:tc>
        <w:tc>
          <w:tcPr>
            <w:tcW w:w="6872" w:type="dxa"/>
            <w:noWrap w:val="0"/>
            <w:vAlign w:val="center"/>
          </w:tcPr>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1.受理责任：公示应当提交的材料，一次性告知补正材料，依法受理或不予受理（不予受理应当告知理由）。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2.审查责任：审查申请材料，组织现场勘验，核实相关情况；必要时组织现场复查、听证和专家评审；</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3.决定责任：作出行政许可或者不予行政许可决定，法定告知（不予许可的应当书面告知理由）。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4.事后监管责任：开展定期和不定期检查，检查申请人是否在批准的标准内进行建设，如果超标准建设，对气象探测环境产生影响，气象主管机构做出撤销许可决定，责令限期恢复原状。</w:t>
            </w:r>
          </w:p>
          <w:p>
            <w:pPr>
              <w:jc w:val="left"/>
              <w:textAlignment w:val="center"/>
              <w:rPr>
                <w:rFonts w:hint="eastAsia" w:ascii="宋体" w:hAnsi="宋体" w:cs="宋体"/>
                <w:color w:val="000000"/>
                <w:szCs w:val="21"/>
              </w:rPr>
            </w:pPr>
            <w:r>
              <w:rPr>
                <w:rFonts w:hint="eastAsia" w:ascii="宋体" w:hAnsi="宋体" w:cs="宋体"/>
                <w:color w:val="00000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19" w:hRule="atLeas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追责情形</w:t>
            </w:r>
          </w:p>
        </w:tc>
        <w:tc>
          <w:tcPr>
            <w:tcW w:w="6872" w:type="dxa"/>
            <w:noWrap w:val="0"/>
            <w:vAlign w:val="center"/>
          </w:tcPr>
          <w:p>
            <w:pPr>
              <w:textAlignment w:val="center"/>
              <w:rPr>
                <w:rFonts w:hint="eastAsia" w:ascii="宋体" w:hAnsi="宋体" w:cs="宋体"/>
                <w:color w:val="000000"/>
                <w:szCs w:val="21"/>
              </w:rPr>
            </w:pPr>
            <w:r>
              <w:rPr>
                <w:rFonts w:hint="eastAsia" w:ascii="宋体" w:hAnsi="宋体" w:cs="宋体"/>
                <w:color w:val="000000"/>
                <w:szCs w:val="21"/>
              </w:rPr>
              <w:t xml:space="preserve">    对不履行或不正确履行行政职责的行政机关及其工作人员，依据《中华人民共和国监察法》、《行政机关公务员处分条例》</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公职人员政务处分法</w:t>
            </w:r>
            <w:r>
              <w:rPr>
                <w:rFonts w:hint="eastAsia" w:ascii="宋体" w:hAnsi="宋体" w:cs="宋体"/>
                <w:color w:val="000000"/>
                <w:szCs w:val="21"/>
              </w:rPr>
              <w:t>》</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四川省行政执法监督条例</w:t>
            </w:r>
            <w:r>
              <w:rPr>
                <w:rFonts w:hint="eastAsia" w:ascii="宋体" w:hAnsi="宋体"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3"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监督电话</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（0818）6221148</w:t>
            </w:r>
          </w:p>
        </w:tc>
      </w:tr>
    </w:tbl>
    <w:p/>
    <w:tbl>
      <w:tblPr>
        <w:tblStyle w:val="2"/>
        <w:tblW w:w="8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90" w:hRule="exact"/>
          <w:jc w:val="center"/>
        </w:trPr>
        <w:tc>
          <w:tcPr>
            <w:tcW w:w="1973" w:type="dxa"/>
            <w:tcBorders>
              <w:top w:val="nil"/>
              <w:left w:val="nil"/>
              <w:bottom w:val="single" w:color="auto" w:sz="4" w:space="0"/>
              <w:right w:val="nil"/>
            </w:tcBorders>
            <w:noWrap w:val="0"/>
            <w:vAlign w:val="center"/>
          </w:tcPr>
          <w:p>
            <w:pPr>
              <w:jc w:val="left"/>
              <w:textAlignment w:val="center"/>
              <w:rPr>
                <w:rFonts w:hint="eastAsia" w:ascii="宋体" w:hAnsi="宋体" w:eastAsia="仿宋_GB2312" w:cs="宋体"/>
                <w:color w:val="000000"/>
                <w:sz w:val="32"/>
                <w:szCs w:val="21"/>
              </w:rPr>
            </w:pPr>
          </w:p>
        </w:tc>
        <w:tc>
          <w:tcPr>
            <w:tcW w:w="6872" w:type="dxa"/>
            <w:tcBorders>
              <w:top w:val="nil"/>
              <w:left w:val="nil"/>
              <w:bottom w:val="single" w:color="auto" w:sz="4" w:space="0"/>
              <w:right w:val="nil"/>
            </w:tcBorders>
            <w:noWrap w:val="0"/>
            <w:vAlign w:val="center"/>
          </w:tcPr>
          <w:p>
            <w:pPr>
              <w:jc w:val="center"/>
              <w:textAlignment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6" w:hRule="exact"/>
          <w:jc w:val="center"/>
        </w:trPr>
        <w:tc>
          <w:tcPr>
            <w:tcW w:w="1973" w:type="dxa"/>
            <w:tcBorders>
              <w:top w:val="single" w:color="auto" w:sz="4" w:space="0"/>
            </w:tcBorders>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序  号</w:t>
            </w:r>
          </w:p>
        </w:tc>
        <w:tc>
          <w:tcPr>
            <w:tcW w:w="6872" w:type="dxa"/>
            <w:tcBorders>
              <w:top w:val="single" w:color="auto" w:sz="4" w:space="0"/>
            </w:tcBorders>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64"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权力类型</w:t>
            </w:r>
          </w:p>
        </w:tc>
        <w:tc>
          <w:tcPr>
            <w:tcW w:w="6872" w:type="dxa"/>
            <w:noWrap w:val="0"/>
            <w:vAlign w:val="center"/>
          </w:tcPr>
          <w:p>
            <w:pPr>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8"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权力项目名称</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防雷装置竣工验收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998"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实施依据</w:t>
            </w:r>
          </w:p>
        </w:tc>
        <w:tc>
          <w:tcPr>
            <w:tcW w:w="6872" w:type="dxa"/>
            <w:noWrap w:val="0"/>
            <w:vAlign w:val="center"/>
          </w:tcPr>
          <w:p>
            <w:pPr>
              <w:jc w:val="left"/>
              <w:textAlignment w:val="center"/>
              <w:rPr>
                <w:rFonts w:hint="eastAsia" w:ascii="宋体" w:hAnsi="宋体" w:cs="宋体"/>
                <w:color w:val="000000"/>
                <w:szCs w:val="21"/>
              </w:rPr>
            </w:pPr>
            <w:r>
              <w:rPr>
                <w:rFonts w:hint="eastAsia" w:ascii="宋体" w:hAnsi="宋体" w:cs="宋体"/>
                <w:color w:val="000000"/>
                <w:szCs w:val="21"/>
              </w:rPr>
              <w:t>1.《国务院对确需保留的行政审批项目设定行政许可的决定》第三百七十八项“防雷装置设计审核和竣工验收。”</w:t>
            </w:r>
          </w:p>
          <w:p>
            <w:pPr>
              <w:jc w:val="left"/>
              <w:textAlignment w:val="center"/>
              <w:rPr>
                <w:rFonts w:hint="eastAsia" w:ascii="宋体" w:hAnsi="宋体" w:cs="宋体"/>
                <w:color w:val="000000"/>
                <w:szCs w:val="21"/>
              </w:rPr>
            </w:pPr>
            <w:r>
              <w:rPr>
                <w:rFonts w:hint="eastAsia" w:ascii="宋体" w:hAnsi="宋体" w:cs="宋体"/>
                <w:color w:val="000000"/>
                <w:szCs w:val="21"/>
              </w:rPr>
              <w:t>2.《四川省〈中华人民共和国气象法〉实施办法》第二十一条“雷电灾害防护装置的设计审核和施工监督由气象主管机构授权的单位承担。气象主管机构授权的设计审核单位应当参加建设行政主管部门组织的初步设计审查或施工图设计审查，对新建、扩建、改建的建（构筑物的雷电灾害防护装置设计进行审核。未经审核同意的设计方案，不得交付施工。工程竣工后，经气象主管机构委托的单位检测合格后，方可投入使用。”</w:t>
            </w:r>
          </w:p>
          <w:p>
            <w:pPr>
              <w:jc w:val="left"/>
              <w:textAlignment w:val="center"/>
              <w:rPr>
                <w:rFonts w:hint="eastAsia" w:ascii="宋体" w:hAnsi="宋体" w:cs="宋体"/>
                <w:color w:val="000000"/>
                <w:szCs w:val="21"/>
              </w:rPr>
            </w:pPr>
            <w:r>
              <w:rPr>
                <w:rFonts w:hint="eastAsia" w:ascii="宋体" w:hAnsi="宋体" w:cs="宋体"/>
                <w:color w:val="000000"/>
                <w:szCs w:val="21"/>
              </w:rPr>
              <w:t>3.《防雷减灾管理办法》第十七条“县级以上地方气象主管机构负责本行政区域内的防雷装置的竣工验收。负责验收的气象主管机构接到申请后，应当根据具有相应资质的防雷装置检测机构出具的检测报告进行核实。符合要求的，由气象主管机构出具验收文件。不符合要求的，负责验收的气象主管机构提出整改要求，申请单位整改后重新申请竣工验收。未取得验收合格文件的防雷装置，不得投入使用。”</w:t>
            </w:r>
          </w:p>
          <w:p>
            <w:pPr>
              <w:jc w:val="left"/>
              <w:textAlignment w:val="center"/>
              <w:rPr>
                <w:rFonts w:hint="eastAsia" w:ascii="宋体" w:hAnsi="宋体" w:cs="宋体"/>
                <w:color w:val="000000"/>
                <w:szCs w:val="21"/>
              </w:rPr>
            </w:pPr>
            <w:r>
              <w:rPr>
                <w:rFonts w:hint="eastAsia" w:ascii="宋体" w:hAnsi="宋体" w:cs="宋体"/>
                <w:color w:val="000000"/>
                <w:szCs w:val="21"/>
              </w:rPr>
              <w:t>4.《防雷装置设计审核和竣工验收规定》第七条“防雷装置设计实行审核制度。建设单位应当向气象主管机构提出申请。”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8"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责任主体</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法制股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3135"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责任事项</w:t>
            </w:r>
          </w:p>
        </w:tc>
        <w:tc>
          <w:tcPr>
            <w:tcW w:w="6872" w:type="dxa"/>
            <w:noWrap w:val="0"/>
            <w:vAlign w:val="center"/>
          </w:tcPr>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1.受理责任：公示应当提交的材料，一次性告知补正材料，依法受理或不予受理（不予受理应当告知理由）。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2.审查责任：审查申请材料，组织现场勘验，核实相关情况；必要时组织现场复查、听证和专家评审；</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3.决定责任：作出行政许可或者不予行政许可决定，法定告知（不予许可的应当书面告知理由）。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4.事后监管责任：开展定期和不定期检查，检查申请人是否在批准的标准内进行建设，如果超标准建设，对气象探测环境产生影响，气象主管机构做出撤销许可决定，责令限期恢复原状。</w:t>
            </w:r>
          </w:p>
          <w:p>
            <w:pPr>
              <w:jc w:val="left"/>
              <w:textAlignment w:val="center"/>
              <w:rPr>
                <w:rFonts w:hint="eastAsia" w:ascii="宋体" w:hAnsi="宋体" w:cs="宋体"/>
                <w:color w:val="000000"/>
                <w:szCs w:val="21"/>
              </w:rPr>
            </w:pPr>
            <w:r>
              <w:rPr>
                <w:rFonts w:hint="eastAsia" w:ascii="宋体" w:hAnsi="宋体" w:cs="宋体"/>
                <w:color w:val="00000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19" w:hRule="atLeas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追责情形</w:t>
            </w:r>
          </w:p>
        </w:tc>
        <w:tc>
          <w:tcPr>
            <w:tcW w:w="6872" w:type="dxa"/>
            <w:noWrap w:val="0"/>
            <w:vAlign w:val="center"/>
          </w:tcPr>
          <w:p>
            <w:pPr>
              <w:textAlignment w:val="center"/>
              <w:rPr>
                <w:rFonts w:hint="eastAsia" w:ascii="宋体" w:hAnsi="宋体" w:cs="宋体"/>
                <w:color w:val="000000"/>
                <w:szCs w:val="21"/>
              </w:rPr>
            </w:pPr>
            <w:r>
              <w:rPr>
                <w:rFonts w:hint="eastAsia" w:ascii="宋体" w:hAnsi="宋体" w:cs="宋体"/>
                <w:color w:val="000000"/>
                <w:szCs w:val="21"/>
              </w:rPr>
              <w:t xml:space="preserve">    对不履行或不正确履行行政职责的行政机关及其工作人员，依据《中华人民共和国监察法》、《行政机关公务员处分条例》</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公职人员政务处分法</w:t>
            </w:r>
            <w:r>
              <w:rPr>
                <w:rFonts w:hint="eastAsia" w:ascii="宋体" w:hAnsi="宋体" w:cs="宋体"/>
                <w:color w:val="000000"/>
                <w:szCs w:val="21"/>
              </w:rPr>
              <w:t>》</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四川省行政执法监督条例</w:t>
            </w:r>
            <w:r>
              <w:rPr>
                <w:rFonts w:hint="eastAsia" w:ascii="宋体" w:hAnsi="宋体"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60"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监督电话</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（0818）6221148</w:t>
            </w:r>
          </w:p>
        </w:tc>
      </w:tr>
    </w:tbl>
    <w:p/>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973"/>
        <w:gridCol w:w="6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86" w:hRule="exact"/>
          <w:jc w:val="center"/>
        </w:trPr>
        <w:tc>
          <w:tcPr>
            <w:tcW w:w="1973" w:type="dxa"/>
            <w:tcBorders>
              <w:top w:val="nil"/>
              <w:left w:val="nil"/>
              <w:bottom w:val="single" w:color="auto" w:sz="4" w:space="0"/>
              <w:right w:val="nil"/>
            </w:tcBorders>
            <w:noWrap w:val="0"/>
            <w:vAlign w:val="center"/>
          </w:tcPr>
          <w:p>
            <w:pPr>
              <w:jc w:val="left"/>
              <w:textAlignment w:val="center"/>
              <w:rPr>
                <w:rFonts w:hint="eastAsia" w:ascii="宋体" w:hAnsi="宋体" w:eastAsia="仿宋_GB2312" w:cs="宋体"/>
                <w:color w:val="000000"/>
                <w:sz w:val="32"/>
                <w:szCs w:val="21"/>
              </w:rPr>
            </w:pPr>
          </w:p>
        </w:tc>
        <w:tc>
          <w:tcPr>
            <w:tcW w:w="6872" w:type="dxa"/>
            <w:tcBorders>
              <w:top w:val="nil"/>
              <w:left w:val="nil"/>
              <w:bottom w:val="single" w:color="auto" w:sz="4" w:space="0"/>
              <w:right w:val="nil"/>
            </w:tcBorders>
            <w:noWrap w:val="0"/>
            <w:vAlign w:val="center"/>
          </w:tcPr>
          <w:p>
            <w:pPr>
              <w:jc w:val="center"/>
              <w:textAlignment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1" w:hRule="exact"/>
          <w:jc w:val="center"/>
        </w:trPr>
        <w:tc>
          <w:tcPr>
            <w:tcW w:w="1973" w:type="dxa"/>
            <w:tcBorders>
              <w:top w:val="single" w:color="auto" w:sz="4" w:space="0"/>
            </w:tcBorders>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序  号</w:t>
            </w:r>
          </w:p>
        </w:tc>
        <w:tc>
          <w:tcPr>
            <w:tcW w:w="6872" w:type="dxa"/>
            <w:tcBorders>
              <w:top w:val="single" w:color="auto" w:sz="4" w:space="0"/>
            </w:tcBorders>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89"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权力类型</w:t>
            </w:r>
          </w:p>
        </w:tc>
        <w:tc>
          <w:tcPr>
            <w:tcW w:w="6872" w:type="dxa"/>
            <w:noWrap w:val="0"/>
            <w:vAlign w:val="center"/>
          </w:tcPr>
          <w:p>
            <w:pPr>
              <w:jc w:val="center"/>
              <w:textAlignment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行政许可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11"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权力项目名称</w:t>
            </w:r>
          </w:p>
        </w:tc>
        <w:tc>
          <w:tcPr>
            <w:tcW w:w="6872" w:type="dxa"/>
            <w:noWrap w:val="0"/>
            <w:vAlign w:val="center"/>
          </w:tcPr>
          <w:p>
            <w:pPr>
              <w:jc w:val="center"/>
              <w:textAlignment w:val="center"/>
              <w:rPr>
                <w:rFonts w:hint="eastAsia" w:ascii="宋体" w:hAnsi="宋体" w:eastAsia="宋体" w:cs="宋体"/>
                <w:color w:val="000000"/>
                <w:szCs w:val="21"/>
                <w:lang w:val="en-US" w:eastAsia="zh-CN"/>
              </w:rPr>
            </w:pPr>
            <w:r>
              <w:rPr>
                <w:rFonts w:hint="eastAsia" w:ascii="宋体" w:hAnsi="宋体" w:cs="宋体"/>
                <w:color w:val="000000"/>
                <w:szCs w:val="21"/>
              </w:rPr>
              <w:t>升放无人驾驶自由气球或系留气球活动</w:t>
            </w:r>
            <w:r>
              <w:rPr>
                <w:rFonts w:hint="eastAsia" w:ascii="宋体" w:hAnsi="宋体" w:cs="宋体"/>
                <w:color w:val="000000"/>
                <w:szCs w:val="21"/>
                <w:lang w:val="en-US" w:eastAsia="zh-CN"/>
              </w:rPr>
              <w:t>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73"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实施依据</w:t>
            </w:r>
          </w:p>
        </w:tc>
        <w:tc>
          <w:tcPr>
            <w:tcW w:w="6872" w:type="dxa"/>
            <w:noWrap w:val="0"/>
            <w:vAlign w:val="center"/>
          </w:tcPr>
          <w:p>
            <w:pPr>
              <w:rPr>
                <w:rFonts w:hint="eastAsia" w:ascii="宋体" w:hAnsi="宋体" w:cs="宋体"/>
                <w:color w:val="000000"/>
                <w:szCs w:val="21"/>
                <w:shd w:val="clear" w:color="auto" w:fill="FFFFFF"/>
              </w:rPr>
            </w:pPr>
            <w:r>
              <w:rPr>
                <w:rFonts w:hint="eastAsia" w:ascii="宋体" w:hAnsi="宋体" w:cs="宋体"/>
                <w:color w:val="000000"/>
                <w:szCs w:val="21"/>
              </w:rPr>
              <w:t>1.《通用航空飞行管制条例》（国务院、中央军委令第371号）第三十三条“</w:t>
            </w:r>
            <w:r>
              <w:rPr>
                <w:rFonts w:hint="eastAsia" w:ascii="宋体" w:hAnsi="宋体" w:cs="宋体"/>
                <w:color w:val="000000"/>
                <w:szCs w:val="21"/>
                <w:shd w:val="clear" w:color="auto" w:fill="FFFFFF"/>
              </w:rPr>
              <w:t>进行升放无人驾驶自由气球或者系留气球活动，必须经设区的市级以上气象主管机构会同有关部门批准。具体办法由国务院气象主管机构制定。”第三十九条“禁止在依法划设的机场范围内和机场净空保护区域内升放无人驾驶自由气球或者系留气球，但是国家另有规定的除外。”</w:t>
            </w:r>
          </w:p>
          <w:p>
            <w:pPr>
              <w:rPr>
                <w:rFonts w:hint="eastAsia" w:ascii="宋体" w:hAnsi="宋体" w:cs="宋体"/>
                <w:color w:val="000000"/>
                <w:szCs w:val="21"/>
                <w:shd w:val="clear" w:color="auto" w:fill="FFFFFF"/>
              </w:rPr>
            </w:pPr>
            <w:r>
              <w:rPr>
                <w:rFonts w:hint="eastAsia" w:ascii="宋体" w:hAnsi="宋体" w:cs="宋体"/>
                <w:color w:val="000000"/>
                <w:szCs w:val="21"/>
              </w:rPr>
              <w:t>2.《施放气球管理办法》第十三条“</w:t>
            </w:r>
            <w:r>
              <w:rPr>
                <w:rFonts w:hint="eastAsia" w:ascii="宋体" w:hAnsi="宋体" w:cs="宋体"/>
                <w:color w:val="000000"/>
                <w:szCs w:val="21"/>
                <w:shd w:val="clear" w:color="auto" w:fill="FFFFFF"/>
              </w:rPr>
              <w:t>施放气球单位施放无人驾驶自由气球至少提前5天 、施放系留气球至少提前3天向施放所在地的设区的市级气象主管机构或者其委托的县级气象主管机构（以下简称许可机构）提出申请，并按要求如实填写《施放气球作业申报表2-》，提供《施放气球资质证》原件及复印件等材料。”第三十四条“对于群放单个总质量小于4千克的无人驾驶自由气球、施放直径小于1.8米或者体积容量小于3.2立方米的系留气球的管理，参照本办法执行。”</w:t>
            </w:r>
          </w:p>
          <w:p>
            <w:pPr>
              <w:rPr>
                <w:rFonts w:hint="eastAsia" w:ascii="宋体" w:hAnsi="宋体" w:cs="宋体"/>
                <w:color w:val="000000"/>
                <w:szCs w:val="21"/>
              </w:rPr>
            </w:pPr>
            <w:r>
              <w:rPr>
                <w:rFonts w:hint="eastAsia" w:ascii="宋体" w:hAnsi="宋体" w:cs="宋体"/>
                <w:color w:val="000000"/>
                <w:szCs w:val="21"/>
                <w:shd w:val="clear" w:color="auto" w:fill="FFFFFF"/>
              </w:rPr>
              <w:t>3.</w:t>
            </w:r>
            <w:r>
              <w:rPr>
                <w:rFonts w:hint="eastAsia" w:ascii="宋体" w:hAnsi="宋体" w:cs="宋体"/>
                <w:color w:val="000000"/>
                <w:szCs w:val="21"/>
              </w:rPr>
              <w:t>《四川省升空气球和系留气球灌充施放安全管理办法》第八条“施放升空气球或者系留气球，施放单位应当在拟施放3天前报当地气象主管机构批准。施放总质量大于4千克的升空气球，应当在拟施放2天前持市、州气象主管机构的批准文件向当地飞行管制部门提出施放申请；飞行管制部门应当在拟施放1天前作出批准或者不予批准的决定，并通知申请人。禁止在依法划设的机场范围内和机场净空保护区域内施放升空气球或者系留气球，国家另有规定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708"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责任主体</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法制股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911"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责任事项</w:t>
            </w:r>
          </w:p>
        </w:tc>
        <w:tc>
          <w:tcPr>
            <w:tcW w:w="6872" w:type="dxa"/>
            <w:noWrap w:val="0"/>
            <w:vAlign w:val="center"/>
          </w:tcPr>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1.受理责任：公示应当提交的材料，一次性告知补正材料，依法受理或不予受理（不予受理应当告知理由）。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2.审查责任：审查申请材料，组织现场勘验，核实相关情况；必要时组织现场复查、听证和专家评审；</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3.决定责任：作出行政许可或者不予行政许可决定，法定告知（不予许可的应当书面告知理由）。</w:t>
            </w:r>
          </w:p>
          <w:p>
            <w:pPr>
              <w:ind w:left="210" w:hanging="210" w:hangingChars="100"/>
              <w:jc w:val="left"/>
              <w:textAlignment w:val="center"/>
              <w:rPr>
                <w:rFonts w:hint="eastAsia" w:ascii="宋体" w:hAnsi="宋体" w:cs="宋体"/>
                <w:color w:val="000000"/>
                <w:szCs w:val="21"/>
              </w:rPr>
            </w:pPr>
            <w:r>
              <w:rPr>
                <w:rFonts w:hint="eastAsia" w:ascii="宋体" w:hAnsi="宋体" w:cs="宋体"/>
                <w:color w:val="000000"/>
                <w:szCs w:val="21"/>
              </w:rPr>
              <w:t>4.事后监管责任：开展定期和不定期检查，检查申请人是否在批准的标准内进行建设，如果超标准建设，对气象探测环境产生影响，气象主管机构做出撤销许可决定，责令限期恢复原状。</w:t>
            </w:r>
          </w:p>
          <w:p>
            <w:pPr>
              <w:jc w:val="left"/>
              <w:textAlignment w:val="center"/>
              <w:rPr>
                <w:rFonts w:hint="eastAsia" w:ascii="宋体" w:hAnsi="宋体" w:cs="宋体"/>
                <w:color w:val="000000"/>
                <w:szCs w:val="21"/>
              </w:rPr>
            </w:pPr>
            <w:r>
              <w:rPr>
                <w:rFonts w:hint="eastAsia" w:ascii="宋体" w:hAnsi="宋体" w:cs="宋体"/>
                <w:color w:val="000000"/>
                <w:szCs w:val="21"/>
              </w:rPr>
              <w:t>5.其他责任：法律法规规章文件规定应履行的其他责任。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319" w:hRule="atLeas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追责情形</w:t>
            </w:r>
          </w:p>
        </w:tc>
        <w:tc>
          <w:tcPr>
            <w:tcW w:w="6872" w:type="dxa"/>
            <w:noWrap w:val="0"/>
            <w:vAlign w:val="center"/>
          </w:tcPr>
          <w:p>
            <w:pPr>
              <w:textAlignment w:val="center"/>
              <w:rPr>
                <w:rFonts w:hint="eastAsia" w:ascii="宋体" w:hAnsi="宋体" w:cs="宋体"/>
                <w:color w:val="000000"/>
                <w:szCs w:val="21"/>
              </w:rPr>
            </w:pPr>
            <w:r>
              <w:rPr>
                <w:rFonts w:hint="eastAsia" w:ascii="宋体" w:hAnsi="宋体" w:cs="宋体"/>
                <w:color w:val="000000"/>
                <w:szCs w:val="21"/>
              </w:rPr>
              <w:t xml:space="preserve">    对不履行或不正确履行行政职责的行政机关及其工作人员，依据《中华人民共和国监察法》、《行政机关公务员处分条例》</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公职人员政务处分法</w:t>
            </w:r>
            <w:r>
              <w:rPr>
                <w:rFonts w:hint="eastAsia" w:ascii="宋体" w:hAnsi="宋体" w:cs="宋体"/>
                <w:color w:val="000000"/>
                <w:szCs w:val="21"/>
              </w:rPr>
              <w:t>》</w:t>
            </w:r>
            <w:r>
              <w:rPr>
                <w:rFonts w:hint="eastAsia" w:ascii="宋体" w:hAnsi="宋体" w:cs="宋体"/>
                <w:color w:val="000000"/>
                <w:szCs w:val="21"/>
                <w:lang w:eastAsia="zh-CN"/>
              </w:rPr>
              <w:t>、</w:t>
            </w:r>
            <w:r>
              <w:rPr>
                <w:rFonts w:hint="eastAsia" w:ascii="宋体" w:hAnsi="宋体" w:cs="宋体"/>
                <w:color w:val="000000"/>
                <w:szCs w:val="21"/>
              </w:rPr>
              <w:t>《</w:t>
            </w:r>
            <w:r>
              <w:rPr>
                <w:rFonts w:hint="eastAsia" w:ascii="宋体" w:hAnsi="宋体" w:cs="宋体"/>
                <w:color w:val="000000"/>
                <w:szCs w:val="21"/>
                <w:lang w:val="en-US" w:eastAsia="zh-CN"/>
              </w:rPr>
              <w:t>四川省行政执法监督条例</w:t>
            </w:r>
            <w:r>
              <w:rPr>
                <w:rFonts w:hint="eastAsia" w:ascii="宋体" w:hAnsi="宋体" w:cs="宋体"/>
                <w:color w:val="000000"/>
                <w:szCs w:val="21"/>
              </w:rPr>
              <w:t>》等法律法规规章的相关规定追究相应的责任。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73" w:hRule="exact"/>
          <w:jc w:val="center"/>
        </w:trPr>
        <w:tc>
          <w:tcPr>
            <w:tcW w:w="1973"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监督电话</w:t>
            </w:r>
          </w:p>
        </w:tc>
        <w:tc>
          <w:tcPr>
            <w:tcW w:w="6872" w:type="dxa"/>
            <w:noWrap w:val="0"/>
            <w:vAlign w:val="center"/>
          </w:tcPr>
          <w:p>
            <w:pPr>
              <w:jc w:val="center"/>
              <w:textAlignment w:val="center"/>
              <w:rPr>
                <w:rFonts w:hint="eastAsia" w:ascii="宋体" w:hAnsi="宋体" w:cs="宋体"/>
                <w:color w:val="000000"/>
                <w:szCs w:val="21"/>
              </w:rPr>
            </w:pPr>
            <w:r>
              <w:rPr>
                <w:rFonts w:hint="eastAsia" w:ascii="宋体" w:hAnsi="宋体" w:cs="宋体"/>
                <w:color w:val="000000"/>
                <w:szCs w:val="21"/>
              </w:rPr>
              <w:t>（0818）6221148</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2Y2FjOTZmMjk0ZGZjYzM3YWI4YzIwMjQwZDYzMDYifQ=="/>
  </w:docVars>
  <w:rsids>
    <w:rsidRoot w:val="72DD0386"/>
    <w:rsid w:val="262D044F"/>
    <w:rsid w:val="32B12408"/>
    <w:rsid w:val="653E7CA9"/>
    <w:rsid w:val="72DD03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2023-10-30T02:08:00Z</dcterms:created>
  <dc:creator>青玄</dc:creator>
  <cp:lastModifiedBy>青玄</cp:lastModifiedBy>
  <cp:lastPrinted>2023-10-30T02:12:26Z</cp:lastPrinted>
  <dcterms:modified xsi:type="dcterms:W3CDTF">2023-10-30T02:37:15Z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A49EC4DE7EB54881812F4E9B39E4DBC9_11</vt:lpwstr>
  </property>
</Properties>
</file>