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7E" w:rsidRDefault="002D517E">
      <w:pPr>
        <w:spacing w:line="600" w:lineRule="exact"/>
        <w:jc w:val="left"/>
        <w:outlineLvl w:val="0"/>
        <w:rPr>
          <w:rFonts w:ascii="方正小标宋简体" w:eastAsia="方正小标宋简体"/>
          <w:szCs w:val="21"/>
        </w:rPr>
      </w:pPr>
      <w:bookmarkStart w:id="0" w:name="_Toc15306267"/>
    </w:p>
    <w:p w:rsidR="002D517E" w:rsidRDefault="002D517E">
      <w:pPr>
        <w:pStyle w:val="a3"/>
        <w:spacing w:beforeLines="0"/>
      </w:pPr>
    </w:p>
    <w:p w:rsidR="002D517E" w:rsidRDefault="002D517E">
      <w:pPr>
        <w:spacing w:line="600" w:lineRule="exact"/>
        <w:jc w:val="center"/>
        <w:outlineLvl w:val="0"/>
        <w:rPr>
          <w:rFonts w:ascii="方正小标宋简体" w:eastAsia="方正小标宋简体"/>
          <w:sz w:val="72"/>
          <w:szCs w:val="72"/>
        </w:rPr>
      </w:pPr>
    </w:p>
    <w:p w:rsidR="002D517E" w:rsidRDefault="002D517E">
      <w:pPr>
        <w:spacing w:line="600" w:lineRule="exact"/>
        <w:jc w:val="center"/>
        <w:outlineLvl w:val="0"/>
        <w:rPr>
          <w:rFonts w:ascii="方正小标宋简体" w:eastAsia="方正小标宋简体"/>
          <w:sz w:val="72"/>
          <w:szCs w:val="72"/>
        </w:rPr>
      </w:pPr>
    </w:p>
    <w:p w:rsidR="002D517E" w:rsidRDefault="00A63916">
      <w:pPr>
        <w:adjustRightInd w:val="0"/>
        <w:snapToGrid w:val="0"/>
        <w:spacing w:line="360" w:lineRule="auto"/>
        <w:jc w:val="center"/>
        <w:outlineLvl w:val="0"/>
        <w:rPr>
          <w:rFonts w:ascii="方正小标宋简体" w:eastAsia="方正小标宋简体" w:cs="方正小标宋简体"/>
          <w:sz w:val="72"/>
          <w:szCs w:val="72"/>
        </w:rPr>
      </w:pPr>
      <w:bookmarkStart w:id="1" w:name="_Toc15377425"/>
      <w:bookmarkStart w:id="2" w:name="_Toc15378441"/>
      <w:bookmarkStart w:id="3" w:name="_Toc15396475"/>
      <w:bookmarkStart w:id="4" w:name="_Toc15377193"/>
      <w:bookmarkStart w:id="5" w:name="_Toc15396597"/>
      <w:r>
        <w:rPr>
          <w:rFonts w:ascii="方正小标宋简体" w:eastAsia="方正小标宋简体" w:cs="方正小标宋简体" w:hint="eastAsia"/>
          <w:sz w:val="72"/>
          <w:szCs w:val="72"/>
        </w:rPr>
        <w:t>2023</w:t>
      </w:r>
      <w:r>
        <w:rPr>
          <w:rFonts w:ascii="方正小标宋简体" w:eastAsia="方正小标宋简体" w:cs="方正小标宋简体" w:hint="eastAsia"/>
          <w:sz w:val="72"/>
          <w:szCs w:val="72"/>
        </w:rPr>
        <w:t>年度</w:t>
      </w:r>
      <w:bookmarkEnd w:id="1"/>
      <w:bookmarkEnd w:id="2"/>
      <w:bookmarkEnd w:id="3"/>
      <w:bookmarkEnd w:id="4"/>
      <w:bookmarkEnd w:id="5"/>
    </w:p>
    <w:p w:rsidR="002D517E" w:rsidRDefault="00A63916">
      <w:pPr>
        <w:adjustRightInd w:val="0"/>
        <w:snapToGrid w:val="0"/>
        <w:spacing w:line="360" w:lineRule="auto"/>
        <w:jc w:val="center"/>
        <w:outlineLvl w:val="0"/>
        <w:rPr>
          <w:rFonts w:ascii="方正小标宋简体" w:eastAsia="方正小标宋简体" w:cs="方正小标宋简体"/>
          <w:sz w:val="72"/>
          <w:szCs w:val="72"/>
        </w:rPr>
      </w:pPr>
      <w:bookmarkStart w:id="6" w:name="_Toc15377194"/>
      <w:bookmarkStart w:id="7" w:name="_Toc15396476"/>
      <w:bookmarkStart w:id="8" w:name="_Toc15396598"/>
      <w:bookmarkStart w:id="9" w:name="_Toc15306268"/>
      <w:bookmarkStart w:id="10" w:name="_Toc15378442"/>
      <w:bookmarkStart w:id="11" w:name="_Toc15377426"/>
      <w:bookmarkEnd w:id="0"/>
      <w:r>
        <w:rPr>
          <w:rFonts w:ascii="方正小标宋简体" w:eastAsia="方正小标宋简体" w:hint="eastAsia"/>
          <w:color w:val="000000"/>
          <w:sz w:val="72"/>
          <w:szCs w:val="72"/>
        </w:rPr>
        <w:t>大竹县</w:t>
      </w:r>
      <w:r>
        <w:rPr>
          <w:rFonts w:ascii="方正小标宋简体" w:eastAsia="方正小标宋简体" w:hint="eastAsia"/>
          <w:color w:val="000000"/>
          <w:sz w:val="72"/>
          <w:szCs w:val="72"/>
        </w:rPr>
        <w:t>残疾人就业服务所</w:t>
      </w:r>
      <w:r>
        <w:rPr>
          <w:rFonts w:ascii="方正小标宋简体" w:eastAsia="方正小标宋简体" w:cs="方正小标宋简体" w:hint="eastAsia"/>
          <w:sz w:val="72"/>
          <w:szCs w:val="72"/>
        </w:rPr>
        <w:t>单位决算</w:t>
      </w:r>
      <w:bookmarkEnd w:id="6"/>
      <w:bookmarkEnd w:id="7"/>
      <w:bookmarkEnd w:id="8"/>
      <w:bookmarkEnd w:id="9"/>
      <w:bookmarkEnd w:id="10"/>
      <w:bookmarkEnd w:id="11"/>
    </w:p>
    <w:p w:rsidR="002D517E" w:rsidRDefault="00A63916">
      <w:pPr>
        <w:widowControl/>
        <w:jc w:val="center"/>
        <w:rPr>
          <w:rFonts w:ascii="黑体" w:eastAsia="黑体"/>
          <w:sz w:val="48"/>
          <w:szCs w:val="48"/>
        </w:rPr>
      </w:pPr>
      <w:r>
        <w:rPr>
          <w:rFonts w:ascii="方正小标宋简体" w:eastAsia="方正小标宋简体"/>
          <w:sz w:val="36"/>
          <w:szCs w:val="36"/>
        </w:rPr>
        <w:br w:type="page"/>
      </w:r>
      <w:r>
        <w:rPr>
          <w:rFonts w:ascii="黑体" w:eastAsia="黑体" w:hint="eastAsia"/>
          <w:sz w:val="48"/>
          <w:szCs w:val="48"/>
        </w:rPr>
        <w:lastRenderedPageBreak/>
        <w:t>目录</w:t>
      </w:r>
    </w:p>
    <w:p w:rsidR="002D517E" w:rsidRDefault="002D517E">
      <w:pPr>
        <w:widowControl/>
        <w:jc w:val="center"/>
        <w:rPr>
          <w:rFonts w:ascii="黑体" w:eastAsia="黑体" w:cs="Arial"/>
          <w:sz w:val="28"/>
          <w:szCs w:val="28"/>
        </w:rPr>
      </w:pPr>
    </w:p>
    <w:p w:rsidR="002D517E" w:rsidRDefault="00A63916">
      <w:pPr>
        <w:pStyle w:val="10"/>
      </w:pPr>
      <w:r>
        <w:rPr>
          <w:rFonts w:hint="eastAsia"/>
        </w:rPr>
        <w:t>公开时间：</w:t>
      </w:r>
      <w:r>
        <w:rPr>
          <w:rFonts w:hint="eastAsia"/>
        </w:rPr>
        <w:t>202</w:t>
      </w:r>
      <w:r>
        <w:rPr>
          <w:rFonts w:hint="eastAsia"/>
        </w:rPr>
        <w:t>4</w:t>
      </w:r>
      <w:r>
        <w:rPr>
          <w:rFonts w:hint="eastAsia"/>
        </w:rPr>
        <w:t>年</w:t>
      </w:r>
      <w:r>
        <w:rPr>
          <w:rFonts w:hint="eastAsia"/>
        </w:rPr>
        <w:t>10</w:t>
      </w:r>
      <w:r>
        <w:rPr>
          <w:rFonts w:hint="eastAsia"/>
        </w:rPr>
        <w:t>月</w:t>
      </w:r>
      <w:r>
        <w:rPr>
          <w:rFonts w:hint="eastAsia"/>
        </w:rPr>
        <w:t>18</w:t>
      </w:r>
      <w:r>
        <w:rPr>
          <w:rFonts w:hint="eastAsia"/>
        </w:rPr>
        <w:t>日</w:t>
      </w:r>
    </w:p>
    <w:p w:rsidR="002D517E" w:rsidRDefault="002D517E"/>
    <w:p w:rsidR="002D517E" w:rsidRDefault="00A63916">
      <w:pPr>
        <w:pStyle w:val="10"/>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p>
    <w:p w:rsidR="002D517E" w:rsidRDefault="00A63916" w:rsidP="00A63916">
      <w:pPr>
        <w:pStyle w:val="20"/>
        <w:adjustRightInd w:val="0"/>
        <w:snapToGrid w:val="0"/>
        <w:spacing w:line="440" w:lineRule="exact"/>
        <w:ind w:left="420"/>
        <w:jc w:val="left"/>
        <w:rPr>
          <w:sz w:val="24"/>
        </w:rPr>
      </w:pPr>
      <w:r>
        <w:rPr>
          <w:rFonts w:hint="eastAsia"/>
          <w:sz w:val="24"/>
        </w:rPr>
        <w:t>一、主要职责</w:t>
      </w:r>
    </w:p>
    <w:p w:rsidR="002D517E" w:rsidRDefault="00A63916" w:rsidP="00A63916">
      <w:pPr>
        <w:pStyle w:val="20"/>
        <w:adjustRightInd w:val="0"/>
        <w:snapToGrid w:val="0"/>
        <w:spacing w:line="440" w:lineRule="exact"/>
        <w:ind w:left="420"/>
        <w:jc w:val="left"/>
      </w:pPr>
      <w:r>
        <w:rPr>
          <w:rFonts w:hint="eastAsia"/>
          <w:sz w:val="24"/>
        </w:rPr>
        <w:t>二、机构设置</w:t>
      </w:r>
    </w:p>
    <w:p w:rsidR="002D517E" w:rsidRDefault="00A63916">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2023</w:t>
      </w:r>
      <w:r>
        <w:rPr>
          <w:rFonts w:hint="eastAsia"/>
          <w:sz w:val="24"/>
        </w:rPr>
        <w:t>年度单位决算情况说明</w:t>
      </w:r>
    </w:p>
    <w:p w:rsidR="002D517E" w:rsidRDefault="00A63916" w:rsidP="00A63916">
      <w:pPr>
        <w:pStyle w:val="20"/>
        <w:adjustRightInd w:val="0"/>
        <w:snapToGrid w:val="0"/>
        <w:spacing w:line="440" w:lineRule="exact"/>
        <w:ind w:left="420"/>
        <w:jc w:val="left"/>
        <w:rPr>
          <w:rFonts w:ascii="仿宋" w:eastAsia="仿宋" w:cs="Arial"/>
          <w:sz w:val="24"/>
        </w:rPr>
      </w:pPr>
      <w:r>
        <w:rPr>
          <w:rFonts w:hint="eastAsia"/>
          <w:sz w:val="24"/>
        </w:rPr>
        <w:t>一、收入支出决算总体情况说明</w:t>
      </w:r>
    </w:p>
    <w:p w:rsidR="002D517E" w:rsidRDefault="00A63916" w:rsidP="00A63916">
      <w:pPr>
        <w:pStyle w:val="20"/>
        <w:adjustRightInd w:val="0"/>
        <w:snapToGrid w:val="0"/>
        <w:spacing w:line="440" w:lineRule="exact"/>
        <w:ind w:left="420"/>
        <w:jc w:val="left"/>
        <w:rPr>
          <w:rFonts w:ascii="仿宋" w:eastAsia="仿宋" w:cs="Arial"/>
          <w:sz w:val="24"/>
        </w:rPr>
      </w:pPr>
      <w:r>
        <w:rPr>
          <w:rFonts w:hint="eastAsia"/>
          <w:sz w:val="24"/>
        </w:rPr>
        <w:t>二、收入决算情况说明</w:t>
      </w:r>
    </w:p>
    <w:p w:rsidR="002D517E" w:rsidRDefault="00A63916" w:rsidP="00A63916">
      <w:pPr>
        <w:pStyle w:val="20"/>
        <w:adjustRightInd w:val="0"/>
        <w:snapToGrid w:val="0"/>
        <w:spacing w:line="440" w:lineRule="exact"/>
        <w:ind w:left="420"/>
        <w:jc w:val="left"/>
        <w:rPr>
          <w:rFonts w:ascii="仿宋" w:eastAsia="仿宋" w:cs="Arial"/>
          <w:sz w:val="24"/>
        </w:rPr>
      </w:pPr>
      <w:r>
        <w:rPr>
          <w:rFonts w:hint="eastAsia"/>
          <w:sz w:val="24"/>
        </w:rPr>
        <w:t>三、支出决算情况说明</w:t>
      </w:r>
    </w:p>
    <w:p w:rsidR="002D517E" w:rsidRDefault="00A63916" w:rsidP="00A63916">
      <w:pPr>
        <w:pStyle w:val="20"/>
        <w:adjustRightInd w:val="0"/>
        <w:snapToGrid w:val="0"/>
        <w:spacing w:line="440" w:lineRule="exact"/>
        <w:ind w:left="420"/>
        <w:jc w:val="left"/>
        <w:rPr>
          <w:rFonts w:ascii="仿宋" w:eastAsia="仿宋" w:cs="Arial"/>
          <w:sz w:val="24"/>
        </w:rPr>
      </w:pPr>
      <w:r>
        <w:rPr>
          <w:rFonts w:hint="eastAsia"/>
          <w:sz w:val="24"/>
        </w:rPr>
        <w:t>四、财政拨款收入支出决算总体情况说明</w:t>
      </w:r>
    </w:p>
    <w:p w:rsidR="002D517E" w:rsidRDefault="00A63916" w:rsidP="00A63916">
      <w:pPr>
        <w:pStyle w:val="20"/>
        <w:adjustRightInd w:val="0"/>
        <w:snapToGrid w:val="0"/>
        <w:spacing w:line="440" w:lineRule="exact"/>
        <w:ind w:left="420"/>
        <w:jc w:val="left"/>
        <w:rPr>
          <w:rFonts w:ascii="仿宋" w:eastAsia="仿宋" w:cs="Arial"/>
          <w:sz w:val="24"/>
        </w:rPr>
      </w:pPr>
      <w:r>
        <w:rPr>
          <w:rFonts w:hint="eastAsia"/>
          <w:sz w:val="24"/>
        </w:rPr>
        <w:t>五、一般公共预算财政拨款支出决算情况说明</w:t>
      </w:r>
    </w:p>
    <w:p w:rsidR="002D517E" w:rsidRDefault="00A63916" w:rsidP="00A63916">
      <w:pPr>
        <w:pStyle w:val="20"/>
        <w:adjustRightInd w:val="0"/>
        <w:snapToGrid w:val="0"/>
        <w:spacing w:line="440" w:lineRule="exact"/>
        <w:ind w:left="420"/>
        <w:jc w:val="left"/>
        <w:rPr>
          <w:rFonts w:ascii="仿宋" w:eastAsia="仿宋" w:cs="Arial"/>
          <w:sz w:val="24"/>
        </w:rPr>
      </w:pPr>
      <w:r>
        <w:rPr>
          <w:rFonts w:hint="eastAsia"/>
          <w:sz w:val="24"/>
        </w:rPr>
        <w:t>六、一般公共预算财政拨款基本支出决算情况说明</w:t>
      </w:r>
    </w:p>
    <w:p w:rsidR="002D517E" w:rsidRDefault="00A63916" w:rsidP="00A63916">
      <w:pPr>
        <w:pStyle w:val="20"/>
        <w:adjustRightInd w:val="0"/>
        <w:snapToGrid w:val="0"/>
        <w:spacing w:line="440" w:lineRule="exact"/>
        <w:ind w:left="420"/>
        <w:jc w:val="left"/>
        <w:rPr>
          <w:rFonts w:ascii="仿宋" w:eastAsia="仿宋" w:cs="Arial"/>
          <w:sz w:val="24"/>
        </w:rPr>
      </w:pPr>
      <w:r>
        <w:rPr>
          <w:rFonts w:hint="eastAsia"/>
          <w:sz w:val="24"/>
        </w:rPr>
        <w:t>七、财政拨款“三公”经费支出决算情况说明</w:t>
      </w:r>
    </w:p>
    <w:p w:rsidR="002D517E" w:rsidRDefault="00A63916" w:rsidP="00A63916">
      <w:pPr>
        <w:pStyle w:val="20"/>
        <w:adjustRightInd w:val="0"/>
        <w:snapToGrid w:val="0"/>
        <w:spacing w:line="440" w:lineRule="exact"/>
        <w:ind w:left="420"/>
        <w:jc w:val="left"/>
        <w:rPr>
          <w:rFonts w:ascii="仿宋" w:eastAsia="仿宋" w:cs="Arial"/>
          <w:sz w:val="24"/>
        </w:rPr>
      </w:pPr>
      <w:r>
        <w:rPr>
          <w:rFonts w:hint="eastAsia"/>
          <w:sz w:val="24"/>
        </w:rPr>
        <w:t>八、政府性基金预算支出决算情况说明</w:t>
      </w:r>
    </w:p>
    <w:p w:rsidR="002D517E" w:rsidRDefault="00A63916" w:rsidP="00A63916">
      <w:pPr>
        <w:pStyle w:val="20"/>
        <w:adjustRightInd w:val="0"/>
        <w:snapToGrid w:val="0"/>
        <w:spacing w:line="440" w:lineRule="exact"/>
        <w:ind w:left="420"/>
        <w:jc w:val="left"/>
        <w:rPr>
          <w:sz w:val="24"/>
        </w:rPr>
      </w:pPr>
      <w:r>
        <w:rPr>
          <w:rFonts w:hint="eastAsia"/>
          <w:sz w:val="24"/>
        </w:rPr>
        <w:t>九、国有资本经营预算支出决算情况说明</w:t>
      </w:r>
    </w:p>
    <w:p w:rsidR="002D517E" w:rsidRDefault="00A63916" w:rsidP="00A63916">
      <w:pPr>
        <w:pStyle w:val="20"/>
        <w:adjustRightInd w:val="0"/>
        <w:snapToGrid w:val="0"/>
        <w:spacing w:line="440" w:lineRule="exact"/>
        <w:ind w:left="420"/>
        <w:jc w:val="left"/>
        <w:rPr>
          <w:sz w:val="24"/>
        </w:rPr>
      </w:pPr>
      <w:r>
        <w:rPr>
          <w:rFonts w:hint="eastAsia"/>
          <w:sz w:val="24"/>
        </w:rPr>
        <w:t>十、其他重要事项的情况说明</w:t>
      </w:r>
    </w:p>
    <w:p w:rsidR="002D517E" w:rsidRDefault="00A63916">
      <w:pPr>
        <w:pStyle w:val="10"/>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p>
    <w:p w:rsidR="002D517E" w:rsidRDefault="00A63916">
      <w:pPr>
        <w:pStyle w:val="10"/>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p>
    <w:p w:rsidR="002D517E" w:rsidRDefault="00A63916">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p>
    <w:p w:rsidR="002D517E" w:rsidRDefault="00A63916" w:rsidP="00A63916">
      <w:pPr>
        <w:pStyle w:val="20"/>
        <w:adjustRightInd w:val="0"/>
        <w:snapToGrid w:val="0"/>
        <w:spacing w:line="440" w:lineRule="exact"/>
        <w:ind w:left="420"/>
        <w:jc w:val="left"/>
        <w:rPr>
          <w:sz w:val="24"/>
        </w:rPr>
      </w:pPr>
      <w:r>
        <w:rPr>
          <w:rFonts w:hint="eastAsia"/>
          <w:sz w:val="24"/>
        </w:rPr>
        <w:t>一、收入支出决算总表</w:t>
      </w:r>
    </w:p>
    <w:p w:rsidR="002D517E" w:rsidRDefault="00A63916" w:rsidP="00A63916">
      <w:pPr>
        <w:pStyle w:val="20"/>
        <w:adjustRightInd w:val="0"/>
        <w:snapToGrid w:val="0"/>
        <w:spacing w:line="440" w:lineRule="exact"/>
        <w:ind w:left="420"/>
        <w:jc w:val="left"/>
        <w:rPr>
          <w:sz w:val="24"/>
        </w:rPr>
      </w:pPr>
      <w:r>
        <w:rPr>
          <w:rFonts w:hint="eastAsia"/>
          <w:sz w:val="24"/>
        </w:rPr>
        <w:t>二、收入决算表</w:t>
      </w:r>
    </w:p>
    <w:p w:rsidR="002D517E" w:rsidRDefault="00A63916" w:rsidP="00A63916">
      <w:pPr>
        <w:pStyle w:val="20"/>
        <w:adjustRightInd w:val="0"/>
        <w:snapToGrid w:val="0"/>
        <w:spacing w:line="440" w:lineRule="exact"/>
        <w:ind w:left="420"/>
        <w:jc w:val="left"/>
        <w:rPr>
          <w:sz w:val="24"/>
        </w:rPr>
      </w:pPr>
      <w:r>
        <w:rPr>
          <w:rFonts w:hint="eastAsia"/>
          <w:sz w:val="24"/>
        </w:rPr>
        <w:t>三、支出决算表</w:t>
      </w:r>
    </w:p>
    <w:p w:rsidR="002D517E" w:rsidRDefault="00A63916" w:rsidP="00A63916">
      <w:pPr>
        <w:pStyle w:val="20"/>
        <w:adjustRightInd w:val="0"/>
        <w:snapToGrid w:val="0"/>
        <w:spacing w:line="440" w:lineRule="exact"/>
        <w:ind w:left="420"/>
        <w:jc w:val="left"/>
        <w:rPr>
          <w:sz w:val="24"/>
        </w:rPr>
      </w:pPr>
      <w:r>
        <w:rPr>
          <w:rFonts w:hint="eastAsia"/>
          <w:sz w:val="24"/>
        </w:rPr>
        <w:t>四、财政拨款收入支出决算总表</w:t>
      </w:r>
    </w:p>
    <w:p w:rsidR="002D517E" w:rsidRDefault="00A63916" w:rsidP="00A63916">
      <w:pPr>
        <w:pStyle w:val="20"/>
        <w:adjustRightInd w:val="0"/>
        <w:snapToGrid w:val="0"/>
        <w:spacing w:line="440" w:lineRule="exact"/>
        <w:ind w:left="420"/>
        <w:jc w:val="left"/>
        <w:rPr>
          <w:sz w:val="24"/>
        </w:rPr>
      </w:pPr>
      <w:r>
        <w:rPr>
          <w:rFonts w:hint="eastAsia"/>
          <w:sz w:val="24"/>
        </w:rPr>
        <w:t>五、财政拨款支出决算明细表</w:t>
      </w:r>
    </w:p>
    <w:p w:rsidR="002D517E" w:rsidRDefault="00A63916" w:rsidP="00A63916">
      <w:pPr>
        <w:pStyle w:val="20"/>
        <w:adjustRightInd w:val="0"/>
        <w:snapToGrid w:val="0"/>
        <w:spacing w:line="440" w:lineRule="exact"/>
        <w:ind w:left="420"/>
        <w:jc w:val="left"/>
        <w:rPr>
          <w:sz w:val="24"/>
        </w:rPr>
      </w:pPr>
      <w:r>
        <w:rPr>
          <w:rFonts w:hint="eastAsia"/>
          <w:sz w:val="24"/>
        </w:rPr>
        <w:t>六、一般公共预算财政拨款支出决算表</w:t>
      </w:r>
    </w:p>
    <w:p w:rsidR="002D517E" w:rsidRDefault="00A63916" w:rsidP="00A63916">
      <w:pPr>
        <w:pStyle w:val="20"/>
        <w:adjustRightInd w:val="0"/>
        <w:snapToGrid w:val="0"/>
        <w:spacing w:line="440" w:lineRule="exact"/>
        <w:ind w:left="420"/>
        <w:jc w:val="left"/>
        <w:rPr>
          <w:sz w:val="24"/>
        </w:rPr>
      </w:pPr>
      <w:r>
        <w:rPr>
          <w:rFonts w:hint="eastAsia"/>
          <w:sz w:val="24"/>
        </w:rPr>
        <w:t>七、一般公共预算财政拨款支出决算明细表</w:t>
      </w:r>
    </w:p>
    <w:p w:rsidR="002D517E" w:rsidRDefault="00A63916" w:rsidP="00A63916">
      <w:pPr>
        <w:pStyle w:val="20"/>
        <w:adjustRightInd w:val="0"/>
        <w:snapToGrid w:val="0"/>
        <w:spacing w:line="440" w:lineRule="exact"/>
        <w:ind w:left="420"/>
        <w:jc w:val="left"/>
        <w:rPr>
          <w:sz w:val="24"/>
        </w:rPr>
      </w:pPr>
      <w:r>
        <w:rPr>
          <w:rFonts w:hint="eastAsia"/>
          <w:sz w:val="24"/>
        </w:rPr>
        <w:t>八、一般公共预算财政拨款基本支出决算明细表</w:t>
      </w:r>
    </w:p>
    <w:p w:rsidR="002D517E" w:rsidRDefault="00A63916" w:rsidP="00A63916">
      <w:pPr>
        <w:pStyle w:val="20"/>
        <w:adjustRightInd w:val="0"/>
        <w:snapToGrid w:val="0"/>
        <w:spacing w:line="440" w:lineRule="exact"/>
        <w:ind w:left="420"/>
        <w:jc w:val="left"/>
        <w:rPr>
          <w:sz w:val="24"/>
        </w:rPr>
      </w:pPr>
      <w:r>
        <w:rPr>
          <w:rFonts w:hint="eastAsia"/>
          <w:sz w:val="24"/>
        </w:rPr>
        <w:t>九、一般公共预算财政拨款项目支出决算表</w:t>
      </w:r>
    </w:p>
    <w:p w:rsidR="002D517E" w:rsidRDefault="00A63916" w:rsidP="00A63916">
      <w:pPr>
        <w:pStyle w:val="20"/>
        <w:adjustRightInd w:val="0"/>
        <w:snapToGrid w:val="0"/>
        <w:spacing w:line="440" w:lineRule="exact"/>
        <w:ind w:left="420"/>
        <w:jc w:val="left"/>
        <w:rPr>
          <w:sz w:val="24"/>
        </w:rPr>
      </w:pPr>
      <w:r>
        <w:rPr>
          <w:rFonts w:hint="eastAsia"/>
          <w:sz w:val="24"/>
        </w:rPr>
        <w:lastRenderedPageBreak/>
        <w:t>十、政府性基金预算财政拨款收入支出决算表</w:t>
      </w:r>
    </w:p>
    <w:p w:rsidR="002D517E" w:rsidRDefault="00A63916" w:rsidP="00A63916">
      <w:pPr>
        <w:pStyle w:val="20"/>
        <w:adjustRightInd w:val="0"/>
        <w:snapToGrid w:val="0"/>
        <w:spacing w:line="440" w:lineRule="exact"/>
        <w:ind w:left="420"/>
        <w:jc w:val="left"/>
        <w:rPr>
          <w:sz w:val="24"/>
        </w:rPr>
      </w:pPr>
      <w:r>
        <w:rPr>
          <w:rFonts w:hint="eastAsia"/>
          <w:sz w:val="24"/>
        </w:rPr>
        <w:t>十一、国有资本经营预算财政拨款收入支出决算表</w:t>
      </w:r>
    </w:p>
    <w:p w:rsidR="002D517E" w:rsidRDefault="00A63916" w:rsidP="00A63916">
      <w:pPr>
        <w:pStyle w:val="20"/>
        <w:adjustRightInd w:val="0"/>
        <w:snapToGrid w:val="0"/>
        <w:spacing w:line="440" w:lineRule="exact"/>
        <w:ind w:left="420"/>
        <w:jc w:val="left"/>
        <w:rPr>
          <w:sz w:val="24"/>
        </w:rPr>
      </w:pPr>
      <w:r>
        <w:rPr>
          <w:rFonts w:hint="eastAsia"/>
          <w:sz w:val="24"/>
        </w:rPr>
        <w:t>十二、国有资本经营预算财政拨款支出决算表</w:t>
      </w:r>
    </w:p>
    <w:p w:rsidR="002D517E" w:rsidRDefault="00A63916" w:rsidP="00A63916">
      <w:pPr>
        <w:pStyle w:val="20"/>
        <w:adjustRightInd w:val="0"/>
        <w:snapToGrid w:val="0"/>
        <w:spacing w:line="440" w:lineRule="exact"/>
        <w:ind w:left="420"/>
        <w:jc w:val="left"/>
        <w:rPr>
          <w:sz w:val="24"/>
        </w:rPr>
      </w:pPr>
      <w:r>
        <w:rPr>
          <w:rFonts w:hint="eastAsia"/>
          <w:sz w:val="24"/>
        </w:rPr>
        <w:t>十三、财政拨款“三公”经费支出</w:t>
      </w:r>
      <w:r>
        <w:rPr>
          <w:rFonts w:hint="eastAsia"/>
          <w:sz w:val="24"/>
        </w:rPr>
        <w:t>决算表</w:t>
      </w:r>
    </w:p>
    <w:p w:rsidR="002D517E" w:rsidRDefault="00A63916">
      <w:pPr>
        <w:widowControl/>
        <w:adjustRightInd w:val="0"/>
        <w:snapToGrid w:val="0"/>
        <w:spacing w:line="440" w:lineRule="exact"/>
        <w:ind w:firstLineChars="550" w:firstLine="1320"/>
        <w:jc w:val="left"/>
        <w:rPr>
          <w:rFonts w:ascii="仿宋" w:eastAsia="仿宋"/>
          <w:sz w:val="24"/>
        </w:rPr>
      </w:pPr>
      <w:r>
        <w:rPr>
          <w:rFonts w:ascii="仿宋" w:eastAsia="仿宋"/>
          <w:sz w:val="24"/>
        </w:rPr>
        <w:t>(</w:t>
      </w:r>
      <w:r>
        <w:rPr>
          <w:rFonts w:ascii="仿宋" w:eastAsia="仿宋"/>
          <w:sz w:val="24"/>
        </w:rPr>
        <w:t>注：</w:t>
      </w:r>
      <w:r>
        <w:rPr>
          <w:rFonts w:ascii="仿宋" w:eastAsia="仿宋" w:hint="eastAsia"/>
          <w:sz w:val="24"/>
        </w:rPr>
        <w:t>请单位根据实际注明页码</w:t>
      </w:r>
      <w:r>
        <w:rPr>
          <w:rFonts w:ascii="仿宋" w:eastAsia="仿宋"/>
          <w:sz w:val="24"/>
        </w:rPr>
        <w:t>)</w:t>
      </w:r>
    </w:p>
    <w:p w:rsidR="002D517E" w:rsidRDefault="00A63916">
      <w:pPr>
        <w:widowControl/>
        <w:spacing w:line="440" w:lineRule="exact"/>
        <w:jc w:val="left"/>
        <w:rPr>
          <w:rFonts w:ascii="仿宋" w:eastAsia="仿宋"/>
          <w:bCs/>
          <w:kern w:val="44"/>
          <w:sz w:val="24"/>
        </w:rPr>
      </w:pPr>
      <w:bookmarkStart w:id="12" w:name="_Toc15377196"/>
      <w:bookmarkStart w:id="13" w:name="_Toc15396599"/>
      <w:r>
        <w:rPr>
          <w:rFonts w:ascii="仿宋" w:eastAsia="仿宋"/>
          <w:b/>
          <w:sz w:val="24"/>
        </w:rPr>
        <w:br w:type="page"/>
      </w:r>
    </w:p>
    <w:p w:rsidR="002D517E" w:rsidRDefault="00A63916">
      <w:pPr>
        <w:pStyle w:val="1"/>
        <w:jc w:val="center"/>
        <w:rPr>
          <w:rStyle w:val="1Char"/>
          <w:rFonts w:ascii="黑体" w:eastAsia="黑体"/>
          <w:b/>
        </w:rPr>
      </w:pPr>
      <w:r>
        <w:rPr>
          <w:rFonts w:ascii="黑体" w:eastAsia="黑体" w:hint="eastAsia"/>
          <w:b w:val="0"/>
        </w:rPr>
        <w:lastRenderedPageBreak/>
        <w:t>第一部分</w:t>
      </w:r>
      <w:r>
        <w:rPr>
          <w:rFonts w:ascii="黑体" w:eastAsia="黑体" w:hint="eastAsia"/>
          <w:b w:val="0"/>
        </w:rPr>
        <w:t xml:space="preserve"> </w:t>
      </w:r>
      <w:r>
        <w:rPr>
          <w:rFonts w:ascii="黑体" w:eastAsia="黑体" w:hint="eastAsia"/>
          <w:b w:val="0"/>
        </w:rPr>
        <w:t>单位</w:t>
      </w:r>
      <w:r>
        <w:rPr>
          <w:rStyle w:val="1Char"/>
          <w:rFonts w:ascii="黑体" w:eastAsia="黑体" w:hint="eastAsia"/>
        </w:rPr>
        <w:t>概况</w:t>
      </w:r>
      <w:bookmarkEnd w:id="12"/>
      <w:bookmarkEnd w:id="13"/>
    </w:p>
    <w:p w:rsidR="002D517E" w:rsidRDefault="002D517E">
      <w:pPr>
        <w:widowControl/>
        <w:jc w:val="left"/>
        <w:rPr>
          <w:rFonts w:ascii="黑体" w:eastAsia="黑体"/>
          <w:sz w:val="32"/>
          <w:szCs w:val="32"/>
        </w:rPr>
      </w:pPr>
    </w:p>
    <w:p w:rsidR="002D517E" w:rsidRDefault="00A63916">
      <w:pPr>
        <w:pStyle w:val="2"/>
        <w:numPr>
          <w:ilvl w:val="0"/>
          <w:numId w:val="1"/>
        </w:numPr>
        <w:rPr>
          <w:rStyle w:val="2Char"/>
          <w:rFonts w:ascii="黑体" w:eastAsia="黑体"/>
        </w:rPr>
      </w:pPr>
      <w:bookmarkStart w:id="14" w:name="_Toc15377197"/>
      <w:bookmarkStart w:id="15" w:name="_Toc15396600"/>
      <w:r>
        <w:rPr>
          <w:rStyle w:val="2Char"/>
          <w:rFonts w:ascii="黑体" w:eastAsia="黑体" w:hint="eastAsia"/>
        </w:rPr>
        <w:t>主要职责</w:t>
      </w:r>
    </w:p>
    <w:p w:rsidR="002D517E" w:rsidRDefault="00A63916">
      <w:pPr>
        <w:pStyle w:val="2"/>
        <w:spacing w:before="0" w:after="0" w:line="240" w:lineRule="auto"/>
        <w:ind w:firstLineChars="200" w:firstLine="640"/>
        <w:rPr>
          <w:rFonts w:ascii="仿宋_GB2312" w:eastAsia="仿宋_GB2312" w:cs="仿宋_GB2312"/>
          <w:b w:val="0"/>
        </w:rPr>
      </w:pPr>
      <w:bookmarkStart w:id="16" w:name="_Toc29000"/>
      <w:r>
        <w:rPr>
          <w:rFonts w:ascii="仿宋_GB2312" w:eastAsia="仿宋_GB2312" w:cs="仿宋_GB2312" w:hint="eastAsia"/>
          <w:b w:val="0"/>
          <w:color w:val="000000"/>
        </w:rPr>
        <w:t>主要职能。</w:t>
      </w:r>
      <w:r>
        <w:rPr>
          <w:rFonts w:ascii="仿宋_GB2312" w:eastAsia="仿宋_GB2312" w:cs="仿宋_GB2312" w:hint="eastAsia"/>
          <w:b w:val="0"/>
        </w:rPr>
        <w:t>大竹县残疾人就业服务所是进行残疾人</w:t>
      </w:r>
      <w:r>
        <w:rPr>
          <w:rFonts w:ascii="仿宋_GB2312" w:eastAsia="仿宋_GB2312" w:cs="仿宋_GB2312" w:hint="eastAsia"/>
          <w:b w:val="0"/>
        </w:rPr>
        <w:t>人</w:t>
      </w:r>
      <w:r>
        <w:rPr>
          <w:rFonts w:ascii="仿宋_GB2312" w:eastAsia="仿宋_GB2312" w:cs="仿宋_GB2312" w:hint="eastAsia"/>
          <w:b w:val="0"/>
        </w:rPr>
        <w:t>力资源和社会用工调查；开展残疾人求失职登记、劳动能力评估、就业咨询、职业介绍等服务；负责协助征收、使用和管理残疾人就业保障金。</w:t>
      </w:r>
      <w:bookmarkStart w:id="17" w:name="_Toc15378446"/>
      <w:bookmarkStart w:id="18" w:name="_Toc15377199"/>
      <w:bookmarkEnd w:id="16"/>
    </w:p>
    <w:bookmarkEnd w:id="17"/>
    <w:bookmarkEnd w:id="18"/>
    <w:p w:rsidR="002D517E" w:rsidRDefault="002D517E"/>
    <w:p w:rsidR="002D517E" w:rsidRDefault="00A63916">
      <w:pPr>
        <w:pStyle w:val="2"/>
        <w:rPr>
          <w:rFonts w:ascii="黑体" w:eastAsia="黑体"/>
          <w:b w:val="0"/>
        </w:rPr>
      </w:pPr>
      <w:r>
        <w:rPr>
          <w:rFonts w:ascii="黑体" w:eastAsia="黑体" w:hint="eastAsia"/>
          <w:b w:val="0"/>
        </w:rPr>
        <w:t>二、机构设置</w:t>
      </w:r>
    </w:p>
    <w:bookmarkEnd w:id="14"/>
    <w:bookmarkEnd w:id="15"/>
    <w:p w:rsidR="002D517E" w:rsidRDefault="00A63916">
      <w:pPr>
        <w:snapToGrid w:val="0"/>
        <w:spacing w:line="578" w:lineRule="exact"/>
        <w:ind w:firstLineChars="200" w:firstLine="640"/>
        <w:rPr>
          <w:rFonts w:ascii="仿宋_GB2312" w:eastAsia="仿宋_GB2312" w:cs="仿宋_GB2312"/>
          <w:sz w:val="32"/>
          <w:szCs w:val="32"/>
        </w:rPr>
      </w:pPr>
      <w:r>
        <w:rPr>
          <w:rFonts w:ascii="仿宋" w:eastAsia="仿宋" w:hint="eastAsia"/>
          <w:sz w:val="32"/>
          <w:szCs w:val="32"/>
        </w:rPr>
        <w:t>大竹县残疾人就业服务所</w:t>
      </w:r>
      <w:r>
        <w:rPr>
          <w:rFonts w:ascii="仿宋" w:eastAsia="仿宋" w:hint="eastAsia"/>
          <w:sz w:val="32"/>
          <w:szCs w:val="32"/>
        </w:rPr>
        <w:t>下属二级单位</w:t>
      </w:r>
      <w:r>
        <w:rPr>
          <w:rFonts w:ascii="仿宋" w:eastAsia="仿宋" w:hint="eastAsia"/>
          <w:sz w:val="32"/>
          <w:szCs w:val="32"/>
        </w:rPr>
        <w:t>0</w:t>
      </w:r>
      <w:r>
        <w:rPr>
          <w:rFonts w:ascii="仿宋" w:eastAsia="仿宋" w:hint="eastAsia"/>
          <w:sz w:val="32"/>
          <w:szCs w:val="32"/>
        </w:rPr>
        <w:t>个，其中行政单位</w:t>
      </w:r>
      <w:r>
        <w:rPr>
          <w:rFonts w:ascii="仿宋" w:eastAsia="仿宋" w:hint="eastAsia"/>
          <w:sz w:val="32"/>
          <w:szCs w:val="32"/>
        </w:rPr>
        <w:t>0</w:t>
      </w:r>
      <w:r>
        <w:rPr>
          <w:rFonts w:ascii="仿宋" w:eastAsia="仿宋" w:hint="eastAsia"/>
          <w:sz w:val="32"/>
          <w:szCs w:val="32"/>
        </w:rPr>
        <w:t>个，参照公务员法管理的事业单位</w:t>
      </w:r>
      <w:r>
        <w:rPr>
          <w:rFonts w:ascii="仿宋" w:eastAsia="仿宋" w:hint="eastAsia"/>
          <w:bCs/>
          <w:sz w:val="32"/>
          <w:szCs w:val="32"/>
        </w:rPr>
        <w:t>0</w:t>
      </w:r>
      <w:r>
        <w:rPr>
          <w:rFonts w:ascii="仿宋" w:eastAsia="仿宋" w:hint="eastAsia"/>
          <w:sz w:val="32"/>
          <w:szCs w:val="32"/>
        </w:rPr>
        <w:t>个，其他事业单位</w:t>
      </w:r>
      <w:r>
        <w:rPr>
          <w:rFonts w:ascii="仿宋" w:eastAsia="仿宋" w:hint="eastAsia"/>
          <w:sz w:val="32"/>
          <w:szCs w:val="32"/>
        </w:rPr>
        <w:t>1</w:t>
      </w:r>
      <w:r>
        <w:rPr>
          <w:rFonts w:ascii="仿宋" w:eastAsia="仿宋" w:hint="eastAsia"/>
          <w:sz w:val="32"/>
          <w:szCs w:val="32"/>
        </w:rPr>
        <w:t>个。</w:t>
      </w:r>
    </w:p>
    <w:p w:rsidR="002D517E" w:rsidRDefault="00A63916">
      <w:pPr>
        <w:widowControl/>
        <w:jc w:val="left"/>
        <w:rPr>
          <w:rFonts w:ascii="仿宋" w:eastAsia="仿宋"/>
          <w:kern w:val="0"/>
          <w:sz w:val="32"/>
          <w:szCs w:val="32"/>
        </w:rPr>
      </w:pPr>
      <w:r>
        <w:rPr>
          <w:rFonts w:ascii="仿宋" w:eastAsia="仿宋"/>
          <w:sz w:val="32"/>
          <w:szCs w:val="32"/>
        </w:rPr>
        <w:br w:type="page"/>
      </w:r>
    </w:p>
    <w:p w:rsidR="002D517E" w:rsidRDefault="00A63916">
      <w:pPr>
        <w:pStyle w:val="1"/>
        <w:ind w:right="440"/>
        <w:jc w:val="center"/>
      </w:pPr>
      <w:bookmarkStart w:id="19" w:name="_Toc15377204"/>
      <w:bookmarkStart w:id="20" w:name="_Toc15396602"/>
      <w:r>
        <w:rPr>
          <w:rFonts w:ascii="黑体" w:eastAsia="黑体" w:hint="eastAsia"/>
          <w:b w:val="0"/>
        </w:rPr>
        <w:lastRenderedPageBreak/>
        <w:t>第二部分</w:t>
      </w:r>
      <w:r>
        <w:rPr>
          <w:rFonts w:ascii="黑体" w:eastAsia="黑体" w:hint="eastAsia"/>
          <w:b w:val="0"/>
        </w:rPr>
        <w:t xml:space="preserve"> 2023</w:t>
      </w:r>
      <w:r>
        <w:rPr>
          <w:rFonts w:ascii="黑体" w:eastAsia="黑体" w:hint="eastAsia"/>
          <w:b w:val="0"/>
        </w:rPr>
        <w:t>年度</w:t>
      </w:r>
      <w:r>
        <w:rPr>
          <w:rStyle w:val="1Char"/>
          <w:rFonts w:ascii="黑体" w:eastAsia="黑体" w:hint="eastAsia"/>
          <w:bCs/>
        </w:rPr>
        <w:t>单位决算情况说明</w:t>
      </w:r>
      <w:bookmarkEnd w:id="19"/>
      <w:bookmarkEnd w:id="20"/>
    </w:p>
    <w:p w:rsidR="002D517E" w:rsidRDefault="00A63916">
      <w:pPr>
        <w:pStyle w:val="aa"/>
        <w:numPr>
          <w:ilvl w:val="0"/>
          <w:numId w:val="2"/>
        </w:numPr>
        <w:spacing w:line="600" w:lineRule="exact"/>
        <w:ind w:firstLineChars="0"/>
        <w:outlineLvl w:val="1"/>
        <w:rPr>
          <w:rStyle w:val="2Char"/>
          <w:rFonts w:ascii="黑体" w:eastAsia="黑体"/>
          <w:b w:val="0"/>
        </w:rPr>
      </w:pPr>
      <w:bookmarkStart w:id="21" w:name="_Toc15396603"/>
      <w:bookmarkStart w:id="22" w:name="_Toc15377205"/>
      <w:r>
        <w:rPr>
          <w:rFonts w:ascii="黑体" w:eastAsia="黑体" w:hint="eastAsia"/>
          <w:sz w:val="32"/>
          <w:szCs w:val="32"/>
        </w:rPr>
        <w:t>收</w:t>
      </w:r>
      <w:r>
        <w:rPr>
          <w:rStyle w:val="2Char"/>
          <w:rFonts w:ascii="黑体" w:eastAsia="黑体" w:hint="eastAsia"/>
          <w:b w:val="0"/>
        </w:rPr>
        <w:t>入支出决算总体情况说明</w:t>
      </w:r>
      <w:bookmarkEnd w:id="21"/>
      <w:bookmarkEnd w:id="22"/>
    </w:p>
    <w:p w:rsidR="002D517E" w:rsidRDefault="00A63916">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w:t>
      </w:r>
      <w:r>
        <w:rPr>
          <w:rFonts w:ascii="仿宋_GB2312" w:eastAsia="仿宋_GB2312" w:cs="仿宋_GB2312" w:hint="eastAsia"/>
          <w:sz w:val="32"/>
          <w:szCs w:val="32"/>
        </w:rPr>
        <w:t>3</w:t>
      </w:r>
      <w:r>
        <w:rPr>
          <w:rFonts w:ascii="仿宋_GB2312" w:eastAsia="仿宋_GB2312" w:cs="仿宋_GB2312" w:hint="eastAsia"/>
          <w:sz w:val="32"/>
          <w:szCs w:val="32"/>
        </w:rPr>
        <w:t>年</w:t>
      </w:r>
      <w:r>
        <w:rPr>
          <w:rFonts w:ascii="仿宋_GB2312" w:eastAsia="仿宋_GB2312" w:cs="仿宋_GB2312" w:hint="eastAsia"/>
          <w:sz w:val="32"/>
          <w:szCs w:val="32"/>
        </w:rPr>
        <w:t>度收入、支出总计</w:t>
      </w:r>
      <w:r>
        <w:rPr>
          <w:rFonts w:ascii="仿宋_GB2312" w:eastAsia="仿宋_GB2312" w:cs="仿宋_GB2312" w:hint="eastAsia"/>
          <w:sz w:val="32"/>
          <w:szCs w:val="32"/>
        </w:rPr>
        <w:t>831.39</w:t>
      </w:r>
      <w:r>
        <w:rPr>
          <w:rFonts w:ascii="仿宋_GB2312" w:eastAsia="仿宋_GB2312" w:cs="仿宋_GB2312" w:hint="eastAsia"/>
          <w:sz w:val="32"/>
          <w:szCs w:val="32"/>
        </w:rPr>
        <w:t>万元。与</w:t>
      </w:r>
      <w:r>
        <w:rPr>
          <w:rFonts w:ascii="仿宋_GB2312" w:eastAsia="仿宋_GB2312" w:cs="仿宋_GB2312" w:hint="eastAsia"/>
          <w:sz w:val="32"/>
          <w:szCs w:val="32"/>
        </w:rPr>
        <w:t>202</w:t>
      </w:r>
      <w:r>
        <w:rPr>
          <w:rFonts w:ascii="仿宋_GB2312" w:eastAsia="仿宋_GB2312" w:cs="仿宋_GB2312" w:hint="eastAsia"/>
          <w:sz w:val="32"/>
          <w:szCs w:val="32"/>
        </w:rPr>
        <w:t>2</w:t>
      </w:r>
      <w:r>
        <w:rPr>
          <w:rFonts w:ascii="仿宋_GB2312" w:eastAsia="仿宋_GB2312" w:cs="仿宋_GB2312" w:hint="eastAsia"/>
          <w:sz w:val="32"/>
          <w:szCs w:val="32"/>
        </w:rPr>
        <w:t>年收入、</w:t>
      </w:r>
      <w:r>
        <w:rPr>
          <w:rFonts w:ascii="仿宋_GB2312" w:eastAsia="仿宋_GB2312" w:cs="仿宋_GB2312" w:hint="eastAsia"/>
          <w:sz w:val="32"/>
          <w:szCs w:val="32"/>
        </w:rPr>
        <w:t>支出</w:t>
      </w:r>
      <w:r>
        <w:rPr>
          <w:rFonts w:ascii="仿宋_GB2312" w:eastAsia="仿宋_GB2312" w:cs="仿宋_GB2312" w:hint="eastAsia"/>
          <w:sz w:val="32"/>
          <w:szCs w:val="32"/>
        </w:rPr>
        <w:t>总计</w:t>
      </w:r>
      <w:r>
        <w:rPr>
          <w:rFonts w:ascii="仿宋_GB2312" w:eastAsia="仿宋_GB2312" w:cs="仿宋_GB2312" w:hint="eastAsia"/>
          <w:sz w:val="32"/>
          <w:szCs w:val="32"/>
        </w:rPr>
        <w:t>1,070.91</w:t>
      </w:r>
      <w:r>
        <w:rPr>
          <w:rFonts w:ascii="仿宋_GB2312" w:eastAsia="仿宋_GB2312" w:cs="仿宋_GB2312" w:hint="eastAsia"/>
          <w:sz w:val="32"/>
          <w:szCs w:val="32"/>
        </w:rPr>
        <w:t>万元相比，</w:t>
      </w:r>
      <w:r>
        <w:rPr>
          <w:rFonts w:ascii="仿宋_GB2312" w:eastAsia="仿宋_GB2312" w:cs="仿宋_GB2312" w:hint="eastAsia"/>
          <w:sz w:val="32"/>
          <w:szCs w:val="32"/>
        </w:rPr>
        <w:t>减少</w:t>
      </w:r>
      <w:r>
        <w:rPr>
          <w:rFonts w:ascii="仿宋_GB2312" w:eastAsia="仿宋_GB2312" w:cs="仿宋_GB2312" w:hint="eastAsia"/>
          <w:sz w:val="32"/>
          <w:szCs w:val="32"/>
        </w:rPr>
        <w:t>22.37</w:t>
      </w:r>
      <w:r>
        <w:rPr>
          <w:rFonts w:ascii="仿宋_GB2312" w:eastAsia="仿宋_GB2312" w:cs="仿宋_GB2312" w:hint="eastAsia"/>
          <w:sz w:val="32"/>
          <w:szCs w:val="32"/>
        </w:rPr>
        <w:t>%</w:t>
      </w:r>
      <w:r>
        <w:rPr>
          <w:rFonts w:ascii="仿宋_GB2312" w:eastAsia="仿宋_GB2312" w:cs="仿宋_GB2312" w:hint="eastAsia"/>
          <w:sz w:val="32"/>
          <w:szCs w:val="32"/>
        </w:rPr>
        <w:t>。主要变动原因：</w:t>
      </w:r>
      <w:r>
        <w:rPr>
          <w:rFonts w:ascii="仿宋_GB2312" w:eastAsia="仿宋_GB2312" w:cs="仿宋_GB2312" w:hint="eastAsia"/>
          <w:sz w:val="32"/>
          <w:szCs w:val="32"/>
        </w:rPr>
        <w:t>减少了项目支出。</w:t>
      </w:r>
    </w:p>
    <w:p w:rsidR="002D517E" w:rsidRDefault="00A63916">
      <w:pPr>
        <w:spacing w:line="600" w:lineRule="exact"/>
        <w:ind w:firstLineChars="200" w:firstLine="640"/>
        <w:rPr>
          <w:rFonts w:ascii="仿宋_GB2312" w:eastAsia="仿宋_GB2312"/>
          <w:sz w:val="32"/>
          <w:szCs w:val="32"/>
        </w:rPr>
      </w:pPr>
      <w:r>
        <w:rPr>
          <w:rFonts w:ascii="仿宋" w:eastAsia="仿宋" w:hint="eastAsia"/>
          <w:sz w:val="32"/>
          <w:szCs w:val="32"/>
        </w:rPr>
        <w:t>（图</w:t>
      </w:r>
      <w:r>
        <w:rPr>
          <w:rFonts w:ascii="仿宋" w:eastAsia="仿宋"/>
          <w:sz w:val="32"/>
          <w:szCs w:val="32"/>
        </w:rPr>
        <w:t>1</w:t>
      </w:r>
      <w:r>
        <w:rPr>
          <w:rFonts w:ascii="仿宋" w:eastAsia="仿宋" w:hint="eastAsia"/>
          <w:sz w:val="32"/>
          <w:szCs w:val="32"/>
        </w:rPr>
        <w:t>：收、支决算总计变动情况图）（柱状图）</w:t>
      </w:r>
    </w:p>
    <w:p w:rsidR="002D517E" w:rsidRDefault="00A63916">
      <w:pPr>
        <w:pStyle w:val="aa"/>
        <w:numPr>
          <w:ilvl w:val="0"/>
          <w:numId w:val="2"/>
        </w:numPr>
        <w:spacing w:line="600" w:lineRule="exact"/>
        <w:ind w:firstLineChars="0"/>
        <w:outlineLvl w:val="1"/>
        <w:rPr>
          <w:rStyle w:val="2Char"/>
          <w:rFonts w:ascii="黑体" w:eastAsia="黑体"/>
          <w:b w:val="0"/>
        </w:rPr>
      </w:pPr>
      <w:bookmarkStart w:id="23" w:name="_Toc15377206"/>
      <w:bookmarkStart w:id="24" w:name="_Toc15396604"/>
      <w:r>
        <w:rPr>
          <w:noProof/>
        </w:rPr>
        <w:drawing>
          <wp:anchor distT="0" distB="0" distL="114300" distR="114300" simplePos="0" relativeHeight="22" behindDoc="0" locked="0" layoutInCell="1" allowOverlap="1">
            <wp:simplePos x="0" y="0"/>
            <wp:positionH relativeFrom="column">
              <wp:posOffset>4445</wp:posOffset>
            </wp:positionH>
            <wp:positionV relativeFrom="paragraph">
              <wp:posOffset>164465</wp:posOffset>
            </wp:positionV>
            <wp:extent cx="4827905" cy="2743200"/>
            <wp:effectExtent l="0" t="0" r="0" b="0"/>
            <wp:wrapTopAndBottom/>
            <wp:docPr id="1"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黑体" w:eastAsia="黑体" w:hint="eastAsia"/>
          <w:sz w:val="32"/>
          <w:szCs w:val="32"/>
        </w:rPr>
        <w:t>收</w:t>
      </w:r>
      <w:r>
        <w:rPr>
          <w:rStyle w:val="2Char"/>
          <w:rFonts w:ascii="黑体" w:eastAsia="黑体" w:hint="eastAsia"/>
          <w:b w:val="0"/>
        </w:rPr>
        <w:t>入决算情况说明</w:t>
      </w:r>
      <w:bookmarkEnd w:id="23"/>
      <w:bookmarkEnd w:id="24"/>
    </w:p>
    <w:p w:rsidR="002D517E" w:rsidRDefault="00A63916">
      <w:pPr>
        <w:spacing w:line="600" w:lineRule="exact"/>
        <w:ind w:firstLineChars="200" w:firstLine="640"/>
        <w:outlineLvl w:val="1"/>
        <w:rPr>
          <w:rFonts w:ascii="仿宋" w:eastAsia="仿宋"/>
          <w:sz w:val="32"/>
          <w:szCs w:val="32"/>
        </w:rPr>
      </w:pPr>
      <w:r>
        <w:rPr>
          <w:rFonts w:ascii="仿宋" w:eastAsia="仿宋" w:hint="eastAsia"/>
          <w:sz w:val="32"/>
          <w:szCs w:val="32"/>
        </w:rPr>
        <w:t>2023</w:t>
      </w:r>
      <w:r>
        <w:rPr>
          <w:rFonts w:ascii="仿宋" w:eastAsia="仿宋" w:hint="eastAsia"/>
          <w:sz w:val="32"/>
          <w:szCs w:val="32"/>
        </w:rPr>
        <w:t>年度本年收入合计</w:t>
      </w:r>
      <w:r>
        <w:rPr>
          <w:rFonts w:ascii="仿宋" w:eastAsia="仿宋"/>
          <w:b/>
          <w:sz w:val="32"/>
          <w:szCs w:val="32"/>
        </w:rPr>
        <w:t>815.24</w:t>
      </w:r>
      <w:r>
        <w:rPr>
          <w:rFonts w:ascii="仿宋" w:eastAsia="仿宋" w:hint="eastAsia"/>
          <w:sz w:val="32"/>
          <w:szCs w:val="32"/>
        </w:rPr>
        <w:t>万元，其中：一般公共预算财政拨款收入</w:t>
      </w:r>
      <w:r>
        <w:rPr>
          <w:rFonts w:ascii="仿宋" w:eastAsia="仿宋"/>
          <w:b/>
          <w:sz w:val="32"/>
          <w:szCs w:val="32"/>
        </w:rPr>
        <w:t>815.24</w:t>
      </w:r>
      <w:r>
        <w:rPr>
          <w:rFonts w:ascii="仿宋" w:eastAsia="仿宋" w:hint="eastAsia"/>
          <w:sz w:val="32"/>
          <w:szCs w:val="32"/>
        </w:rPr>
        <w:t>万元，占</w:t>
      </w:r>
      <w:r>
        <w:rPr>
          <w:rFonts w:ascii="仿宋" w:eastAsia="仿宋"/>
          <w:b/>
          <w:sz w:val="32"/>
          <w:szCs w:val="32"/>
        </w:rPr>
        <w:t>100%</w:t>
      </w:r>
      <w:r>
        <w:rPr>
          <w:rFonts w:ascii="仿宋" w:eastAsia="仿宋" w:hint="eastAsia"/>
          <w:sz w:val="32"/>
          <w:szCs w:val="32"/>
        </w:rPr>
        <w:t>；政府性基金预算财政拨款收入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；国有资本经营预算财政拨款收入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；上级补助收入</w:t>
      </w:r>
      <w:r>
        <w:rPr>
          <w:rFonts w:ascii="仿宋" w:eastAsia="仿宋"/>
          <w:b/>
          <w:sz w:val="32"/>
          <w:szCs w:val="32"/>
        </w:rPr>
        <w:t>0</w:t>
      </w:r>
      <w:r>
        <w:rPr>
          <w:rFonts w:ascii="仿宋" w:eastAsia="仿宋" w:hint="eastAsia"/>
          <w:sz w:val="32"/>
          <w:szCs w:val="32"/>
        </w:rPr>
        <w:t>万元，占</w:t>
      </w:r>
      <w:r>
        <w:rPr>
          <w:rFonts w:ascii="仿宋" w:eastAsia="仿宋"/>
          <w:sz w:val="32"/>
          <w:szCs w:val="32"/>
        </w:rPr>
        <w:t>0%</w:t>
      </w:r>
      <w:r>
        <w:rPr>
          <w:rFonts w:ascii="仿宋" w:eastAsia="仿宋" w:hint="eastAsia"/>
          <w:sz w:val="32"/>
          <w:szCs w:val="32"/>
        </w:rPr>
        <w:t>；事业收入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；经营收入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；附属单位上缴收入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；其他收入</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p>
    <w:p w:rsidR="002D517E" w:rsidRDefault="00A63916" w:rsidP="00A63916">
      <w:pPr>
        <w:spacing w:line="600" w:lineRule="exact"/>
        <w:ind w:firstLineChars="200" w:firstLine="643"/>
        <w:outlineLvl w:val="1"/>
        <w:rPr>
          <w:rFonts w:ascii="仿宋" w:eastAsia="仿宋"/>
          <w:sz w:val="32"/>
          <w:szCs w:val="32"/>
        </w:rPr>
      </w:pPr>
      <w:r>
        <w:rPr>
          <w:rFonts w:ascii="仿宋" w:eastAsia="仿宋" w:hint="eastAsia"/>
          <w:b/>
          <w:sz w:val="32"/>
          <w:szCs w:val="32"/>
        </w:rPr>
        <w:t>（注：数据来源于财决</w:t>
      </w:r>
      <w:r>
        <w:rPr>
          <w:rFonts w:ascii="仿宋" w:eastAsia="仿宋"/>
          <w:b/>
          <w:sz w:val="32"/>
          <w:szCs w:val="32"/>
        </w:rPr>
        <w:t>01</w:t>
      </w:r>
      <w:r>
        <w:rPr>
          <w:rFonts w:ascii="仿宋" w:eastAsia="仿宋"/>
          <w:b/>
          <w:sz w:val="32"/>
          <w:szCs w:val="32"/>
        </w:rPr>
        <w:t>表</w:t>
      </w:r>
      <w:r>
        <w:rPr>
          <w:rFonts w:ascii="仿宋" w:eastAsia="仿宋" w:hint="eastAsia"/>
          <w:b/>
          <w:sz w:val="32"/>
          <w:szCs w:val="32"/>
        </w:rPr>
        <w:t>，仅罗列本单位涉及的收</w:t>
      </w:r>
      <w:r>
        <w:rPr>
          <w:rFonts w:ascii="仿宋" w:eastAsia="仿宋" w:hint="eastAsia"/>
          <w:b/>
          <w:sz w:val="32"/>
          <w:szCs w:val="32"/>
        </w:rPr>
        <w:lastRenderedPageBreak/>
        <w:t>入。</w:t>
      </w:r>
      <w:r>
        <w:rPr>
          <w:rFonts w:ascii="仿宋" w:eastAsia="仿宋"/>
          <w:b/>
          <w:sz w:val="32"/>
          <w:szCs w:val="32"/>
        </w:rPr>
        <w:t>）</w:t>
      </w:r>
    </w:p>
    <w:p w:rsidR="002D517E" w:rsidRDefault="00A63916">
      <w:pPr>
        <w:spacing w:line="600" w:lineRule="exact"/>
        <w:ind w:firstLineChars="200" w:firstLine="640"/>
        <w:rPr>
          <w:rFonts w:ascii="仿宋_GB2312" w:eastAsia="仿宋_GB2312"/>
          <w:sz w:val="32"/>
          <w:szCs w:val="32"/>
        </w:rPr>
      </w:pPr>
      <w:r>
        <w:rPr>
          <w:rFonts w:ascii="仿宋" w:eastAsia="仿宋" w:hint="eastAsia"/>
          <w:sz w:val="32"/>
          <w:szCs w:val="32"/>
        </w:rPr>
        <w:t>（图</w:t>
      </w:r>
      <w:r>
        <w:rPr>
          <w:rFonts w:ascii="仿宋" w:eastAsia="仿宋" w:hint="eastAsia"/>
          <w:sz w:val="32"/>
          <w:szCs w:val="32"/>
        </w:rPr>
        <w:t>2</w:t>
      </w:r>
      <w:r>
        <w:rPr>
          <w:rFonts w:ascii="仿宋" w:eastAsia="仿宋" w:hint="eastAsia"/>
          <w:sz w:val="32"/>
          <w:szCs w:val="32"/>
        </w:rPr>
        <w:t>：收入决算结构图）（饼状图）</w:t>
      </w:r>
      <w:r>
        <w:rPr>
          <w:noProof/>
        </w:rPr>
        <w:drawing>
          <wp:anchor distT="0" distB="0" distL="114300" distR="114300" simplePos="0" relativeHeight="18" behindDoc="0" locked="0" layoutInCell="1" allowOverlap="1">
            <wp:simplePos x="0" y="0"/>
            <wp:positionH relativeFrom="column">
              <wp:posOffset>202565</wp:posOffset>
            </wp:positionH>
            <wp:positionV relativeFrom="paragraph">
              <wp:posOffset>141604</wp:posOffset>
            </wp:positionV>
            <wp:extent cx="4825999" cy="2743200"/>
            <wp:effectExtent l="0" t="0" r="0" b="0"/>
            <wp:wrapTopAndBottom/>
            <wp:docPr id="2"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2D517E" w:rsidRDefault="00A63916">
      <w:pPr>
        <w:pStyle w:val="aa"/>
        <w:numPr>
          <w:ilvl w:val="0"/>
          <w:numId w:val="2"/>
        </w:numPr>
        <w:spacing w:line="600" w:lineRule="exact"/>
        <w:ind w:firstLineChars="0"/>
        <w:outlineLvl w:val="1"/>
        <w:rPr>
          <w:rStyle w:val="2Char"/>
          <w:rFonts w:ascii="黑体" w:eastAsia="黑体"/>
          <w:b w:val="0"/>
        </w:rPr>
      </w:pPr>
      <w:bookmarkStart w:id="25" w:name="_Toc15396605"/>
      <w:bookmarkStart w:id="26" w:name="_Toc15377207"/>
      <w:r>
        <w:rPr>
          <w:rFonts w:ascii="黑体" w:eastAsia="黑体" w:hint="eastAsia"/>
          <w:sz w:val="32"/>
          <w:szCs w:val="32"/>
        </w:rPr>
        <w:t>支</w:t>
      </w:r>
      <w:r>
        <w:rPr>
          <w:rStyle w:val="2Char"/>
          <w:rFonts w:ascii="黑体" w:eastAsia="黑体" w:hint="eastAsia"/>
          <w:b w:val="0"/>
        </w:rPr>
        <w:t>出决算情况说明</w:t>
      </w:r>
      <w:bookmarkEnd w:id="25"/>
      <w:bookmarkEnd w:id="26"/>
    </w:p>
    <w:p w:rsidR="002D517E" w:rsidRDefault="00A63916">
      <w:pPr>
        <w:spacing w:line="600" w:lineRule="exact"/>
        <w:ind w:firstLineChars="200" w:firstLine="640"/>
        <w:outlineLvl w:val="1"/>
        <w:rPr>
          <w:rFonts w:ascii="仿宋" w:eastAsia="仿宋"/>
          <w:sz w:val="32"/>
          <w:szCs w:val="32"/>
        </w:rPr>
      </w:pPr>
      <w:r>
        <w:rPr>
          <w:rFonts w:ascii="仿宋" w:eastAsia="仿宋" w:hint="eastAsia"/>
          <w:sz w:val="32"/>
          <w:szCs w:val="32"/>
        </w:rPr>
        <w:t>2023</w:t>
      </w:r>
      <w:r>
        <w:rPr>
          <w:rFonts w:ascii="仿宋" w:eastAsia="仿宋" w:hint="eastAsia"/>
          <w:sz w:val="32"/>
          <w:szCs w:val="32"/>
        </w:rPr>
        <w:t>年度本年支出合计</w:t>
      </w:r>
      <w:r>
        <w:rPr>
          <w:rFonts w:ascii="仿宋" w:eastAsia="仿宋"/>
          <w:b/>
          <w:sz w:val="32"/>
          <w:szCs w:val="32"/>
        </w:rPr>
        <w:t>831.39</w:t>
      </w:r>
      <w:r>
        <w:rPr>
          <w:rFonts w:ascii="仿宋" w:eastAsia="仿宋" w:hint="eastAsia"/>
          <w:sz w:val="32"/>
          <w:szCs w:val="32"/>
        </w:rPr>
        <w:t>万元，其中：基本支出</w:t>
      </w:r>
      <w:r>
        <w:rPr>
          <w:rFonts w:ascii="仿宋" w:eastAsia="仿宋"/>
          <w:b/>
          <w:sz w:val="32"/>
          <w:szCs w:val="32"/>
        </w:rPr>
        <w:t>143.59</w:t>
      </w:r>
      <w:r>
        <w:rPr>
          <w:rFonts w:ascii="仿宋" w:eastAsia="仿宋" w:hint="eastAsia"/>
          <w:sz w:val="32"/>
          <w:szCs w:val="32"/>
        </w:rPr>
        <w:t>万元，占</w:t>
      </w:r>
      <w:r>
        <w:rPr>
          <w:rFonts w:ascii="仿宋" w:eastAsia="仿宋"/>
          <w:b/>
          <w:sz w:val="32"/>
          <w:szCs w:val="32"/>
        </w:rPr>
        <w:t>17.27</w:t>
      </w:r>
      <w:r>
        <w:rPr>
          <w:rFonts w:ascii="仿宋" w:eastAsia="仿宋"/>
          <w:sz w:val="32"/>
          <w:szCs w:val="32"/>
        </w:rPr>
        <w:t>%</w:t>
      </w:r>
      <w:r>
        <w:rPr>
          <w:rFonts w:ascii="仿宋" w:eastAsia="仿宋" w:hint="eastAsia"/>
          <w:sz w:val="32"/>
          <w:szCs w:val="32"/>
        </w:rPr>
        <w:t>；项目支出</w:t>
      </w:r>
      <w:r>
        <w:rPr>
          <w:rFonts w:ascii="仿宋" w:eastAsia="仿宋"/>
          <w:b/>
          <w:sz w:val="32"/>
          <w:szCs w:val="32"/>
        </w:rPr>
        <w:t>687.79</w:t>
      </w:r>
      <w:r>
        <w:rPr>
          <w:rFonts w:ascii="仿宋" w:eastAsia="仿宋" w:hint="eastAsia"/>
          <w:sz w:val="32"/>
          <w:szCs w:val="32"/>
        </w:rPr>
        <w:t>万元，占</w:t>
      </w:r>
      <w:r>
        <w:rPr>
          <w:rFonts w:ascii="仿宋" w:eastAsia="仿宋"/>
          <w:b/>
          <w:sz w:val="32"/>
          <w:szCs w:val="32"/>
        </w:rPr>
        <w:t>82.72</w:t>
      </w:r>
      <w:r>
        <w:rPr>
          <w:rFonts w:ascii="仿宋" w:eastAsia="仿宋"/>
          <w:sz w:val="32"/>
          <w:szCs w:val="32"/>
        </w:rPr>
        <w:t>%</w:t>
      </w:r>
      <w:r>
        <w:rPr>
          <w:rFonts w:ascii="仿宋" w:eastAsia="仿宋" w:hint="eastAsia"/>
          <w:sz w:val="32"/>
          <w:szCs w:val="32"/>
        </w:rPr>
        <w:t>；上缴上级支出</w:t>
      </w:r>
      <w:r>
        <w:rPr>
          <w:rFonts w:ascii="仿宋" w:eastAsia="仿宋"/>
          <w:b/>
          <w:sz w:val="32"/>
          <w:szCs w:val="32"/>
        </w:rPr>
        <w:t>0</w:t>
      </w:r>
      <w:r>
        <w:rPr>
          <w:rFonts w:ascii="仿宋" w:eastAsia="仿宋" w:hint="eastAsia"/>
          <w:sz w:val="32"/>
          <w:szCs w:val="32"/>
        </w:rPr>
        <w:t>万元，占</w:t>
      </w:r>
      <w:r>
        <w:rPr>
          <w:rFonts w:ascii="仿宋" w:eastAsia="仿宋" w:hint="eastAsia"/>
          <w:b/>
          <w:sz w:val="32"/>
          <w:szCs w:val="32"/>
        </w:rPr>
        <w:t>0</w:t>
      </w:r>
      <w:r>
        <w:rPr>
          <w:rFonts w:ascii="仿宋" w:eastAsia="仿宋"/>
          <w:sz w:val="32"/>
          <w:szCs w:val="32"/>
        </w:rPr>
        <w:t>%</w:t>
      </w:r>
      <w:r>
        <w:rPr>
          <w:rFonts w:ascii="仿宋" w:eastAsia="仿宋" w:hint="eastAsia"/>
          <w:sz w:val="32"/>
          <w:szCs w:val="32"/>
        </w:rPr>
        <w:t>；经营支出</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；对附属单位补助支出</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w:t>
      </w:r>
    </w:p>
    <w:p w:rsidR="002D517E" w:rsidRDefault="00A63916">
      <w:pPr>
        <w:spacing w:line="600" w:lineRule="exact"/>
        <w:ind w:firstLineChars="200" w:firstLine="420"/>
        <w:outlineLvl w:val="1"/>
        <w:rPr>
          <w:rFonts w:ascii="仿宋" w:eastAsia="仿宋"/>
          <w:sz w:val="32"/>
          <w:szCs w:val="32"/>
          <w:shd w:val="pct10" w:color="auto" w:fill="FFFFFF"/>
        </w:rPr>
      </w:pPr>
      <w:r>
        <w:rPr>
          <w:noProof/>
        </w:rPr>
        <w:drawing>
          <wp:anchor distT="0" distB="0" distL="114300" distR="114300" simplePos="0" relativeHeight="20" behindDoc="0" locked="0" layoutInCell="1" allowOverlap="1">
            <wp:simplePos x="0" y="0"/>
            <wp:positionH relativeFrom="column">
              <wp:posOffset>377825</wp:posOffset>
            </wp:positionH>
            <wp:positionV relativeFrom="paragraph">
              <wp:posOffset>620394</wp:posOffset>
            </wp:positionV>
            <wp:extent cx="4826000" cy="2134235"/>
            <wp:effectExtent l="0" t="0" r="0" b="0"/>
            <wp:wrapTopAndBottom/>
            <wp:docPr id="3"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eastAsia="仿宋" w:hint="eastAsia"/>
          <w:b/>
          <w:sz w:val="32"/>
          <w:szCs w:val="32"/>
        </w:rPr>
        <w:t>（注：数据来源于财决</w:t>
      </w:r>
      <w:r>
        <w:rPr>
          <w:rFonts w:ascii="仿宋" w:eastAsia="仿宋"/>
          <w:b/>
          <w:sz w:val="32"/>
          <w:szCs w:val="32"/>
        </w:rPr>
        <w:t>04</w:t>
      </w:r>
      <w:r>
        <w:rPr>
          <w:rFonts w:ascii="仿宋" w:eastAsia="仿宋" w:hint="eastAsia"/>
          <w:b/>
          <w:sz w:val="32"/>
          <w:szCs w:val="32"/>
        </w:rPr>
        <w:t>表，仅罗列本单位涉及的支出。）</w:t>
      </w:r>
    </w:p>
    <w:p w:rsidR="002D517E" w:rsidRDefault="00A63916">
      <w:pPr>
        <w:spacing w:line="600" w:lineRule="exact"/>
        <w:ind w:firstLineChars="200" w:firstLine="640"/>
        <w:rPr>
          <w:rFonts w:ascii="仿宋_GB2312" w:eastAsia="仿宋_GB2312"/>
          <w:sz w:val="32"/>
          <w:szCs w:val="32"/>
        </w:rPr>
      </w:pPr>
      <w:r>
        <w:rPr>
          <w:rFonts w:ascii="仿宋" w:eastAsia="仿宋" w:hint="eastAsia"/>
          <w:sz w:val="32"/>
          <w:szCs w:val="32"/>
        </w:rPr>
        <w:t>（图</w:t>
      </w:r>
      <w:r>
        <w:rPr>
          <w:rFonts w:ascii="仿宋" w:eastAsia="仿宋" w:hint="eastAsia"/>
          <w:sz w:val="32"/>
          <w:szCs w:val="32"/>
        </w:rPr>
        <w:t>3</w:t>
      </w:r>
      <w:r>
        <w:rPr>
          <w:rFonts w:ascii="仿宋" w:eastAsia="仿宋" w:hint="eastAsia"/>
          <w:sz w:val="32"/>
          <w:szCs w:val="32"/>
        </w:rPr>
        <w:t>：支出决算结构图）（饼状图）</w:t>
      </w:r>
    </w:p>
    <w:p w:rsidR="002D517E" w:rsidRDefault="00A63916">
      <w:pPr>
        <w:spacing w:line="600" w:lineRule="exact"/>
        <w:ind w:firstLineChars="200" w:firstLine="640"/>
        <w:outlineLvl w:val="1"/>
        <w:rPr>
          <w:rStyle w:val="2Char"/>
          <w:rFonts w:ascii="黑体" w:eastAsia="黑体"/>
          <w:b w:val="0"/>
        </w:rPr>
      </w:pPr>
      <w:bookmarkStart w:id="27" w:name="_Toc15396606"/>
      <w:bookmarkStart w:id="28" w:name="_Toc15377208"/>
      <w:r>
        <w:rPr>
          <w:rFonts w:ascii="黑体" w:eastAsia="黑体" w:hint="eastAsia"/>
          <w:sz w:val="32"/>
          <w:szCs w:val="32"/>
        </w:rPr>
        <w:lastRenderedPageBreak/>
        <w:t>四、财</w:t>
      </w:r>
      <w:r>
        <w:rPr>
          <w:rStyle w:val="2Char"/>
          <w:rFonts w:ascii="黑体" w:eastAsia="黑体" w:hint="eastAsia"/>
          <w:b w:val="0"/>
        </w:rPr>
        <w:t>政拨款收入支出决算总体情况说明</w:t>
      </w:r>
      <w:bookmarkEnd w:id="27"/>
      <w:bookmarkEnd w:id="28"/>
    </w:p>
    <w:p w:rsidR="002D517E" w:rsidRDefault="00A63916">
      <w:pPr>
        <w:spacing w:line="600" w:lineRule="exact"/>
        <w:ind w:firstLineChars="200" w:firstLine="640"/>
        <w:rPr>
          <w:rFonts w:ascii="仿宋_GB2312" w:eastAsia="仿宋_GB2312" w:cs="仿宋_GB2312"/>
          <w:sz w:val="32"/>
          <w:szCs w:val="32"/>
        </w:rPr>
      </w:pPr>
      <w:r>
        <w:rPr>
          <w:rFonts w:ascii="仿宋" w:eastAsia="仿宋" w:hint="eastAsia"/>
          <w:sz w:val="32"/>
          <w:szCs w:val="32"/>
        </w:rPr>
        <w:t>2023</w:t>
      </w:r>
      <w:r>
        <w:rPr>
          <w:rFonts w:ascii="仿宋" w:eastAsia="仿宋" w:hint="eastAsia"/>
          <w:sz w:val="32"/>
          <w:szCs w:val="32"/>
        </w:rPr>
        <w:t>年度财政拨款收</w:t>
      </w:r>
      <w:r>
        <w:rPr>
          <w:rFonts w:ascii="仿宋" w:eastAsia="仿宋" w:hint="eastAsia"/>
          <w:sz w:val="32"/>
          <w:szCs w:val="32"/>
        </w:rPr>
        <w:t>入</w:t>
      </w:r>
      <w:r>
        <w:rPr>
          <w:rFonts w:ascii="仿宋" w:eastAsia="仿宋" w:hint="eastAsia"/>
          <w:sz w:val="32"/>
          <w:szCs w:val="32"/>
        </w:rPr>
        <w:t>、支</w:t>
      </w:r>
      <w:r>
        <w:rPr>
          <w:rFonts w:ascii="仿宋" w:eastAsia="仿宋" w:hint="eastAsia"/>
          <w:sz w:val="32"/>
          <w:szCs w:val="32"/>
        </w:rPr>
        <w:t>出</w:t>
      </w:r>
      <w:r>
        <w:rPr>
          <w:rFonts w:ascii="仿宋" w:eastAsia="仿宋" w:hint="eastAsia"/>
          <w:sz w:val="32"/>
          <w:szCs w:val="32"/>
        </w:rPr>
        <w:t>总计均为</w:t>
      </w:r>
      <w:r>
        <w:rPr>
          <w:rFonts w:ascii="仿宋" w:eastAsia="仿宋"/>
          <w:b/>
          <w:sz w:val="32"/>
          <w:szCs w:val="32"/>
        </w:rPr>
        <w:t>831.39</w:t>
      </w:r>
      <w:r>
        <w:rPr>
          <w:rFonts w:ascii="仿宋" w:eastAsia="仿宋" w:hint="eastAsia"/>
          <w:sz w:val="32"/>
          <w:szCs w:val="32"/>
        </w:rPr>
        <w:t>万元。</w:t>
      </w:r>
      <w:r>
        <w:rPr>
          <w:rFonts w:ascii="仿宋_GB2312" w:eastAsia="仿宋_GB2312" w:cs="仿宋_GB2312" w:hint="eastAsia"/>
          <w:sz w:val="32"/>
          <w:szCs w:val="32"/>
        </w:rPr>
        <w:t>与</w:t>
      </w:r>
      <w:r>
        <w:rPr>
          <w:rFonts w:ascii="仿宋_GB2312" w:eastAsia="仿宋_GB2312" w:cs="仿宋_GB2312" w:hint="eastAsia"/>
          <w:sz w:val="32"/>
          <w:szCs w:val="32"/>
        </w:rPr>
        <w:t>2022</w:t>
      </w:r>
      <w:r>
        <w:rPr>
          <w:rFonts w:ascii="仿宋_GB2312" w:eastAsia="仿宋_GB2312" w:cs="仿宋_GB2312" w:hint="eastAsia"/>
          <w:sz w:val="32"/>
          <w:szCs w:val="32"/>
        </w:rPr>
        <w:t>年</w:t>
      </w:r>
      <w:r>
        <w:rPr>
          <w:rFonts w:ascii="仿宋_GB2312" w:eastAsia="仿宋_GB2312" w:cs="仿宋_GB2312" w:hint="eastAsia"/>
          <w:sz w:val="32"/>
          <w:szCs w:val="32"/>
        </w:rPr>
        <w:t>1,070.91</w:t>
      </w:r>
      <w:r>
        <w:rPr>
          <w:rFonts w:ascii="仿宋_GB2312" w:eastAsia="仿宋_GB2312" w:cs="仿宋_GB2312" w:hint="eastAsia"/>
          <w:sz w:val="32"/>
          <w:szCs w:val="32"/>
        </w:rPr>
        <w:t>万元相比，</w:t>
      </w:r>
      <w:r>
        <w:rPr>
          <w:rFonts w:ascii="仿宋_GB2312" w:eastAsia="仿宋_GB2312" w:cs="仿宋_GB2312" w:hint="eastAsia"/>
          <w:sz w:val="32"/>
          <w:szCs w:val="32"/>
        </w:rPr>
        <w:t>减少</w:t>
      </w:r>
      <w:r>
        <w:rPr>
          <w:rFonts w:ascii="仿宋_GB2312" w:eastAsia="仿宋_GB2312" w:cs="仿宋_GB2312" w:hint="eastAsia"/>
          <w:sz w:val="32"/>
          <w:szCs w:val="32"/>
        </w:rPr>
        <w:t>22.37</w:t>
      </w:r>
      <w:r>
        <w:rPr>
          <w:rFonts w:ascii="仿宋_GB2312" w:eastAsia="仿宋_GB2312" w:cs="仿宋_GB2312" w:hint="eastAsia"/>
          <w:sz w:val="32"/>
          <w:szCs w:val="32"/>
        </w:rPr>
        <w:t>%</w:t>
      </w:r>
      <w:r>
        <w:rPr>
          <w:rFonts w:ascii="仿宋_GB2312" w:eastAsia="仿宋_GB2312" w:cs="仿宋_GB2312" w:hint="eastAsia"/>
          <w:sz w:val="32"/>
          <w:szCs w:val="32"/>
        </w:rPr>
        <w:t>。主要变动原因：</w:t>
      </w:r>
      <w:r>
        <w:rPr>
          <w:rFonts w:ascii="仿宋_GB2312" w:eastAsia="仿宋_GB2312" w:cs="仿宋_GB2312" w:hint="eastAsia"/>
          <w:sz w:val="32"/>
          <w:szCs w:val="32"/>
        </w:rPr>
        <w:t>减少了项目支出。</w:t>
      </w:r>
    </w:p>
    <w:p w:rsidR="002D517E" w:rsidRDefault="00A63916">
      <w:pPr>
        <w:spacing w:line="600" w:lineRule="exact"/>
        <w:ind w:firstLine="640"/>
        <w:rPr>
          <w:rFonts w:ascii="仿宋" w:eastAsia="仿宋"/>
          <w:sz w:val="32"/>
          <w:szCs w:val="32"/>
        </w:rPr>
      </w:pPr>
      <w:r>
        <w:rPr>
          <w:rFonts w:ascii="仿宋" w:eastAsia="仿宋" w:hint="eastAsia"/>
          <w:b/>
          <w:sz w:val="32"/>
          <w:szCs w:val="32"/>
        </w:rPr>
        <w:t>（注：数据来源于财决</w:t>
      </w:r>
      <w:r>
        <w:rPr>
          <w:rFonts w:ascii="仿宋" w:eastAsia="仿宋"/>
          <w:b/>
          <w:sz w:val="32"/>
          <w:szCs w:val="32"/>
        </w:rPr>
        <w:t>01-1</w:t>
      </w:r>
      <w:r>
        <w:rPr>
          <w:rFonts w:ascii="仿宋" w:eastAsia="仿宋" w:hint="eastAsia"/>
          <w:b/>
          <w:sz w:val="32"/>
          <w:szCs w:val="32"/>
        </w:rPr>
        <w:t>表</w:t>
      </w:r>
      <w:r>
        <w:rPr>
          <w:rFonts w:ascii="仿宋" w:eastAsia="仿宋"/>
          <w:b/>
          <w:sz w:val="32"/>
          <w:szCs w:val="32"/>
        </w:rPr>
        <w:t>）</w:t>
      </w:r>
    </w:p>
    <w:p w:rsidR="002D517E" w:rsidRDefault="00A63916">
      <w:pPr>
        <w:spacing w:line="600" w:lineRule="exact"/>
        <w:ind w:firstLineChars="200" w:firstLine="640"/>
        <w:rPr>
          <w:rFonts w:ascii="仿宋" w:eastAsia="仿宋"/>
          <w:b/>
          <w:sz w:val="32"/>
          <w:szCs w:val="32"/>
        </w:rPr>
      </w:pPr>
      <w:r>
        <w:rPr>
          <w:rFonts w:ascii="仿宋" w:eastAsia="仿宋" w:hint="eastAsia"/>
          <w:sz w:val="32"/>
          <w:szCs w:val="32"/>
        </w:rPr>
        <w:t>（图</w:t>
      </w:r>
      <w:r>
        <w:rPr>
          <w:rFonts w:ascii="仿宋" w:eastAsia="仿宋" w:hint="eastAsia"/>
          <w:sz w:val="32"/>
          <w:szCs w:val="32"/>
        </w:rPr>
        <w:t>4</w:t>
      </w:r>
      <w:r>
        <w:rPr>
          <w:rFonts w:ascii="仿宋" w:eastAsia="仿宋" w:hint="eastAsia"/>
          <w:sz w:val="32"/>
          <w:szCs w:val="32"/>
        </w:rPr>
        <w:t>：财政拨款收、支决算总计变动情况）（柱状图）</w:t>
      </w:r>
      <w:r>
        <w:rPr>
          <w:noProof/>
        </w:rPr>
        <w:drawing>
          <wp:anchor distT="0" distB="0" distL="114300" distR="114300" simplePos="0" relativeHeight="24" behindDoc="0" locked="0" layoutInCell="1" allowOverlap="1">
            <wp:simplePos x="0" y="0"/>
            <wp:positionH relativeFrom="column">
              <wp:posOffset>357505</wp:posOffset>
            </wp:positionH>
            <wp:positionV relativeFrom="paragraph">
              <wp:posOffset>149225</wp:posOffset>
            </wp:positionV>
            <wp:extent cx="4827905" cy="2743200"/>
            <wp:effectExtent l="0" t="0" r="0" b="0"/>
            <wp:wrapTopAndBottom/>
            <wp:docPr id="4"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D517E" w:rsidRDefault="00A63916">
      <w:pPr>
        <w:spacing w:line="600" w:lineRule="exact"/>
        <w:ind w:firstLineChars="200" w:firstLine="640"/>
        <w:outlineLvl w:val="1"/>
        <w:rPr>
          <w:rStyle w:val="2Char"/>
          <w:rFonts w:ascii="黑体" w:eastAsia="黑体"/>
          <w:b w:val="0"/>
        </w:rPr>
      </w:pPr>
      <w:bookmarkStart w:id="29" w:name="_Toc15377209"/>
      <w:bookmarkStart w:id="30" w:name="_Toc15396607"/>
      <w:r>
        <w:rPr>
          <w:rFonts w:ascii="黑体" w:eastAsia="黑体" w:hint="eastAsia"/>
          <w:sz w:val="32"/>
          <w:szCs w:val="32"/>
        </w:rPr>
        <w:t>五、</w:t>
      </w:r>
      <w:r>
        <w:rPr>
          <w:rFonts w:ascii="黑体" w:eastAsia="黑体" w:hint="eastAsia"/>
          <w:b/>
          <w:sz w:val="32"/>
          <w:szCs w:val="32"/>
        </w:rPr>
        <w:t>一</w:t>
      </w:r>
      <w:r>
        <w:rPr>
          <w:rStyle w:val="2Char"/>
          <w:rFonts w:ascii="黑体" w:eastAsia="黑体" w:hint="eastAsia"/>
          <w:b w:val="0"/>
        </w:rPr>
        <w:t>般公共预算财政拨款支出决算情况说明</w:t>
      </w:r>
      <w:bookmarkEnd w:id="29"/>
      <w:bookmarkEnd w:id="30"/>
    </w:p>
    <w:p w:rsidR="002D517E" w:rsidRDefault="00A63916" w:rsidP="00A63916">
      <w:pPr>
        <w:spacing w:line="600" w:lineRule="exact"/>
        <w:ind w:firstLineChars="200" w:firstLine="643"/>
        <w:outlineLvl w:val="2"/>
        <w:rPr>
          <w:rFonts w:ascii="仿宋" w:eastAsia="仿宋"/>
          <w:b/>
          <w:sz w:val="32"/>
          <w:szCs w:val="32"/>
        </w:rPr>
      </w:pPr>
      <w:bookmarkStart w:id="31" w:name="_Toc15377210"/>
      <w:r>
        <w:rPr>
          <w:rFonts w:ascii="仿宋" w:eastAsia="仿宋" w:hint="eastAsia"/>
          <w:b/>
          <w:sz w:val="32"/>
          <w:szCs w:val="32"/>
        </w:rPr>
        <w:t>（一）一般公共预算财政拨款支出决算总体情况</w:t>
      </w:r>
      <w:bookmarkEnd w:id="31"/>
    </w:p>
    <w:p w:rsidR="002D517E" w:rsidRDefault="00A63916">
      <w:pPr>
        <w:spacing w:line="600" w:lineRule="exact"/>
        <w:ind w:firstLineChars="200" w:firstLine="420"/>
        <w:rPr>
          <w:rFonts w:ascii="仿宋" w:eastAsia="仿宋"/>
          <w:sz w:val="32"/>
          <w:szCs w:val="32"/>
        </w:rPr>
      </w:pPr>
      <w:r>
        <w:rPr>
          <w:noProof/>
        </w:rPr>
        <w:drawing>
          <wp:anchor distT="0" distB="0" distL="114300" distR="114300" simplePos="0" relativeHeight="26" behindDoc="0" locked="0" layoutInCell="1" allowOverlap="1">
            <wp:simplePos x="0" y="0"/>
            <wp:positionH relativeFrom="column">
              <wp:posOffset>149225</wp:posOffset>
            </wp:positionH>
            <wp:positionV relativeFrom="paragraph">
              <wp:posOffset>36194</wp:posOffset>
            </wp:positionV>
            <wp:extent cx="4827905" cy="2316479"/>
            <wp:effectExtent l="0" t="0" r="0" b="0"/>
            <wp:wrapTopAndBottom/>
            <wp:docPr id="5"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int="eastAsia"/>
          <w:sz w:val="32"/>
          <w:szCs w:val="32"/>
        </w:rPr>
        <w:t>2023</w:t>
      </w:r>
      <w:r>
        <w:rPr>
          <w:rFonts w:ascii="仿宋" w:eastAsia="仿宋" w:hint="eastAsia"/>
          <w:sz w:val="32"/>
          <w:szCs w:val="32"/>
        </w:rPr>
        <w:t>年度一般公共预算财政拨款支出</w:t>
      </w:r>
      <w:r>
        <w:rPr>
          <w:rFonts w:ascii="仿宋" w:eastAsia="仿宋"/>
          <w:b/>
          <w:sz w:val="32"/>
          <w:szCs w:val="32"/>
        </w:rPr>
        <w:t>831.39</w:t>
      </w:r>
      <w:r>
        <w:rPr>
          <w:rFonts w:ascii="仿宋" w:eastAsia="仿宋" w:hint="eastAsia"/>
          <w:sz w:val="32"/>
          <w:szCs w:val="32"/>
        </w:rPr>
        <w:t>万元，占本</w:t>
      </w:r>
      <w:r>
        <w:rPr>
          <w:rFonts w:ascii="仿宋" w:eastAsia="仿宋" w:hint="eastAsia"/>
          <w:sz w:val="32"/>
          <w:szCs w:val="32"/>
        </w:rPr>
        <w:lastRenderedPageBreak/>
        <w:t>年支出合计的</w:t>
      </w:r>
      <w:r>
        <w:rPr>
          <w:rFonts w:ascii="仿宋" w:eastAsia="仿宋"/>
          <w:b/>
          <w:sz w:val="32"/>
          <w:szCs w:val="32"/>
        </w:rPr>
        <w:t>100</w:t>
      </w:r>
      <w:r>
        <w:rPr>
          <w:rFonts w:ascii="仿宋" w:eastAsia="仿宋"/>
          <w:sz w:val="32"/>
          <w:szCs w:val="32"/>
        </w:rPr>
        <w:t>%</w:t>
      </w:r>
      <w:r>
        <w:rPr>
          <w:rFonts w:ascii="仿宋" w:eastAsia="仿宋" w:hint="eastAsia"/>
          <w:sz w:val="32"/>
          <w:szCs w:val="32"/>
        </w:rPr>
        <w:t>。与</w:t>
      </w:r>
      <w:r>
        <w:rPr>
          <w:rFonts w:ascii="仿宋" w:eastAsia="仿宋" w:hint="eastAsia"/>
          <w:sz w:val="32"/>
          <w:szCs w:val="32"/>
        </w:rPr>
        <w:t>2022</w:t>
      </w:r>
      <w:r>
        <w:rPr>
          <w:rFonts w:ascii="仿宋" w:eastAsia="仿宋" w:hint="eastAsia"/>
          <w:sz w:val="32"/>
          <w:szCs w:val="32"/>
        </w:rPr>
        <w:t>年度相比，一般公共预算财政拨款支出</w:t>
      </w:r>
      <w:r>
        <w:rPr>
          <w:rFonts w:ascii="仿宋_GB2312" w:eastAsia="仿宋_GB2312" w:cs="仿宋_GB2312" w:hint="eastAsia"/>
          <w:sz w:val="32"/>
          <w:szCs w:val="32"/>
        </w:rPr>
        <w:t>减少</w:t>
      </w:r>
      <w:r>
        <w:rPr>
          <w:rFonts w:ascii="仿宋_GB2312" w:eastAsia="仿宋_GB2312" w:cs="仿宋_GB2312" w:hint="eastAsia"/>
          <w:sz w:val="32"/>
          <w:szCs w:val="32"/>
        </w:rPr>
        <w:t>22.37</w:t>
      </w:r>
      <w:r>
        <w:rPr>
          <w:rFonts w:ascii="仿宋_GB2312" w:eastAsia="仿宋_GB2312" w:cs="仿宋_GB2312" w:hint="eastAsia"/>
          <w:sz w:val="32"/>
          <w:szCs w:val="32"/>
        </w:rPr>
        <w:t>%</w:t>
      </w:r>
      <w:r>
        <w:rPr>
          <w:rFonts w:ascii="仿宋_GB2312" w:eastAsia="仿宋_GB2312" w:cs="仿宋_GB2312" w:hint="eastAsia"/>
          <w:sz w:val="32"/>
          <w:szCs w:val="32"/>
        </w:rPr>
        <w:t>。主要变动原因：</w:t>
      </w:r>
      <w:r>
        <w:rPr>
          <w:rFonts w:ascii="仿宋_GB2312" w:eastAsia="仿宋_GB2312" w:cs="仿宋_GB2312" w:hint="eastAsia"/>
          <w:sz w:val="32"/>
          <w:szCs w:val="32"/>
        </w:rPr>
        <w:t>减少了项目支出。</w:t>
      </w:r>
    </w:p>
    <w:p w:rsidR="002D517E" w:rsidRDefault="00A63916">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5</w:t>
      </w:r>
      <w:r>
        <w:rPr>
          <w:rFonts w:ascii="仿宋" w:eastAsia="仿宋" w:hint="eastAsia"/>
          <w:sz w:val="32"/>
          <w:szCs w:val="32"/>
        </w:rPr>
        <w:t>：一般公共预算财政拨款支出决算变动情况）（柱状图）</w:t>
      </w:r>
    </w:p>
    <w:p w:rsidR="002D517E" w:rsidRDefault="00A63916" w:rsidP="00A63916">
      <w:pPr>
        <w:spacing w:line="600" w:lineRule="exact"/>
        <w:ind w:firstLineChars="200" w:firstLine="643"/>
        <w:outlineLvl w:val="2"/>
        <w:rPr>
          <w:rFonts w:ascii="仿宋" w:eastAsia="仿宋"/>
          <w:b/>
          <w:sz w:val="32"/>
          <w:szCs w:val="32"/>
        </w:rPr>
      </w:pPr>
      <w:bookmarkStart w:id="32" w:name="_Toc15377211"/>
      <w:r>
        <w:rPr>
          <w:rFonts w:ascii="仿宋" w:eastAsia="仿宋" w:hint="eastAsia"/>
          <w:b/>
          <w:sz w:val="32"/>
          <w:szCs w:val="32"/>
        </w:rPr>
        <w:t>（二）一般公共预算财政拨款支</w:t>
      </w:r>
      <w:r>
        <w:rPr>
          <w:rFonts w:ascii="仿宋" w:eastAsia="仿宋" w:hint="eastAsia"/>
          <w:b/>
          <w:sz w:val="32"/>
          <w:szCs w:val="32"/>
        </w:rPr>
        <w:t>出决算结构情况</w:t>
      </w:r>
      <w:bookmarkEnd w:id="32"/>
    </w:p>
    <w:p w:rsidR="002D517E" w:rsidRDefault="00A63916">
      <w:pPr>
        <w:spacing w:line="600" w:lineRule="exact"/>
        <w:ind w:firstLine="640"/>
        <w:rPr>
          <w:rFonts w:ascii="仿宋" w:eastAsia="仿宋"/>
          <w:b/>
          <w:sz w:val="32"/>
          <w:szCs w:val="32"/>
        </w:rPr>
      </w:pPr>
      <w:r>
        <w:rPr>
          <w:rFonts w:ascii="仿宋" w:eastAsia="仿宋" w:hint="eastAsia"/>
          <w:sz w:val="32"/>
          <w:szCs w:val="32"/>
        </w:rPr>
        <w:t>2023</w:t>
      </w:r>
      <w:r>
        <w:rPr>
          <w:rFonts w:ascii="仿宋" w:eastAsia="仿宋" w:hint="eastAsia"/>
          <w:sz w:val="32"/>
          <w:szCs w:val="32"/>
        </w:rPr>
        <w:t>年度一般公共预算财政拨款支出</w:t>
      </w:r>
      <w:r>
        <w:rPr>
          <w:rFonts w:ascii="仿宋" w:eastAsia="仿宋"/>
          <w:b/>
          <w:sz w:val="32"/>
          <w:szCs w:val="32"/>
        </w:rPr>
        <w:t>831.39</w:t>
      </w:r>
      <w:r>
        <w:rPr>
          <w:rFonts w:ascii="仿宋" w:eastAsia="仿宋" w:hint="eastAsia"/>
          <w:sz w:val="32"/>
          <w:szCs w:val="32"/>
        </w:rPr>
        <w:t>万元，主要用于以下方面</w:t>
      </w:r>
      <w:r>
        <w:rPr>
          <w:rFonts w:ascii="仿宋" w:eastAsia="仿宋"/>
          <w:sz w:val="32"/>
          <w:szCs w:val="32"/>
        </w:rPr>
        <w:t>:</w:t>
      </w:r>
      <w:r>
        <w:rPr>
          <w:rFonts w:ascii="仿宋" w:eastAsia="仿宋" w:hint="eastAsia"/>
          <w:b/>
          <w:sz w:val="32"/>
          <w:szCs w:val="32"/>
        </w:rPr>
        <w:t>社会保障和就业</w:t>
      </w:r>
      <w:r>
        <w:rPr>
          <w:rFonts w:ascii="仿宋" w:eastAsia="仿宋" w:hint="eastAsia"/>
          <w:b/>
          <w:bCs/>
          <w:sz w:val="32"/>
          <w:szCs w:val="32"/>
        </w:rPr>
        <w:t>支出</w:t>
      </w:r>
      <w:r>
        <w:rPr>
          <w:rFonts w:ascii="仿宋" w:eastAsia="仿宋" w:hint="eastAsia"/>
          <w:sz w:val="32"/>
          <w:szCs w:val="32"/>
        </w:rPr>
        <w:t>811.46</w:t>
      </w:r>
      <w:r>
        <w:rPr>
          <w:rFonts w:ascii="仿宋" w:eastAsia="仿宋" w:hint="eastAsia"/>
          <w:sz w:val="32"/>
          <w:szCs w:val="32"/>
        </w:rPr>
        <w:t>万元，占</w:t>
      </w:r>
      <w:r>
        <w:rPr>
          <w:rFonts w:ascii="仿宋" w:eastAsia="仿宋" w:hint="eastAsia"/>
          <w:sz w:val="32"/>
          <w:szCs w:val="32"/>
        </w:rPr>
        <w:t>97.60</w:t>
      </w:r>
      <w:r>
        <w:rPr>
          <w:rFonts w:ascii="仿宋" w:eastAsia="仿宋"/>
          <w:sz w:val="32"/>
          <w:szCs w:val="32"/>
        </w:rPr>
        <w:t>%</w:t>
      </w:r>
      <w:r>
        <w:rPr>
          <w:rFonts w:ascii="仿宋" w:eastAsia="仿宋" w:hint="eastAsia"/>
          <w:sz w:val="32"/>
          <w:szCs w:val="32"/>
        </w:rPr>
        <w:t>；</w:t>
      </w:r>
      <w:r>
        <w:rPr>
          <w:rFonts w:ascii="仿宋" w:eastAsia="仿宋" w:hint="eastAsia"/>
          <w:b/>
          <w:bCs/>
          <w:sz w:val="32"/>
          <w:szCs w:val="32"/>
        </w:rPr>
        <w:t>卫生健康支出</w:t>
      </w:r>
      <w:r>
        <w:rPr>
          <w:rFonts w:ascii="仿宋" w:eastAsia="仿宋" w:hint="eastAsia"/>
          <w:b/>
          <w:bCs/>
          <w:sz w:val="32"/>
          <w:szCs w:val="32"/>
        </w:rPr>
        <w:t>4.83</w:t>
      </w:r>
      <w:r>
        <w:rPr>
          <w:rFonts w:ascii="仿宋" w:eastAsia="仿宋" w:hint="eastAsia"/>
          <w:sz w:val="32"/>
          <w:szCs w:val="32"/>
        </w:rPr>
        <w:t>万元，占</w:t>
      </w:r>
      <w:r>
        <w:rPr>
          <w:rFonts w:ascii="仿宋" w:eastAsia="仿宋" w:hint="eastAsia"/>
          <w:sz w:val="32"/>
          <w:szCs w:val="32"/>
        </w:rPr>
        <w:t>0.58</w:t>
      </w:r>
      <w:r>
        <w:rPr>
          <w:rFonts w:ascii="仿宋" w:eastAsia="仿宋"/>
          <w:sz w:val="32"/>
          <w:szCs w:val="32"/>
        </w:rPr>
        <w:t>%</w:t>
      </w:r>
      <w:r>
        <w:rPr>
          <w:rFonts w:ascii="仿宋" w:eastAsia="仿宋" w:hint="eastAsia"/>
          <w:sz w:val="32"/>
          <w:szCs w:val="32"/>
        </w:rPr>
        <w:t>；</w:t>
      </w:r>
      <w:r>
        <w:rPr>
          <w:rFonts w:ascii="仿宋" w:eastAsia="仿宋" w:hint="eastAsia"/>
          <w:b/>
          <w:bCs/>
          <w:sz w:val="32"/>
          <w:szCs w:val="32"/>
        </w:rPr>
        <w:t>住房保障支出</w:t>
      </w:r>
      <w:r>
        <w:rPr>
          <w:rFonts w:ascii="仿宋" w:eastAsia="仿宋" w:hint="eastAsia"/>
          <w:b/>
          <w:bCs/>
          <w:sz w:val="32"/>
          <w:szCs w:val="32"/>
        </w:rPr>
        <w:t>15.10</w:t>
      </w:r>
      <w:r>
        <w:rPr>
          <w:rFonts w:ascii="仿宋" w:eastAsia="仿宋" w:hint="eastAsia"/>
          <w:sz w:val="32"/>
          <w:szCs w:val="32"/>
        </w:rPr>
        <w:t>万元，占</w:t>
      </w:r>
      <w:r>
        <w:rPr>
          <w:rFonts w:ascii="仿宋" w:eastAsia="仿宋" w:hint="eastAsia"/>
          <w:sz w:val="32"/>
          <w:szCs w:val="32"/>
        </w:rPr>
        <w:t>1.82</w:t>
      </w:r>
      <w:r>
        <w:rPr>
          <w:rFonts w:ascii="仿宋" w:eastAsia="仿宋"/>
          <w:sz w:val="32"/>
          <w:szCs w:val="32"/>
        </w:rPr>
        <w:t>%</w:t>
      </w:r>
      <w:r>
        <w:rPr>
          <w:rFonts w:ascii="仿宋" w:eastAsia="仿宋" w:hint="eastAsia"/>
          <w:sz w:val="32"/>
          <w:szCs w:val="32"/>
        </w:rPr>
        <w:t>。</w:t>
      </w:r>
    </w:p>
    <w:p w:rsidR="002D517E" w:rsidRDefault="00A63916">
      <w:pPr>
        <w:spacing w:line="600" w:lineRule="exact"/>
        <w:ind w:firstLine="640"/>
        <w:rPr>
          <w:rFonts w:ascii="仿宋" w:eastAsia="仿宋"/>
          <w:b/>
          <w:sz w:val="32"/>
          <w:szCs w:val="32"/>
        </w:rPr>
      </w:pPr>
      <w:r>
        <w:rPr>
          <w:noProof/>
        </w:rPr>
        <w:drawing>
          <wp:anchor distT="0" distB="0" distL="114300" distR="114300" simplePos="0" relativeHeight="28" behindDoc="0" locked="0" layoutInCell="1" allowOverlap="1">
            <wp:simplePos x="0" y="0"/>
            <wp:positionH relativeFrom="column">
              <wp:posOffset>167005</wp:posOffset>
            </wp:positionH>
            <wp:positionV relativeFrom="paragraph">
              <wp:posOffset>1043305</wp:posOffset>
            </wp:positionV>
            <wp:extent cx="4572000" cy="3373120"/>
            <wp:effectExtent l="0" t="0" r="0" b="0"/>
            <wp:wrapTopAndBottom/>
            <wp:docPr id="6"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int="eastAsia"/>
          <w:b/>
          <w:sz w:val="32"/>
          <w:szCs w:val="32"/>
        </w:rPr>
        <w:t>（注：数据来源于财决</w:t>
      </w:r>
      <w:r>
        <w:rPr>
          <w:rFonts w:ascii="仿宋" w:eastAsia="仿宋" w:hint="eastAsia"/>
          <w:b/>
          <w:sz w:val="32"/>
          <w:szCs w:val="32"/>
        </w:rPr>
        <w:t>01-1</w:t>
      </w:r>
      <w:r>
        <w:rPr>
          <w:rFonts w:ascii="仿宋" w:eastAsia="仿宋" w:hint="eastAsia"/>
          <w:b/>
          <w:sz w:val="32"/>
          <w:szCs w:val="32"/>
        </w:rPr>
        <w:t>表，仅罗列本单位涉及的全部功能分类科目，至类级。）</w:t>
      </w:r>
    </w:p>
    <w:p w:rsidR="002D517E" w:rsidRDefault="002D517E">
      <w:pPr>
        <w:spacing w:line="600" w:lineRule="exact"/>
        <w:ind w:firstLine="640"/>
        <w:rPr>
          <w:rFonts w:ascii="仿宋" w:eastAsia="仿宋"/>
          <w:sz w:val="32"/>
          <w:szCs w:val="32"/>
        </w:rPr>
      </w:pPr>
    </w:p>
    <w:p w:rsidR="002D517E" w:rsidRDefault="00A63916">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6</w:t>
      </w:r>
      <w:r>
        <w:rPr>
          <w:rFonts w:ascii="仿宋" w:eastAsia="仿宋" w:hint="eastAsia"/>
          <w:sz w:val="32"/>
          <w:szCs w:val="32"/>
        </w:rPr>
        <w:t>：一般公共预算财政拨款支出决算结构）（饼状</w:t>
      </w:r>
      <w:r>
        <w:rPr>
          <w:rFonts w:ascii="仿宋" w:eastAsia="仿宋" w:hint="eastAsia"/>
          <w:sz w:val="32"/>
          <w:szCs w:val="32"/>
        </w:rPr>
        <w:lastRenderedPageBreak/>
        <w:t>图）</w:t>
      </w:r>
    </w:p>
    <w:p w:rsidR="002D517E" w:rsidRDefault="002D517E">
      <w:pPr>
        <w:spacing w:line="600" w:lineRule="exact"/>
        <w:ind w:firstLineChars="200" w:firstLine="640"/>
        <w:rPr>
          <w:rFonts w:ascii="仿宋" w:eastAsia="仿宋"/>
          <w:sz w:val="32"/>
          <w:szCs w:val="32"/>
        </w:rPr>
      </w:pPr>
    </w:p>
    <w:p w:rsidR="002D517E" w:rsidRDefault="00A63916" w:rsidP="00A63916">
      <w:pPr>
        <w:spacing w:line="600" w:lineRule="exact"/>
        <w:ind w:firstLineChars="200" w:firstLine="643"/>
        <w:outlineLvl w:val="2"/>
        <w:rPr>
          <w:rFonts w:ascii="仿宋" w:eastAsia="仿宋"/>
          <w:b/>
          <w:sz w:val="32"/>
          <w:szCs w:val="32"/>
        </w:rPr>
      </w:pPr>
      <w:bookmarkStart w:id="33" w:name="_Toc15377212"/>
      <w:r>
        <w:rPr>
          <w:rFonts w:ascii="仿宋" w:eastAsia="仿宋" w:hint="eastAsia"/>
          <w:b/>
          <w:sz w:val="32"/>
          <w:szCs w:val="32"/>
        </w:rPr>
        <w:t>（三）一般公共预算财政拨款支出决算具体情况</w:t>
      </w:r>
      <w:bookmarkEnd w:id="33"/>
    </w:p>
    <w:p w:rsidR="002D517E" w:rsidRDefault="00A63916" w:rsidP="00A63916">
      <w:pPr>
        <w:spacing w:line="600" w:lineRule="exact"/>
        <w:ind w:firstLineChars="200" w:firstLine="643"/>
        <w:outlineLvl w:val="2"/>
        <w:rPr>
          <w:rFonts w:ascii="仿宋" w:eastAsia="仿宋"/>
          <w:sz w:val="32"/>
          <w:szCs w:val="32"/>
        </w:rPr>
      </w:pPr>
      <w:bookmarkStart w:id="34" w:name="_Toc15377213"/>
      <w:bookmarkStart w:id="35" w:name="_Toc15378460"/>
      <w:bookmarkStart w:id="36" w:name="_Toc15377444"/>
      <w:r>
        <w:rPr>
          <w:rFonts w:ascii="仿宋" w:eastAsia="仿宋" w:hint="eastAsia"/>
          <w:b/>
          <w:sz w:val="32"/>
          <w:szCs w:val="32"/>
        </w:rPr>
        <w:t>2023</w:t>
      </w:r>
      <w:r>
        <w:rPr>
          <w:rFonts w:ascii="仿宋" w:eastAsia="仿宋" w:hint="eastAsia"/>
          <w:b/>
          <w:sz w:val="32"/>
          <w:szCs w:val="32"/>
        </w:rPr>
        <w:t>年度一般公共预算支出决算数为</w:t>
      </w:r>
      <w:r>
        <w:rPr>
          <w:rFonts w:ascii="仿宋" w:eastAsia="仿宋"/>
          <w:b/>
          <w:sz w:val="32"/>
          <w:szCs w:val="32"/>
        </w:rPr>
        <w:t>831.39</w:t>
      </w:r>
      <w:r>
        <w:rPr>
          <w:rFonts w:ascii="仿宋" w:eastAsia="仿宋" w:hint="eastAsia"/>
          <w:sz w:val="32"/>
          <w:szCs w:val="32"/>
        </w:rPr>
        <w:t>，</w:t>
      </w:r>
      <w:r>
        <w:rPr>
          <w:rStyle w:val="a8"/>
          <w:rFonts w:ascii="仿宋" w:eastAsia="仿宋" w:hint="eastAsia"/>
          <w:bCs/>
          <w:sz w:val="32"/>
          <w:szCs w:val="32"/>
        </w:rPr>
        <w:t>完成预算</w:t>
      </w:r>
      <w:r>
        <w:rPr>
          <w:rStyle w:val="a8"/>
          <w:rFonts w:ascii="仿宋" w:eastAsia="仿宋" w:hint="eastAsia"/>
          <w:bCs/>
          <w:sz w:val="32"/>
          <w:szCs w:val="32"/>
        </w:rPr>
        <w:t>100</w:t>
      </w:r>
      <w:r>
        <w:rPr>
          <w:rStyle w:val="a8"/>
          <w:rFonts w:ascii="仿宋" w:eastAsia="仿宋"/>
          <w:bCs/>
          <w:sz w:val="32"/>
          <w:szCs w:val="32"/>
        </w:rPr>
        <w:t>%</w:t>
      </w:r>
      <w:r>
        <w:rPr>
          <w:rStyle w:val="a8"/>
          <w:rFonts w:ascii="仿宋" w:eastAsia="仿宋" w:hint="eastAsia"/>
          <w:bCs/>
          <w:sz w:val="32"/>
          <w:szCs w:val="32"/>
        </w:rPr>
        <w:t>。其中：</w:t>
      </w:r>
      <w:bookmarkEnd w:id="34"/>
      <w:bookmarkEnd w:id="35"/>
      <w:bookmarkEnd w:id="36"/>
    </w:p>
    <w:p w:rsidR="002D517E" w:rsidRDefault="00A63916">
      <w:pPr>
        <w:numPr>
          <w:ilvl w:val="0"/>
          <w:numId w:val="3"/>
        </w:num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社会保障和就业</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05</w:t>
      </w:r>
      <w:r>
        <w:rPr>
          <w:rFonts w:ascii="仿宋_GB2312" w:eastAsia="仿宋_GB2312" w:cs="仿宋_GB2312" w:hint="eastAsia"/>
          <w:sz w:val="32"/>
          <w:szCs w:val="32"/>
        </w:rPr>
        <w:t>（款）</w:t>
      </w:r>
      <w:r>
        <w:rPr>
          <w:rFonts w:ascii="仿宋_GB2312" w:eastAsia="仿宋_GB2312" w:cs="仿宋_GB2312" w:hint="eastAsia"/>
          <w:sz w:val="32"/>
          <w:szCs w:val="32"/>
        </w:rPr>
        <w:t>0</w:t>
      </w:r>
      <w:r>
        <w:rPr>
          <w:rFonts w:ascii="仿宋_GB2312" w:eastAsia="仿宋_GB2312" w:cs="仿宋_GB2312" w:hint="eastAsia"/>
          <w:sz w:val="32"/>
          <w:szCs w:val="32"/>
        </w:rPr>
        <w:t>5</w:t>
      </w:r>
      <w:r>
        <w:rPr>
          <w:rFonts w:ascii="仿宋_GB2312" w:eastAsia="仿宋_GB2312" w:cs="仿宋_GB2312" w:hint="eastAsia"/>
          <w:sz w:val="32"/>
          <w:szCs w:val="32"/>
        </w:rPr>
        <w:t>（项）</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4.27</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p>
    <w:p w:rsidR="002D517E" w:rsidRDefault="00A63916">
      <w:pPr>
        <w:numPr>
          <w:ilvl w:val="0"/>
          <w:numId w:val="3"/>
        </w:num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社会保障和就业</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05</w:t>
      </w:r>
      <w:r>
        <w:rPr>
          <w:rFonts w:ascii="仿宋_GB2312" w:eastAsia="仿宋_GB2312" w:cs="仿宋_GB2312" w:hint="eastAsia"/>
          <w:sz w:val="32"/>
          <w:szCs w:val="32"/>
        </w:rPr>
        <w:t>（款）</w:t>
      </w:r>
      <w:r>
        <w:rPr>
          <w:rFonts w:ascii="仿宋_GB2312" w:eastAsia="仿宋_GB2312" w:cs="仿宋_GB2312" w:hint="eastAsia"/>
          <w:sz w:val="32"/>
          <w:szCs w:val="32"/>
        </w:rPr>
        <w:t>99</w:t>
      </w:r>
      <w:r>
        <w:rPr>
          <w:rFonts w:ascii="仿宋_GB2312" w:eastAsia="仿宋_GB2312" w:cs="仿宋_GB2312" w:hint="eastAsia"/>
          <w:sz w:val="32"/>
          <w:szCs w:val="32"/>
        </w:rPr>
        <w:t>（项）</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2.06</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p>
    <w:p w:rsidR="002D517E" w:rsidRDefault="00A63916">
      <w:pPr>
        <w:numPr>
          <w:ilvl w:val="0"/>
          <w:numId w:val="3"/>
        </w:num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社会保障和就业</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11</w:t>
      </w:r>
      <w:r>
        <w:rPr>
          <w:rFonts w:ascii="仿宋_GB2312" w:eastAsia="仿宋_GB2312" w:cs="仿宋_GB2312" w:hint="eastAsia"/>
          <w:sz w:val="32"/>
          <w:szCs w:val="32"/>
        </w:rPr>
        <w:t>（款）</w:t>
      </w:r>
      <w:r>
        <w:rPr>
          <w:rFonts w:ascii="仿宋_GB2312" w:eastAsia="仿宋_GB2312" w:cs="仿宋_GB2312" w:hint="eastAsia"/>
          <w:sz w:val="32"/>
          <w:szCs w:val="32"/>
        </w:rPr>
        <w:t>03</w:t>
      </w:r>
      <w:r>
        <w:rPr>
          <w:rFonts w:ascii="仿宋_GB2312" w:eastAsia="仿宋_GB2312" w:cs="仿宋_GB2312" w:hint="eastAsia"/>
          <w:sz w:val="32"/>
          <w:szCs w:val="32"/>
        </w:rPr>
        <w:t>（项）</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125.27</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2D517E" w:rsidRDefault="00A63916">
      <w:pPr>
        <w:numPr>
          <w:ilvl w:val="0"/>
          <w:numId w:val="3"/>
        </w:num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社会保障和就业</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11</w:t>
      </w:r>
      <w:r>
        <w:rPr>
          <w:rFonts w:ascii="仿宋_GB2312" w:eastAsia="仿宋_GB2312" w:cs="仿宋_GB2312" w:hint="eastAsia"/>
          <w:sz w:val="32"/>
          <w:szCs w:val="32"/>
        </w:rPr>
        <w:t>（款）</w:t>
      </w:r>
      <w:r>
        <w:rPr>
          <w:rFonts w:ascii="仿宋_GB2312" w:eastAsia="仿宋_GB2312" w:cs="仿宋_GB2312" w:hint="eastAsia"/>
          <w:sz w:val="32"/>
          <w:szCs w:val="32"/>
        </w:rPr>
        <w:t>04</w:t>
      </w:r>
      <w:r>
        <w:rPr>
          <w:rFonts w:ascii="仿宋_GB2312" w:eastAsia="仿宋_GB2312" w:cs="仿宋_GB2312" w:hint="eastAsia"/>
          <w:sz w:val="32"/>
          <w:szCs w:val="32"/>
        </w:rPr>
        <w:t>（项）</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30.10</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2D517E" w:rsidRDefault="00A63916">
      <w:pPr>
        <w:numPr>
          <w:ilvl w:val="0"/>
          <w:numId w:val="3"/>
        </w:num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社会保障和就业</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11</w:t>
      </w:r>
      <w:r>
        <w:rPr>
          <w:rFonts w:ascii="仿宋_GB2312" w:eastAsia="仿宋_GB2312" w:cs="仿宋_GB2312" w:hint="eastAsia"/>
          <w:sz w:val="32"/>
          <w:szCs w:val="32"/>
        </w:rPr>
        <w:t>（款）</w:t>
      </w:r>
      <w:r>
        <w:rPr>
          <w:rFonts w:ascii="仿宋_GB2312" w:eastAsia="仿宋_GB2312" w:cs="仿宋_GB2312" w:hint="eastAsia"/>
          <w:sz w:val="32"/>
          <w:szCs w:val="32"/>
        </w:rPr>
        <w:t>05</w:t>
      </w:r>
      <w:r>
        <w:rPr>
          <w:rFonts w:ascii="仿宋_GB2312" w:eastAsia="仿宋_GB2312" w:cs="仿宋_GB2312" w:hint="eastAsia"/>
          <w:sz w:val="32"/>
          <w:szCs w:val="32"/>
        </w:rPr>
        <w:t>（项）</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78.21</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2D517E" w:rsidRDefault="00A63916">
      <w:pPr>
        <w:numPr>
          <w:ilvl w:val="0"/>
          <w:numId w:val="3"/>
        </w:num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社会保障和就业</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11</w:t>
      </w:r>
      <w:r>
        <w:rPr>
          <w:rFonts w:ascii="仿宋_GB2312" w:eastAsia="仿宋_GB2312" w:cs="仿宋_GB2312" w:hint="eastAsia"/>
          <w:sz w:val="32"/>
          <w:szCs w:val="32"/>
        </w:rPr>
        <w:t>（款）</w:t>
      </w:r>
      <w:r>
        <w:rPr>
          <w:rFonts w:ascii="仿宋_GB2312" w:eastAsia="仿宋_GB2312" w:cs="仿宋_GB2312" w:hint="eastAsia"/>
          <w:sz w:val="32"/>
          <w:szCs w:val="32"/>
        </w:rPr>
        <w:t>99</w:t>
      </w:r>
      <w:r>
        <w:rPr>
          <w:rFonts w:ascii="仿宋_GB2312" w:eastAsia="仿宋_GB2312" w:cs="仿宋_GB2312" w:hint="eastAsia"/>
          <w:sz w:val="32"/>
          <w:szCs w:val="32"/>
        </w:rPr>
        <w:t>（项）</w:t>
      </w:r>
      <w:r>
        <w:rPr>
          <w:rFonts w:ascii="仿宋_GB2312" w:eastAsia="仿宋_GB2312" w:cs="仿宋_GB2312" w:hint="eastAsia"/>
          <w:sz w:val="32"/>
          <w:szCs w:val="32"/>
        </w:rPr>
        <w:t>:</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9.05</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2D517E" w:rsidRDefault="00A63916">
      <w:pPr>
        <w:numPr>
          <w:ilvl w:val="0"/>
          <w:numId w:val="3"/>
        </w:num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社会保障和就业</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30</w:t>
      </w:r>
      <w:r>
        <w:rPr>
          <w:rFonts w:ascii="仿宋_GB2312" w:eastAsia="仿宋_GB2312" w:cs="仿宋_GB2312" w:hint="eastAsia"/>
          <w:sz w:val="32"/>
          <w:szCs w:val="32"/>
        </w:rPr>
        <w:t>（款）</w:t>
      </w:r>
      <w:r>
        <w:rPr>
          <w:rFonts w:ascii="仿宋_GB2312" w:eastAsia="仿宋_GB2312" w:cs="仿宋_GB2312" w:hint="eastAsia"/>
          <w:sz w:val="32"/>
          <w:szCs w:val="32"/>
        </w:rPr>
        <w:t>01</w:t>
      </w:r>
      <w:r>
        <w:rPr>
          <w:rFonts w:ascii="仿宋_GB2312" w:eastAsia="仿宋_GB2312" w:cs="仿宋_GB2312" w:hint="eastAsia"/>
          <w:sz w:val="32"/>
          <w:szCs w:val="32"/>
        </w:rPr>
        <w:t>（项）</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77.29</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2D517E" w:rsidRDefault="00A63916">
      <w:pPr>
        <w:numPr>
          <w:ilvl w:val="0"/>
          <w:numId w:val="3"/>
        </w:num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社会保障和就业</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30</w:t>
      </w:r>
      <w:r>
        <w:rPr>
          <w:rFonts w:ascii="仿宋_GB2312" w:eastAsia="仿宋_GB2312" w:cs="仿宋_GB2312" w:hint="eastAsia"/>
          <w:sz w:val="32"/>
          <w:szCs w:val="32"/>
        </w:rPr>
        <w:t>（款）</w:t>
      </w:r>
      <w:r>
        <w:rPr>
          <w:rFonts w:ascii="仿宋_GB2312" w:eastAsia="仿宋_GB2312" w:cs="仿宋_GB2312" w:hint="eastAsia"/>
          <w:sz w:val="32"/>
          <w:szCs w:val="32"/>
        </w:rPr>
        <w:t>99</w:t>
      </w:r>
      <w:r>
        <w:rPr>
          <w:rFonts w:ascii="仿宋_GB2312" w:eastAsia="仿宋_GB2312" w:cs="仿宋_GB2312" w:hint="eastAsia"/>
          <w:sz w:val="32"/>
          <w:szCs w:val="32"/>
        </w:rPr>
        <w:t>（项）</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484.82</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2D517E" w:rsidRDefault="00A63916">
      <w:pPr>
        <w:numPr>
          <w:ilvl w:val="0"/>
          <w:numId w:val="3"/>
        </w:num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社会保障和就业</w:t>
      </w:r>
      <w:r>
        <w:rPr>
          <w:rFonts w:ascii="仿宋_GB2312" w:eastAsia="仿宋_GB2312" w:cs="仿宋_GB2312" w:hint="eastAsia"/>
          <w:sz w:val="32"/>
          <w:szCs w:val="32"/>
        </w:rPr>
        <w:t>208</w:t>
      </w:r>
      <w:r>
        <w:rPr>
          <w:rFonts w:ascii="仿宋_GB2312" w:eastAsia="仿宋_GB2312" w:cs="仿宋_GB2312" w:hint="eastAsia"/>
          <w:sz w:val="32"/>
          <w:szCs w:val="32"/>
        </w:rPr>
        <w:t>（类）</w:t>
      </w:r>
      <w:r>
        <w:rPr>
          <w:rFonts w:ascii="仿宋_GB2312" w:eastAsia="仿宋_GB2312" w:cs="仿宋_GB2312" w:hint="eastAsia"/>
          <w:sz w:val="32"/>
          <w:szCs w:val="32"/>
        </w:rPr>
        <w:t>99</w:t>
      </w:r>
      <w:r>
        <w:rPr>
          <w:rFonts w:ascii="仿宋_GB2312" w:eastAsia="仿宋_GB2312" w:cs="仿宋_GB2312" w:hint="eastAsia"/>
          <w:sz w:val="32"/>
          <w:szCs w:val="32"/>
        </w:rPr>
        <w:t>（款）</w:t>
      </w:r>
      <w:r>
        <w:rPr>
          <w:rFonts w:ascii="仿宋_GB2312" w:eastAsia="仿宋_GB2312" w:cs="仿宋_GB2312" w:hint="eastAsia"/>
          <w:sz w:val="32"/>
          <w:szCs w:val="32"/>
        </w:rPr>
        <w:t>99</w:t>
      </w:r>
      <w:r>
        <w:rPr>
          <w:rFonts w:ascii="仿宋_GB2312" w:eastAsia="仿宋_GB2312" w:cs="仿宋_GB2312" w:hint="eastAsia"/>
          <w:sz w:val="32"/>
          <w:szCs w:val="32"/>
        </w:rPr>
        <w:t>（项）</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0.39</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2D517E" w:rsidRDefault="00A63916">
      <w:pPr>
        <w:numPr>
          <w:ilvl w:val="0"/>
          <w:numId w:val="3"/>
        </w:numPr>
        <w:spacing w:line="578"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 xml:space="preserve"> </w:t>
      </w:r>
      <w:r>
        <w:rPr>
          <w:rFonts w:ascii="仿宋_GB2312" w:eastAsia="仿宋_GB2312" w:cs="仿宋_GB2312" w:hint="eastAsia"/>
          <w:sz w:val="32"/>
          <w:szCs w:val="32"/>
        </w:rPr>
        <w:t>卫生健康</w:t>
      </w:r>
      <w:r>
        <w:rPr>
          <w:rFonts w:ascii="仿宋_GB2312" w:eastAsia="仿宋_GB2312" w:cs="仿宋_GB2312"/>
          <w:sz w:val="32"/>
          <w:szCs w:val="32"/>
        </w:rPr>
        <w:t>210</w:t>
      </w:r>
      <w:r>
        <w:rPr>
          <w:rFonts w:ascii="仿宋_GB2312" w:eastAsia="仿宋_GB2312" w:cs="仿宋_GB2312" w:hint="eastAsia"/>
          <w:sz w:val="32"/>
          <w:szCs w:val="32"/>
        </w:rPr>
        <w:t>（类）</w:t>
      </w:r>
      <w:r>
        <w:rPr>
          <w:rFonts w:ascii="仿宋_GB2312" w:eastAsia="仿宋_GB2312" w:cs="仿宋_GB2312"/>
          <w:sz w:val="32"/>
          <w:szCs w:val="32"/>
        </w:rPr>
        <w:t>11</w:t>
      </w:r>
      <w:r>
        <w:rPr>
          <w:rFonts w:ascii="仿宋_GB2312" w:eastAsia="仿宋_GB2312" w:cs="仿宋_GB2312" w:hint="eastAsia"/>
          <w:sz w:val="32"/>
          <w:szCs w:val="32"/>
        </w:rPr>
        <w:t>（款）</w:t>
      </w:r>
      <w:r>
        <w:rPr>
          <w:rFonts w:ascii="仿宋_GB2312" w:eastAsia="仿宋_GB2312" w:cs="仿宋_GB2312" w:hint="eastAsia"/>
          <w:sz w:val="32"/>
          <w:szCs w:val="32"/>
        </w:rPr>
        <w:t>02</w:t>
      </w:r>
      <w:r>
        <w:rPr>
          <w:rFonts w:ascii="仿宋_GB2312" w:eastAsia="仿宋_GB2312" w:cs="仿宋_GB2312" w:hint="eastAsia"/>
          <w:sz w:val="32"/>
          <w:szCs w:val="32"/>
        </w:rPr>
        <w:t>（项）</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4.83</w:t>
      </w:r>
      <w:r>
        <w:rPr>
          <w:rFonts w:ascii="仿宋_GB2312" w:eastAsia="仿宋_GB2312" w:cs="仿宋_GB2312" w:hint="eastAsia"/>
          <w:sz w:val="32"/>
          <w:szCs w:val="32"/>
        </w:rPr>
        <w:t>万元，完成预算</w:t>
      </w:r>
      <w:r>
        <w:rPr>
          <w:rFonts w:ascii="仿宋_GB2312" w:eastAsia="仿宋_GB2312" w:cs="仿宋_GB2312" w:hint="eastAsia"/>
          <w:sz w:val="32"/>
          <w:szCs w:val="32"/>
        </w:rPr>
        <w:t>100%</w:t>
      </w:r>
      <w:r>
        <w:rPr>
          <w:rFonts w:ascii="仿宋_GB2312" w:eastAsia="仿宋_GB2312" w:cs="仿宋_GB2312" w:hint="eastAsia"/>
          <w:sz w:val="32"/>
          <w:szCs w:val="32"/>
        </w:rPr>
        <w:t>。</w:t>
      </w:r>
    </w:p>
    <w:p w:rsidR="002D517E" w:rsidRDefault="00A63916">
      <w:pPr>
        <w:numPr>
          <w:ilvl w:val="0"/>
          <w:numId w:val="3"/>
        </w:num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住房保障</w:t>
      </w:r>
      <w:r>
        <w:rPr>
          <w:rFonts w:ascii="仿宋_GB2312" w:eastAsia="仿宋_GB2312" w:cs="仿宋_GB2312"/>
          <w:sz w:val="32"/>
          <w:szCs w:val="32"/>
        </w:rPr>
        <w:t>221</w:t>
      </w:r>
      <w:r>
        <w:rPr>
          <w:rFonts w:ascii="仿宋_GB2312" w:eastAsia="仿宋_GB2312" w:cs="仿宋_GB2312" w:hint="eastAsia"/>
          <w:sz w:val="32"/>
          <w:szCs w:val="32"/>
        </w:rPr>
        <w:t>（类）</w:t>
      </w:r>
      <w:r>
        <w:rPr>
          <w:rFonts w:ascii="仿宋_GB2312" w:eastAsia="仿宋_GB2312" w:cs="仿宋_GB2312"/>
          <w:sz w:val="32"/>
          <w:szCs w:val="32"/>
        </w:rPr>
        <w:t>02</w:t>
      </w:r>
      <w:r>
        <w:rPr>
          <w:rFonts w:ascii="仿宋_GB2312" w:eastAsia="仿宋_GB2312" w:cs="仿宋_GB2312" w:hint="eastAsia"/>
          <w:sz w:val="32"/>
          <w:szCs w:val="32"/>
        </w:rPr>
        <w:t>（款）</w:t>
      </w:r>
      <w:r>
        <w:rPr>
          <w:rFonts w:ascii="仿宋_GB2312" w:eastAsia="仿宋_GB2312" w:cs="仿宋_GB2312"/>
          <w:sz w:val="32"/>
          <w:szCs w:val="32"/>
        </w:rPr>
        <w:t>01</w:t>
      </w:r>
      <w:r>
        <w:rPr>
          <w:rFonts w:ascii="仿宋_GB2312" w:eastAsia="仿宋_GB2312" w:cs="仿宋_GB2312" w:hint="eastAsia"/>
          <w:sz w:val="32"/>
          <w:szCs w:val="32"/>
        </w:rPr>
        <w:t>（项）</w:t>
      </w:r>
      <w:r>
        <w:rPr>
          <w:rFonts w:ascii="仿宋_GB2312" w:eastAsia="仿宋_GB2312" w:cs="仿宋_GB2312" w:hint="eastAsia"/>
          <w:sz w:val="32"/>
          <w:szCs w:val="32"/>
        </w:rPr>
        <w:t xml:space="preserve">: </w:t>
      </w:r>
      <w:r>
        <w:rPr>
          <w:rFonts w:ascii="仿宋_GB2312" w:eastAsia="仿宋_GB2312" w:cs="仿宋_GB2312" w:hint="eastAsia"/>
          <w:sz w:val="32"/>
          <w:szCs w:val="32"/>
        </w:rPr>
        <w:t>支出决算为</w:t>
      </w:r>
      <w:r>
        <w:rPr>
          <w:rFonts w:ascii="仿宋_GB2312" w:eastAsia="仿宋_GB2312" w:cs="仿宋_GB2312" w:hint="eastAsia"/>
          <w:sz w:val="32"/>
          <w:szCs w:val="32"/>
        </w:rPr>
        <w:t>15.10</w:t>
      </w:r>
      <w:r>
        <w:rPr>
          <w:rFonts w:ascii="仿宋_GB2312" w:eastAsia="仿宋_GB2312" w:cs="仿宋_GB2312" w:hint="eastAsia"/>
          <w:sz w:val="32"/>
          <w:szCs w:val="32"/>
        </w:rPr>
        <w:t>万元，完成预算</w:t>
      </w:r>
      <w:r>
        <w:rPr>
          <w:rFonts w:ascii="仿宋_GB2312" w:eastAsia="仿宋_GB2312" w:cs="仿宋_GB2312"/>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w:t>
      </w:r>
    </w:p>
    <w:p w:rsidR="002D517E" w:rsidRDefault="00A63916" w:rsidP="00A63916">
      <w:pPr>
        <w:spacing w:line="600" w:lineRule="exact"/>
        <w:ind w:firstLineChars="200" w:firstLine="643"/>
        <w:rPr>
          <w:rFonts w:ascii="仿宋" w:eastAsia="仿宋"/>
          <w:b/>
          <w:sz w:val="32"/>
          <w:szCs w:val="32"/>
        </w:rPr>
      </w:pPr>
      <w:r>
        <w:rPr>
          <w:rFonts w:ascii="仿宋" w:eastAsia="仿宋" w:hint="eastAsia"/>
          <w:b/>
          <w:sz w:val="32"/>
          <w:szCs w:val="32"/>
        </w:rPr>
        <w:t>（注：数据来源于财决</w:t>
      </w:r>
      <w:r>
        <w:rPr>
          <w:rFonts w:ascii="仿宋" w:eastAsia="仿宋"/>
          <w:b/>
          <w:sz w:val="32"/>
          <w:szCs w:val="32"/>
        </w:rPr>
        <w:t>0</w:t>
      </w:r>
      <w:r>
        <w:rPr>
          <w:rFonts w:ascii="仿宋" w:eastAsia="仿宋" w:hint="eastAsia"/>
          <w:b/>
          <w:sz w:val="32"/>
          <w:szCs w:val="32"/>
        </w:rPr>
        <w:t>1-1</w:t>
      </w:r>
      <w:r>
        <w:rPr>
          <w:rFonts w:ascii="仿宋" w:eastAsia="仿宋" w:hint="eastAsia"/>
          <w:b/>
          <w:sz w:val="32"/>
          <w:szCs w:val="32"/>
        </w:rPr>
        <w:t>表和财决</w:t>
      </w:r>
      <w:r>
        <w:rPr>
          <w:rFonts w:ascii="仿宋" w:eastAsia="仿宋" w:hint="eastAsia"/>
          <w:b/>
          <w:sz w:val="32"/>
          <w:szCs w:val="32"/>
        </w:rPr>
        <w:t>08</w:t>
      </w:r>
      <w:r>
        <w:rPr>
          <w:rFonts w:ascii="仿宋" w:eastAsia="仿宋" w:hint="eastAsia"/>
          <w:b/>
          <w:sz w:val="32"/>
          <w:szCs w:val="32"/>
        </w:rPr>
        <w:t>表，仅罗列本单位涉及的全部功能分类科目，至项级。上述“预算”口径为全年预算数。增减变动原因为决算数</w:t>
      </w:r>
      <w:r>
        <w:rPr>
          <w:rFonts w:ascii="仿宋" w:eastAsia="仿宋"/>
          <w:b/>
          <w:sz w:val="32"/>
          <w:szCs w:val="32"/>
        </w:rPr>
        <w:t>&lt;</w:t>
      </w:r>
      <w:r>
        <w:rPr>
          <w:rFonts w:ascii="仿宋" w:eastAsia="仿宋" w:hint="eastAsia"/>
          <w:b/>
          <w:sz w:val="32"/>
          <w:szCs w:val="32"/>
        </w:rPr>
        <w:t>项级</w:t>
      </w:r>
      <w:r>
        <w:rPr>
          <w:rFonts w:ascii="仿宋" w:eastAsia="仿宋"/>
          <w:b/>
          <w:sz w:val="32"/>
          <w:szCs w:val="32"/>
        </w:rPr>
        <w:t>&gt;</w:t>
      </w:r>
      <w:r>
        <w:rPr>
          <w:rFonts w:ascii="仿宋" w:eastAsia="仿宋" w:hint="eastAsia"/>
          <w:b/>
          <w:sz w:val="32"/>
          <w:szCs w:val="32"/>
        </w:rPr>
        <w:t>和全年预算数</w:t>
      </w:r>
      <w:r>
        <w:rPr>
          <w:rFonts w:ascii="仿宋" w:eastAsia="仿宋"/>
          <w:b/>
          <w:sz w:val="32"/>
          <w:szCs w:val="32"/>
        </w:rPr>
        <w:t>&lt;</w:t>
      </w:r>
      <w:r>
        <w:rPr>
          <w:rFonts w:ascii="仿宋" w:eastAsia="仿宋" w:hint="eastAsia"/>
          <w:b/>
          <w:sz w:val="32"/>
          <w:szCs w:val="32"/>
        </w:rPr>
        <w:t>项级</w:t>
      </w:r>
      <w:r>
        <w:rPr>
          <w:rFonts w:ascii="仿宋" w:eastAsia="仿宋"/>
          <w:b/>
          <w:sz w:val="32"/>
          <w:szCs w:val="32"/>
        </w:rPr>
        <w:t>&gt;</w:t>
      </w:r>
      <w:r>
        <w:rPr>
          <w:rFonts w:ascii="仿宋" w:eastAsia="仿宋" w:hint="eastAsia"/>
          <w:b/>
          <w:sz w:val="32"/>
          <w:szCs w:val="32"/>
        </w:rPr>
        <w:t>比较，与预算数持平可以不写原因。）</w:t>
      </w:r>
    </w:p>
    <w:p w:rsidR="002D517E" w:rsidRDefault="002D517E">
      <w:pPr>
        <w:spacing w:line="600" w:lineRule="exact"/>
        <w:ind w:firstLine="640"/>
        <w:rPr>
          <w:rFonts w:ascii="仿宋" w:eastAsia="仿宋"/>
          <w:b/>
          <w:sz w:val="32"/>
          <w:szCs w:val="32"/>
        </w:rPr>
      </w:pPr>
    </w:p>
    <w:p w:rsidR="002D517E" w:rsidRDefault="00A63916">
      <w:pPr>
        <w:tabs>
          <w:tab w:val="right" w:pos="8306"/>
        </w:tabs>
        <w:spacing w:line="600" w:lineRule="exact"/>
        <w:ind w:firstLine="640"/>
        <w:outlineLvl w:val="1"/>
        <w:rPr>
          <w:rStyle w:val="2Char"/>
        </w:rPr>
      </w:pPr>
      <w:bookmarkStart w:id="37" w:name="_Toc15377214"/>
      <w:bookmarkStart w:id="38" w:name="_Toc15396608"/>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37"/>
      <w:bookmarkEnd w:id="38"/>
      <w:r>
        <w:rPr>
          <w:rStyle w:val="2Char"/>
          <w:rFonts w:ascii="黑体" w:eastAsia="黑体"/>
          <w:b w:val="0"/>
        </w:rPr>
        <w:tab/>
      </w:r>
    </w:p>
    <w:p w:rsidR="002D517E" w:rsidRDefault="00A63916">
      <w:pPr>
        <w:spacing w:line="600" w:lineRule="exact"/>
        <w:ind w:firstLine="645"/>
        <w:rPr>
          <w:rFonts w:ascii="仿宋" w:eastAsia="仿宋"/>
          <w:sz w:val="32"/>
          <w:szCs w:val="32"/>
        </w:rPr>
      </w:pPr>
      <w:r>
        <w:rPr>
          <w:rFonts w:ascii="仿宋" w:eastAsia="仿宋" w:hint="eastAsia"/>
          <w:sz w:val="32"/>
          <w:szCs w:val="32"/>
        </w:rPr>
        <w:t>2023</w:t>
      </w:r>
      <w:r>
        <w:rPr>
          <w:rFonts w:ascii="仿宋" w:eastAsia="仿宋" w:hint="eastAsia"/>
          <w:sz w:val="32"/>
          <w:szCs w:val="32"/>
        </w:rPr>
        <w:t>年度一般公共预算财政拨款基本支出</w:t>
      </w:r>
      <w:r>
        <w:rPr>
          <w:rFonts w:ascii="仿宋" w:eastAsia="仿宋"/>
          <w:b/>
          <w:sz w:val="32"/>
          <w:szCs w:val="32"/>
        </w:rPr>
        <w:t>143.59</w:t>
      </w:r>
      <w:r>
        <w:rPr>
          <w:rFonts w:ascii="仿宋" w:eastAsia="仿宋" w:hint="eastAsia"/>
          <w:sz w:val="32"/>
          <w:szCs w:val="32"/>
        </w:rPr>
        <w:t>万元，其中：</w:t>
      </w:r>
    </w:p>
    <w:p w:rsidR="002D517E" w:rsidRDefault="00A63916">
      <w:pPr>
        <w:spacing w:line="600" w:lineRule="exact"/>
        <w:ind w:firstLine="645"/>
        <w:rPr>
          <w:rFonts w:ascii="仿宋" w:eastAsia="仿宋"/>
          <w:sz w:val="32"/>
          <w:szCs w:val="32"/>
        </w:rPr>
      </w:pPr>
      <w:r>
        <w:rPr>
          <w:rFonts w:ascii="仿宋" w:eastAsia="仿宋" w:hint="eastAsia"/>
          <w:sz w:val="32"/>
          <w:szCs w:val="32"/>
        </w:rPr>
        <w:t>人员经费</w:t>
      </w:r>
      <w:r>
        <w:rPr>
          <w:rFonts w:ascii="仿宋" w:eastAsia="仿宋"/>
          <w:b/>
          <w:sz w:val="32"/>
          <w:szCs w:val="32"/>
        </w:rPr>
        <w:t>127.7</w:t>
      </w:r>
      <w:r>
        <w:rPr>
          <w:rFonts w:ascii="仿宋" w:eastAsia="仿宋" w:hint="eastAsia"/>
          <w:sz w:val="32"/>
          <w:szCs w:val="32"/>
        </w:rPr>
        <w:t>万元，主要包括：基本工资、津贴补贴、绩效工资、机关事业单位基本养老保险缴费、</w:t>
      </w:r>
      <w:r>
        <w:rPr>
          <w:rFonts w:ascii="仿宋" w:eastAsia="仿宋" w:hint="eastAsia"/>
          <w:sz w:val="32"/>
          <w:szCs w:val="32"/>
        </w:rPr>
        <w:t>职工基本医疗保险缴费、</w:t>
      </w:r>
      <w:r>
        <w:rPr>
          <w:rFonts w:ascii="仿宋" w:eastAsia="仿宋" w:hint="eastAsia"/>
          <w:sz w:val="32"/>
          <w:szCs w:val="32"/>
        </w:rPr>
        <w:t>其他社会保障缴费、</w:t>
      </w:r>
      <w:r>
        <w:rPr>
          <w:rFonts w:ascii="仿宋" w:eastAsia="仿宋" w:hint="eastAsia"/>
          <w:sz w:val="32"/>
          <w:szCs w:val="32"/>
        </w:rPr>
        <w:t>住房公积金、</w:t>
      </w:r>
      <w:r>
        <w:rPr>
          <w:rFonts w:ascii="仿宋" w:eastAsia="仿宋" w:hint="eastAsia"/>
          <w:sz w:val="32"/>
          <w:szCs w:val="32"/>
        </w:rPr>
        <w:t>其他工资福利支出、</w:t>
      </w:r>
      <w:r>
        <w:rPr>
          <w:rFonts w:ascii="仿宋" w:eastAsia="仿宋" w:hint="eastAsia"/>
          <w:sz w:val="32"/>
          <w:szCs w:val="32"/>
        </w:rPr>
        <w:t>生活补助</w:t>
      </w:r>
      <w:r>
        <w:rPr>
          <w:rFonts w:ascii="仿宋" w:eastAsia="仿宋" w:hint="eastAsia"/>
          <w:sz w:val="32"/>
          <w:szCs w:val="32"/>
        </w:rPr>
        <w:t>等。</w:t>
      </w:r>
      <w:r>
        <w:rPr>
          <w:rFonts w:ascii="仿宋" w:eastAsia="仿宋"/>
          <w:sz w:val="32"/>
          <w:szCs w:val="32"/>
        </w:rPr>
        <w:br/>
      </w:r>
      <w:r>
        <w:rPr>
          <w:rFonts w:ascii="仿宋" w:eastAsia="仿宋" w:hint="eastAsia"/>
          <w:sz w:val="32"/>
          <w:szCs w:val="32"/>
        </w:rPr>
        <w:t xml:space="preserve">　　公用经费</w:t>
      </w:r>
      <w:r>
        <w:rPr>
          <w:rFonts w:ascii="仿宋" w:eastAsia="仿宋"/>
          <w:b/>
          <w:sz w:val="32"/>
          <w:szCs w:val="32"/>
        </w:rPr>
        <w:t>15.</w:t>
      </w:r>
      <w:r>
        <w:rPr>
          <w:rFonts w:ascii="仿宋" w:eastAsia="仿宋" w:hint="eastAsia"/>
          <w:b/>
          <w:sz w:val="32"/>
          <w:szCs w:val="32"/>
        </w:rPr>
        <w:t>89</w:t>
      </w:r>
      <w:r>
        <w:rPr>
          <w:rFonts w:ascii="仿宋" w:eastAsia="仿宋" w:hint="eastAsia"/>
          <w:sz w:val="32"/>
          <w:szCs w:val="32"/>
        </w:rPr>
        <w:t>万元，主要包括：办公费、咨询费、邮电费、物业管理费、差旅费、维修（护）费、培训费、公务接待费、劳务费、工会经费、福利费、公务用车运行维护费、其他商品和服务支出等。</w:t>
      </w:r>
    </w:p>
    <w:p w:rsidR="002D517E" w:rsidRDefault="00A63916">
      <w:pPr>
        <w:spacing w:line="600" w:lineRule="exact"/>
        <w:ind w:firstLine="645"/>
        <w:rPr>
          <w:rFonts w:ascii="仿宋" w:eastAsia="仿宋"/>
          <w:b/>
          <w:sz w:val="32"/>
          <w:szCs w:val="32"/>
        </w:rPr>
      </w:pPr>
      <w:r>
        <w:rPr>
          <w:rFonts w:ascii="仿宋" w:eastAsia="仿宋" w:hint="eastAsia"/>
          <w:b/>
          <w:sz w:val="32"/>
          <w:szCs w:val="32"/>
        </w:rPr>
        <w:t>（注：数据来源于财决</w:t>
      </w:r>
      <w:r>
        <w:rPr>
          <w:rFonts w:ascii="仿宋" w:eastAsia="仿宋"/>
          <w:b/>
          <w:sz w:val="32"/>
          <w:szCs w:val="32"/>
        </w:rPr>
        <w:t>0</w:t>
      </w:r>
      <w:r>
        <w:rPr>
          <w:rFonts w:ascii="仿宋" w:eastAsia="仿宋" w:hint="eastAsia"/>
          <w:b/>
          <w:sz w:val="32"/>
          <w:szCs w:val="32"/>
        </w:rPr>
        <w:t>7</w:t>
      </w:r>
      <w:r>
        <w:rPr>
          <w:rFonts w:ascii="仿宋" w:eastAsia="仿宋" w:hint="eastAsia"/>
          <w:b/>
          <w:sz w:val="32"/>
          <w:szCs w:val="32"/>
        </w:rPr>
        <w:t>表和财决</w:t>
      </w:r>
      <w:r>
        <w:rPr>
          <w:rFonts w:ascii="仿宋" w:eastAsia="仿宋" w:hint="eastAsia"/>
          <w:b/>
          <w:sz w:val="32"/>
          <w:szCs w:val="32"/>
        </w:rPr>
        <w:t>08-1</w:t>
      </w:r>
      <w:r>
        <w:rPr>
          <w:rFonts w:ascii="仿宋" w:eastAsia="仿宋" w:hint="eastAsia"/>
          <w:b/>
          <w:sz w:val="32"/>
          <w:szCs w:val="32"/>
        </w:rPr>
        <w:t>表，仅罗列本单位实际支出涉及的经济分类科目。）</w:t>
      </w:r>
    </w:p>
    <w:p w:rsidR="002D517E" w:rsidRDefault="002D517E">
      <w:pPr>
        <w:spacing w:line="600" w:lineRule="exact"/>
        <w:ind w:firstLine="640"/>
        <w:rPr>
          <w:rFonts w:ascii="仿宋" w:eastAsia="仿宋"/>
          <w:b/>
          <w:sz w:val="32"/>
          <w:szCs w:val="32"/>
        </w:rPr>
      </w:pPr>
    </w:p>
    <w:p w:rsidR="002D517E" w:rsidRDefault="00A63916">
      <w:pPr>
        <w:spacing w:line="600" w:lineRule="exact"/>
        <w:ind w:firstLine="640"/>
        <w:outlineLvl w:val="1"/>
        <w:rPr>
          <w:rStyle w:val="2Char"/>
          <w:rFonts w:ascii="黑体" w:eastAsia="黑体"/>
          <w:b w:val="0"/>
        </w:rPr>
      </w:pPr>
      <w:bookmarkStart w:id="39" w:name="_Toc15377215"/>
      <w:bookmarkStart w:id="40" w:name="_Toc15396609"/>
      <w:r>
        <w:rPr>
          <w:rFonts w:ascii="黑体" w:eastAsia="黑体" w:hint="eastAsia"/>
          <w:sz w:val="32"/>
          <w:szCs w:val="32"/>
        </w:rPr>
        <w:lastRenderedPageBreak/>
        <w:t>七、</w:t>
      </w:r>
      <w:r>
        <w:rPr>
          <w:rStyle w:val="2Char"/>
          <w:rFonts w:ascii="黑体" w:eastAsia="黑体" w:hint="eastAsia"/>
          <w:b w:val="0"/>
        </w:rPr>
        <w:t>财政拨款</w:t>
      </w:r>
      <w:r>
        <w:rPr>
          <w:rStyle w:val="2Char"/>
          <w:rFonts w:ascii="黑体" w:eastAsia="黑体" w:hint="eastAsia"/>
        </w:rPr>
        <w:t>“</w:t>
      </w:r>
      <w:r>
        <w:rPr>
          <w:rStyle w:val="2Char"/>
          <w:rFonts w:ascii="黑体" w:eastAsia="黑体" w:hint="eastAsia"/>
          <w:b w:val="0"/>
        </w:rPr>
        <w:t>三公”经费支出决算情况说明</w:t>
      </w:r>
      <w:bookmarkEnd w:id="39"/>
      <w:bookmarkEnd w:id="40"/>
    </w:p>
    <w:p w:rsidR="002D517E" w:rsidRDefault="00A63916">
      <w:pPr>
        <w:spacing w:line="600" w:lineRule="exact"/>
        <w:ind w:firstLine="640"/>
        <w:outlineLvl w:val="2"/>
        <w:rPr>
          <w:rFonts w:ascii="仿宋" w:eastAsia="仿宋"/>
          <w:b/>
          <w:sz w:val="32"/>
          <w:szCs w:val="32"/>
        </w:rPr>
      </w:pPr>
      <w:bookmarkStart w:id="41" w:name="_Toc15377216"/>
      <w:r>
        <w:rPr>
          <w:rFonts w:ascii="仿宋" w:eastAsia="仿宋" w:hint="eastAsia"/>
          <w:b/>
          <w:sz w:val="32"/>
          <w:szCs w:val="32"/>
        </w:rPr>
        <w:t>（一）“三公”经费财政拨款支出决算总体情况说明</w:t>
      </w:r>
      <w:bookmarkEnd w:id="41"/>
    </w:p>
    <w:p w:rsidR="002D517E" w:rsidRDefault="00A63916">
      <w:pPr>
        <w:spacing w:line="600" w:lineRule="exact"/>
        <w:ind w:firstLine="640"/>
        <w:rPr>
          <w:rFonts w:ascii="仿宋" w:eastAsia="仿宋"/>
          <w:sz w:val="32"/>
          <w:szCs w:val="32"/>
        </w:rPr>
      </w:pPr>
      <w:r>
        <w:rPr>
          <w:rFonts w:ascii="仿宋" w:eastAsia="仿宋" w:hint="eastAsia"/>
          <w:sz w:val="32"/>
          <w:szCs w:val="32"/>
        </w:rPr>
        <w:t>2023</w:t>
      </w:r>
      <w:r>
        <w:rPr>
          <w:rFonts w:ascii="仿宋" w:eastAsia="仿宋" w:hint="eastAsia"/>
          <w:sz w:val="32"/>
          <w:szCs w:val="32"/>
        </w:rPr>
        <w:t>年度“三公”经费财政拨款支出决算为</w:t>
      </w:r>
      <w:r>
        <w:rPr>
          <w:rFonts w:ascii="仿宋" w:eastAsia="仿宋"/>
          <w:b/>
          <w:sz w:val="32"/>
          <w:szCs w:val="32"/>
        </w:rPr>
        <w:t>1.49</w:t>
      </w:r>
      <w:r>
        <w:rPr>
          <w:rFonts w:ascii="仿宋" w:eastAsia="仿宋" w:hint="eastAsia"/>
          <w:sz w:val="32"/>
          <w:szCs w:val="32"/>
        </w:rPr>
        <w:t>万元，完成预算</w:t>
      </w:r>
      <w:r>
        <w:rPr>
          <w:rFonts w:ascii="仿宋" w:eastAsia="仿宋"/>
          <w:b/>
          <w:sz w:val="32"/>
          <w:szCs w:val="32"/>
        </w:rPr>
        <w:t>100</w:t>
      </w:r>
      <w:r>
        <w:rPr>
          <w:rFonts w:ascii="仿宋" w:eastAsia="仿宋"/>
          <w:sz w:val="32"/>
          <w:szCs w:val="32"/>
        </w:rPr>
        <w:t>%</w:t>
      </w:r>
      <w:r>
        <w:rPr>
          <w:rFonts w:ascii="仿宋" w:eastAsia="仿宋" w:hint="eastAsia"/>
          <w:sz w:val="32"/>
          <w:szCs w:val="32"/>
        </w:rPr>
        <w:t>，较上年度减少</w:t>
      </w:r>
      <w:r>
        <w:rPr>
          <w:rFonts w:ascii="仿宋" w:eastAsia="仿宋" w:hint="eastAsia"/>
          <w:sz w:val="32"/>
          <w:szCs w:val="32"/>
        </w:rPr>
        <w:t>0.06</w:t>
      </w:r>
      <w:r>
        <w:rPr>
          <w:rFonts w:ascii="仿宋" w:eastAsia="仿宋" w:hint="eastAsia"/>
          <w:sz w:val="32"/>
          <w:szCs w:val="32"/>
        </w:rPr>
        <w:t>万元，下降</w:t>
      </w:r>
      <w:r>
        <w:rPr>
          <w:rFonts w:ascii="仿宋" w:eastAsia="仿宋" w:hint="eastAsia"/>
          <w:sz w:val="32"/>
          <w:szCs w:val="32"/>
        </w:rPr>
        <w:t>3.82</w:t>
      </w:r>
      <w:r>
        <w:rPr>
          <w:rFonts w:ascii="仿宋" w:eastAsia="仿宋" w:hint="eastAsia"/>
          <w:sz w:val="32"/>
          <w:szCs w:val="32"/>
        </w:rPr>
        <w:t>%</w:t>
      </w:r>
      <w:r>
        <w:rPr>
          <w:rFonts w:ascii="仿宋" w:eastAsia="仿宋" w:hint="eastAsia"/>
          <w:sz w:val="32"/>
          <w:szCs w:val="32"/>
        </w:rPr>
        <w:t>。</w:t>
      </w:r>
    </w:p>
    <w:p w:rsidR="002D517E" w:rsidRDefault="00A63916">
      <w:pPr>
        <w:spacing w:line="600" w:lineRule="exact"/>
        <w:ind w:firstLine="640"/>
        <w:rPr>
          <w:rFonts w:ascii="仿宋" w:eastAsia="仿宋"/>
          <w:b/>
          <w:sz w:val="32"/>
          <w:szCs w:val="32"/>
        </w:rPr>
      </w:pPr>
      <w:r>
        <w:rPr>
          <w:rFonts w:ascii="仿宋" w:eastAsia="仿宋" w:hint="eastAsia"/>
          <w:b/>
          <w:sz w:val="32"/>
          <w:szCs w:val="32"/>
        </w:rPr>
        <w:t>（注：上述“预算”口径为全年</w:t>
      </w:r>
      <w:r>
        <w:rPr>
          <w:rFonts w:ascii="仿宋" w:eastAsia="仿宋" w:hint="eastAsia"/>
          <w:b/>
          <w:sz w:val="32"/>
          <w:szCs w:val="32"/>
        </w:rPr>
        <w:t>预算数，包括一般公共预算和政府性基金预算财政拨款支出决算情况。）</w:t>
      </w:r>
    </w:p>
    <w:p w:rsidR="002D517E" w:rsidRDefault="00A63916">
      <w:pPr>
        <w:spacing w:line="600" w:lineRule="exact"/>
        <w:ind w:firstLine="640"/>
        <w:outlineLvl w:val="2"/>
        <w:rPr>
          <w:rFonts w:ascii="仿宋" w:eastAsia="仿宋"/>
          <w:b/>
          <w:sz w:val="32"/>
          <w:szCs w:val="32"/>
        </w:rPr>
      </w:pPr>
      <w:bookmarkStart w:id="42" w:name="_Toc15377217"/>
      <w:r>
        <w:rPr>
          <w:rFonts w:ascii="仿宋" w:eastAsia="仿宋" w:hint="eastAsia"/>
          <w:b/>
          <w:sz w:val="32"/>
          <w:szCs w:val="32"/>
        </w:rPr>
        <w:t>（二）“三公”经费财政拨款支出决算具体情况说明</w:t>
      </w:r>
      <w:bookmarkEnd w:id="42"/>
    </w:p>
    <w:p w:rsidR="002D517E" w:rsidRDefault="00A63916">
      <w:pPr>
        <w:spacing w:line="600" w:lineRule="exact"/>
        <w:ind w:firstLine="640"/>
        <w:rPr>
          <w:rFonts w:ascii="仿宋" w:eastAsia="仿宋"/>
          <w:sz w:val="32"/>
          <w:szCs w:val="32"/>
        </w:rPr>
      </w:pPr>
      <w:r>
        <w:rPr>
          <w:rFonts w:ascii="仿宋" w:eastAsia="仿宋" w:hint="eastAsia"/>
          <w:sz w:val="32"/>
          <w:szCs w:val="32"/>
        </w:rPr>
        <w:t>2023</w:t>
      </w:r>
      <w:r>
        <w:rPr>
          <w:rFonts w:ascii="仿宋" w:eastAsia="仿宋" w:hint="eastAsia"/>
          <w:sz w:val="32"/>
          <w:szCs w:val="32"/>
        </w:rPr>
        <w:t>年度“三公”经费财政拨款支出决算中，因公出国（境）费支出决算</w:t>
      </w:r>
      <w:r>
        <w:rPr>
          <w:rFonts w:ascii="仿宋" w:eastAsia="仿宋"/>
          <w:b/>
          <w:sz w:val="32"/>
          <w:szCs w:val="32"/>
        </w:rPr>
        <w:t>0</w:t>
      </w:r>
      <w:r>
        <w:rPr>
          <w:rFonts w:ascii="仿宋" w:eastAsia="仿宋" w:hint="eastAsia"/>
          <w:sz w:val="32"/>
          <w:szCs w:val="32"/>
        </w:rPr>
        <w:t>万元，占</w:t>
      </w:r>
      <w:r>
        <w:rPr>
          <w:rFonts w:ascii="仿宋" w:eastAsia="仿宋"/>
          <w:b/>
          <w:sz w:val="32"/>
          <w:szCs w:val="32"/>
        </w:rPr>
        <w:t>0</w:t>
      </w:r>
      <w:r>
        <w:rPr>
          <w:rFonts w:ascii="仿宋" w:eastAsia="仿宋"/>
          <w:sz w:val="32"/>
          <w:szCs w:val="32"/>
        </w:rPr>
        <w:t>%</w:t>
      </w:r>
      <w:r>
        <w:rPr>
          <w:rFonts w:ascii="仿宋" w:eastAsia="仿宋" w:hint="eastAsia"/>
          <w:sz w:val="32"/>
          <w:szCs w:val="32"/>
        </w:rPr>
        <w:t>；公务用车购置及运行维护费支出决算</w:t>
      </w:r>
      <w:r>
        <w:rPr>
          <w:rFonts w:ascii="仿宋" w:eastAsia="仿宋"/>
          <w:b/>
          <w:sz w:val="32"/>
          <w:szCs w:val="32"/>
        </w:rPr>
        <w:t>1.32</w:t>
      </w:r>
      <w:r>
        <w:rPr>
          <w:rFonts w:ascii="仿宋" w:eastAsia="仿宋" w:hint="eastAsia"/>
          <w:sz w:val="32"/>
          <w:szCs w:val="32"/>
        </w:rPr>
        <w:t>万元，占</w:t>
      </w:r>
      <w:r>
        <w:rPr>
          <w:rFonts w:ascii="仿宋" w:eastAsia="仿宋"/>
          <w:b/>
          <w:sz w:val="32"/>
          <w:szCs w:val="32"/>
        </w:rPr>
        <w:t>88.31</w:t>
      </w:r>
      <w:r>
        <w:rPr>
          <w:rFonts w:ascii="仿宋" w:eastAsia="仿宋"/>
          <w:sz w:val="32"/>
          <w:szCs w:val="32"/>
        </w:rPr>
        <w:t>%</w:t>
      </w:r>
      <w:r>
        <w:rPr>
          <w:rFonts w:ascii="仿宋" w:eastAsia="仿宋" w:hint="eastAsia"/>
          <w:sz w:val="32"/>
          <w:szCs w:val="32"/>
        </w:rPr>
        <w:t>；公务接待费支出决算</w:t>
      </w:r>
      <w:r>
        <w:rPr>
          <w:rFonts w:ascii="仿宋" w:eastAsia="仿宋"/>
          <w:b/>
          <w:sz w:val="32"/>
          <w:szCs w:val="32"/>
        </w:rPr>
        <w:t>0.17</w:t>
      </w:r>
      <w:r>
        <w:rPr>
          <w:rFonts w:ascii="仿宋" w:eastAsia="仿宋" w:hint="eastAsia"/>
          <w:sz w:val="32"/>
          <w:szCs w:val="32"/>
        </w:rPr>
        <w:t>万元，占</w:t>
      </w:r>
      <w:r>
        <w:rPr>
          <w:rFonts w:ascii="仿宋" w:eastAsia="仿宋"/>
          <w:b/>
          <w:sz w:val="32"/>
          <w:szCs w:val="32"/>
        </w:rPr>
        <w:t>11.68</w:t>
      </w:r>
      <w:r>
        <w:rPr>
          <w:rFonts w:ascii="仿宋" w:eastAsia="仿宋"/>
          <w:sz w:val="32"/>
          <w:szCs w:val="32"/>
        </w:rPr>
        <w:t>%</w:t>
      </w:r>
      <w:r>
        <w:rPr>
          <w:rFonts w:ascii="仿宋" w:eastAsia="仿宋" w:hint="eastAsia"/>
          <w:sz w:val="32"/>
          <w:szCs w:val="32"/>
        </w:rPr>
        <w:t>。具体情况如下：</w:t>
      </w:r>
    </w:p>
    <w:p w:rsidR="002D517E" w:rsidRDefault="00A63916">
      <w:pPr>
        <w:spacing w:line="600" w:lineRule="exact"/>
        <w:ind w:firstLine="640"/>
        <w:rPr>
          <w:rFonts w:ascii="仿宋" w:eastAsia="仿宋"/>
          <w:sz w:val="32"/>
          <w:szCs w:val="32"/>
        </w:rPr>
      </w:pPr>
      <w:r>
        <w:rPr>
          <w:rFonts w:ascii="仿宋" w:eastAsia="仿宋" w:hint="eastAsia"/>
          <w:sz w:val="32"/>
          <w:szCs w:val="32"/>
        </w:rPr>
        <w:t>（图</w:t>
      </w:r>
      <w:r>
        <w:rPr>
          <w:rFonts w:ascii="仿宋" w:eastAsia="仿宋" w:hint="eastAsia"/>
          <w:sz w:val="32"/>
          <w:szCs w:val="32"/>
        </w:rPr>
        <w:t>7</w:t>
      </w:r>
      <w:r>
        <w:rPr>
          <w:rFonts w:ascii="仿宋" w:eastAsia="仿宋" w:hint="eastAsia"/>
          <w:sz w:val="32"/>
          <w:szCs w:val="32"/>
        </w:rPr>
        <w:t>：“三公”经费财政拨款支出结构）（饼状图）</w:t>
      </w:r>
    </w:p>
    <w:p w:rsidR="002D517E" w:rsidRDefault="00A63916">
      <w:pPr>
        <w:spacing w:line="600" w:lineRule="exact"/>
        <w:ind w:firstLine="640"/>
        <w:rPr>
          <w:rFonts w:ascii="仿宋_GB2312" w:eastAsia="仿宋_GB2312"/>
          <w:b/>
          <w:sz w:val="32"/>
          <w:szCs w:val="32"/>
        </w:rPr>
      </w:pPr>
      <w:bookmarkStart w:id="43" w:name="_Toc15396610"/>
      <w:bookmarkStart w:id="44" w:name="_Toc15377218"/>
      <w:r>
        <w:rPr>
          <w:noProof/>
        </w:rPr>
        <w:drawing>
          <wp:anchor distT="0" distB="0" distL="114300" distR="114300" simplePos="0" relativeHeight="30" behindDoc="0" locked="0" layoutInCell="1" allowOverlap="1">
            <wp:simplePos x="0" y="0"/>
            <wp:positionH relativeFrom="column">
              <wp:posOffset>499745</wp:posOffset>
            </wp:positionH>
            <wp:positionV relativeFrom="paragraph">
              <wp:posOffset>65405</wp:posOffset>
            </wp:positionV>
            <wp:extent cx="4572000" cy="2717800"/>
            <wp:effectExtent l="0" t="0" r="0" b="0"/>
            <wp:wrapTopAndBottom/>
            <wp:docPr id="7"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b/>
          <w:sz w:val="32"/>
          <w:szCs w:val="32"/>
        </w:rPr>
        <w:t>0</w:t>
      </w:r>
      <w:r>
        <w:rPr>
          <w:rFonts w:ascii="仿宋_GB2312" w:eastAsia="仿宋_GB2312" w:hint="eastAsia"/>
          <w:sz w:val="32"/>
          <w:szCs w:val="32"/>
        </w:rPr>
        <w:t>万元，</w:t>
      </w:r>
      <w:r>
        <w:rPr>
          <w:rStyle w:val="a8"/>
          <w:rFonts w:ascii="仿宋" w:eastAsia="仿宋" w:hint="eastAsia"/>
          <w:b w:val="0"/>
          <w:bCs/>
          <w:sz w:val="32"/>
          <w:szCs w:val="32"/>
        </w:rPr>
        <w:t>完成预算</w:t>
      </w:r>
      <w:r>
        <w:rPr>
          <w:rStyle w:val="a8"/>
          <w:rFonts w:ascii="仿宋" w:eastAsia="仿宋"/>
          <w:bCs/>
          <w:sz w:val="32"/>
          <w:szCs w:val="32"/>
        </w:rPr>
        <w:t>0</w:t>
      </w:r>
      <w:r>
        <w:rPr>
          <w:rStyle w:val="a8"/>
          <w:rFonts w:ascii="仿宋" w:eastAsia="仿宋"/>
          <w:b w:val="0"/>
          <w:bCs/>
          <w:sz w:val="32"/>
          <w:szCs w:val="32"/>
        </w:rPr>
        <w:t>%</w:t>
      </w:r>
      <w:r>
        <w:rPr>
          <w:rStyle w:val="a8"/>
          <w:rFonts w:ascii="仿宋" w:eastAsia="仿宋" w:hint="eastAsia"/>
          <w:b w:val="0"/>
          <w:bCs/>
          <w:sz w:val="32"/>
          <w:szCs w:val="32"/>
        </w:rPr>
        <w:t>。</w:t>
      </w:r>
      <w:r>
        <w:rPr>
          <w:rFonts w:ascii="仿宋_GB2312" w:eastAsia="仿宋_GB2312" w:hint="eastAsia"/>
          <w:sz w:val="32"/>
          <w:szCs w:val="32"/>
        </w:rPr>
        <w:t>全年安排因公出国（境）团组</w:t>
      </w:r>
      <w:r>
        <w:rPr>
          <w:rFonts w:ascii="仿宋_GB2312" w:eastAsia="仿宋_GB2312"/>
          <w:b/>
          <w:sz w:val="32"/>
          <w:szCs w:val="32"/>
        </w:rPr>
        <w:t>0</w:t>
      </w:r>
      <w:r>
        <w:rPr>
          <w:rFonts w:ascii="仿宋_GB2312" w:eastAsia="仿宋_GB2312" w:hint="eastAsia"/>
          <w:sz w:val="32"/>
          <w:szCs w:val="32"/>
        </w:rPr>
        <w:t>次，出国（境）</w:t>
      </w:r>
      <w:r>
        <w:rPr>
          <w:rFonts w:ascii="仿宋_GB2312" w:eastAsia="仿宋_GB2312"/>
          <w:b/>
          <w:sz w:val="32"/>
          <w:szCs w:val="32"/>
        </w:rPr>
        <w:t>0</w:t>
      </w:r>
      <w:r>
        <w:rPr>
          <w:rFonts w:ascii="仿宋_GB2312" w:eastAsia="仿宋_GB2312" w:hint="eastAsia"/>
          <w:sz w:val="32"/>
          <w:szCs w:val="32"/>
        </w:rPr>
        <w:t>人。因公出国（境）支出决算比</w:t>
      </w:r>
      <w:r>
        <w:rPr>
          <w:rFonts w:ascii="仿宋_GB2312" w:eastAsia="仿宋_GB2312" w:hint="eastAsia"/>
          <w:sz w:val="32"/>
          <w:szCs w:val="32"/>
        </w:rPr>
        <w:t>2022</w:t>
      </w:r>
      <w:r>
        <w:rPr>
          <w:rFonts w:ascii="仿宋_GB2312" w:eastAsia="仿宋_GB2312" w:hint="eastAsia"/>
          <w:sz w:val="32"/>
          <w:szCs w:val="32"/>
        </w:rPr>
        <w:t>年增加</w:t>
      </w:r>
      <w:r>
        <w:rPr>
          <w:rFonts w:ascii="仿宋_GB2312" w:eastAsia="仿宋_GB2312"/>
          <w:sz w:val="32"/>
          <w:szCs w:val="32"/>
        </w:rPr>
        <w:t>/</w:t>
      </w:r>
      <w:r>
        <w:rPr>
          <w:rFonts w:ascii="仿宋_GB2312" w:eastAsia="仿宋_GB2312" w:hint="eastAsia"/>
          <w:sz w:val="32"/>
          <w:szCs w:val="32"/>
        </w:rPr>
        <w:t>减少</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2D517E" w:rsidRDefault="00A63916">
      <w:pPr>
        <w:spacing w:line="600" w:lineRule="exact"/>
        <w:ind w:firstLine="640"/>
        <w:rPr>
          <w:rFonts w:ascii="仿宋_GB2312" w:eastAsia="仿宋_GB2312"/>
          <w:b/>
          <w:sz w:val="32"/>
          <w:szCs w:val="32"/>
        </w:rPr>
      </w:pPr>
      <w:r>
        <w:rPr>
          <w:rFonts w:ascii="仿宋_GB2312" w:eastAsia="仿宋_GB2312"/>
          <w:b/>
          <w:sz w:val="32"/>
          <w:szCs w:val="32"/>
        </w:rPr>
        <w:lastRenderedPageBreak/>
        <w:t>2.</w:t>
      </w:r>
      <w:r>
        <w:rPr>
          <w:rFonts w:ascii="仿宋_GB2312" w:eastAsia="仿宋_GB2312" w:hint="eastAsia"/>
          <w:b/>
          <w:sz w:val="32"/>
          <w:szCs w:val="32"/>
        </w:rPr>
        <w:t>公务用车购置及运行维护费支出</w:t>
      </w:r>
      <w:r>
        <w:rPr>
          <w:rFonts w:ascii="仿宋" w:eastAsia="仿宋"/>
          <w:b/>
          <w:sz w:val="32"/>
          <w:szCs w:val="32"/>
        </w:rPr>
        <w:t>1.32</w:t>
      </w:r>
      <w:r>
        <w:rPr>
          <w:rFonts w:ascii="仿宋_GB2312" w:eastAsia="仿宋_GB2312" w:hint="eastAsia"/>
          <w:sz w:val="32"/>
          <w:szCs w:val="32"/>
        </w:rPr>
        <w:t>万元</w:t>
      </w:r>
      <w:r>
        <w:rPr>
          <w:rFonts w:ascii="仿宋_GB2312" w:eastAsia="仿宋_GB2312" w:hint="eastAsia"/>
          <w:sz w:val="32"/>
          <w:szCs w:val="32"/>
        </w:rPr>
        <w:t>,</w:t>
      </w:r>
      <w:r>
        <w:rPr>
          <w:rStyle w:val="a8"/>
          <w:rFonts w:ascii="仿宋" w:eastAsia="仿宋" w:hint="eastAsia"/>
          <w:b w:val="0"/>
          <w:bCs/>
          <w:sz w:val="32"/>
          <w:szCs w:val="32"/>
        </w:rPr>
        <w:t>完成预算</w:t>
      </w:r>
      <w:r>
        <w:rPr>
          <w:rStyle w:val="a8"/>
          <w:rFonts w:ascii="仿宋" w:eastAsia="仿宋"/>
          <w:bCs/>
          <w:sz w:val="32"/>
          <w:szCs w:val="32"/>
        </w:rPr>
        <w:t>100</w:t>
      </w:r>
      <w:r>
        <w:rPr>
          <w:rStyle w:val="a8"/>
          <w:rFonts w:ascii="仿宋" w:eastAsia="仿宋"/>
          <w:b w:val="0"/>
          <w:bCs/>
          <w:sz w:val="32"/>
          <w:szCs w:val="32"/>
        </w:rPr>
        <w:t>%</w:t>
      </w:r>
      <w:r>
        <w:rPr>
          <w:rStyle w:val="a8"/>
          <w:rFonts w:ascii="仿宋" w:eastAsia="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hint="eastAsia"/>
          <w:sz w:val="32"/>
          <w:szCs w:val="32"/>
        </w:rPr>
        <w:t>2022</w:t>
      </w:r>
      <w:r>
        <w:rPr>
          <w:rFonts w:ascii="仿宋_GB2312" w:eastAsia="仿宋_GB2312" w:hint="eastAsia"/>
          <w:sz w:val="32"/>
          <w:szCs w:val="32"/>
        </w:rPr>
        <w:t>年度减少</w:t>
      </w:r>
      <w:r>
        <w:rPr>
          <w:rFonts w:ascii="仿宋_GB2312" w:eastAsia="仿宋_GB2312" w:hint="eastAsia"/>
          <w:sz w:val="32"/>
          <w:szCs w:val="32"/>
        </w:rPr>
        <w:t>0.06</w:t>
      </w:r>
      <w:r>
        <w:rPr>
          <w:rFonts w:ascii="仿宋_GB2312" w:eastAsia="仿宋_GB2312" w:hint="eastAsia"/>
          <w:sz w:val="32"/>
          <w:szCs w:val="32"/>
        </w:rPr>
        <w:t>万元，下降</w:t>
      </w:r>
      <w:r>
        <w:rPr>
          <w:rFonts w:ascii="仿宋_GB2312" w:eastAsia="仿宋_GB2312" w:hint="eastAsia"/>
          <w:sz w:val="32"/>
          <w:szCs w:val="32"/>
        </w:rPr>
        <w:t>4.61</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使用率减少</w:t>
      </w:r>
      <w:r>
        <w:rPr>
          <w:rFonts w:ascii="仿宋_GB2312" w:eastAsia="仿宋_GB2312" w:hint="eastAsia"/>
          <w:sz w:val="32"/>
          <w:szCs w:val="32"/>
        </w:rPr>
        <w:t>。</w:t>
      </w:r>
    </w:p>
    <w:p w:rsidR="002D517E" w:rsidRDefault="00A63916">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辆，其中：轿车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hint="eastAsia"/>
          <w:color w:val="000000"/>
          <w:sz w:val="32"/>
          <w:szCs w:val="32"/>
        </w:rPr>
        <w:t>万元，越野车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hint="eastAsia"/>
          <w:color w:val="000000"/>
          <w:sz w:val="32"/>
          <w:szCs w:val="32"/>
        </w:rPr>
        <w:t>万元，载客汽车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hint="eastAsia"/>
          <w:color w:val="000000"/>
          <w:sz w:val="32"/>
          <w:szCs w:val="32"/>
        </w:rPr>
        <w:t>万元。截至</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1</w:t>
      </w:r>
      <w:r>
        <w:rPr>
          <w:rFonts w:ascii="仿宋_GB2312" w:eastAsia="仿宋_GB2312" w:hint="eastAsia"/>
          <w:color w:val="000000"/>
          <w:sz w:val="32"/>
          <w:szCs w:val="32"/>
        </w:rPr>
        <w:t>辆，其中：轿车</w:t>
      </w:r>
      <w:r>
        <w:rPr>
          <w:rFonts w:ascii="仿宋_GB2312" w:eastAsia="仿宋_GB2312" w:hint="eastAsia"/>
          <w:color w:val="000000"/>
          <w:sz w:val="32"/>
          <w:szCs w:val="32"/>
        </w:rPr>
        <w:t>0</w:t>
      </w:r>
      <w:r>
        <w:rPr>
          <w:rFonts w:ascii="仿宋_GB2312" w:eastAsia="仿宋_GB2312" w:hint="eastAsia"/>
          <w:color w:val="000000"/>
          <w:sz w:val="32"/>
          <w:szCs w:val="32"/>
        </w:rPr>
        <w:t>辆、越野车</w:t>
      </w:r>
      <w:r>
        <w:rPr>
          <w:rFonts w:ascii="仿宋_GB2312" w:eastAsia="仿宋_GB2312" w:hint="eastAsia"/>
          <w:color w:val="000000"/>
          <w:sz w:val="32"/>
          <w:szCs w:val="32"/>
        </w:rPr>
        <w:t>1</w:t>
      </w:r>
      <w:r>
        <w:rPr>
          <w:rFonts w:ascii="仿宋_GB2312" w:eastAsia="仿宋_GB2312" w:hint="eastAsia"/>
          <w:color w:val="000000"/>
          <w:sz w:val="32"/>
          <w:szCs w:val="32"/>
        </w:rPr>
        <w:t>辆、载客汽车</w:t>
      </w:r>
      <w:r>
        <w:rPr>
          <w:rFonts w:ascii="仿宋_GB2312" w:eastAsia="仿宋_GB2312" w:hint="eastAsia"/>
          <w:color w:val="000000"/>
          <w:sz w:val="32"/>
          <w:szCs w:val="32"/>
        </w:rPr>
        <w:t>0</w:t>
      </w:r>
      <w:r>
        <w:rPr>
          <w:rFonts w:ascii="仿宋_GB2312" w:eastAsia="仿宋_GB2312" w:hint="eastAsia"/>
          <w:color w:val="000000"/>
          <w:sz w:val="32"/>
          <w:szCs w:val="32"/>
        </w:rPr>
        <w:t>辆。</w:t>
      </w:r>
    </w:p>
    <w:p w:rsidR="002D517E" w:rsidRDefault="00A63916">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 w:eastAsia="仿宋"/>
          <w:b/>
          <w:sz w:val="32"/>
          <w:szCs w:val="32"/>
        </w:rPr>
        <w:t>1.32</w:t>
      </w:r>
      <w:r>
        <w:rPr>
          <w:rFonts w:ascii="仿宋_GB2312" w:eastAsia="仿宋_GB2312" w:hint="eastAsia"/>
          <w:sz w:val="32"/>
          <w:szCs w:val="32"/>
        </w:rPr>
        <w:t>万元。主要用于</w:t>
      </w:r>
      <w:r>
        <w:rPr>
          <w:rFonts w:ascii="仿宋_GB2312" w:eastAsia="仿宋_GB2312" w:hint="eastAsia"/>
          <w:sz w:val="32"/>
          <w:szCs w:val="32"/>
        </w:rPr>
        <w:t>接待、出差</w:t>
      </w:r>
      <w:r>
        <w:rPr>
          <w:rFonts w:ascii="仿宋_GB2312" w:eastAsia="仿宋_GB2312" w:hint="eastAsia"/>
          <w:sz w:val="32"/>
          <w:szCs w:val="32"/>
        </w:rPr>
        <w:t>等所需的公务用车燃料费、维修费、过路过桥费、保险费等支出。</w:t>
      </w:r>
    </w:p>
    <w:p w:rsidR="002D517E" w:rsidRDefault="00A63916">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b/>
          <w:sz w:val="32"/>
          <w:szCs w:val="32"/>
        </w:rPr>
        <w:t>0.17</w:t>
      </w:r>
      <w:r>
        <w:rPr>
          <w:rFonts w:ascii="仿宋_GB2312" w:eastAsia="仿宋_GB2312" w:hint="eastAsia"/>
          <w:sz w:val="32"/>
          <w:szCs w:val="32"/>
        </w:rPr>
        <w:t>万元，</w:t>
      </w:r>
      <w:r>
        <w:rPr>
          <w:rStyle w:val="a8"/>
          <w:rFonts w:ascii="仿宋" w:eastAsia="仿宋" w:hint="eastAsia"/>
          <w:b w:val="0"/>
          <w:bCs/>
          <w:sz w:val="32"/>
          <w:szCs w:val="32"/>
        </w:rPr>
        <w:t>完成预算</w:t>
      </w:r>
      <w:r>
        <w:rPr>
          <w:rStyle w:val="a8"/>
          <w:rFonts w:ascii="仿宋" w:eastAsia="仿宋"/>
          <w:b w:val="0"/>
          <w:bCs/>
          <w:sz w:val="32"/>
          <w:szCs w:val="32"/>
        </w:rPr>
        <w:t>100%</w:t>
      </w:r>
      <w:r>
        <w:rPr>
          <w:rStyle w:val="a8"/>
          <w:rFonts w:ascii="仿宋" w:eastAsia="仿宋" w:hint="eastAsia"/>
          <w:b w:val="0"/>
          <w:bCs/>
          <w:sz w:val="32"/>
          <w:szCs w:val="32"/>
        </w:rPr>
        <w:t>。</w:t>
      </w:r>
      <w:r>
        <w:rPr>
          <w:rFonts w:ascii="仿宋_GB2312" w:eastAsia="仿宋_GB2312" w:hint="eastAsia"/>
          <w:sz w:val="32"/>
          <w:szCs w:val="32"/>
        </w:rPr>
        <w:t>公务接待费支出决算比</w:t>
      </w:r>
      <w:r>
        <w:rPr>
          <w:rFonts w:ascii="仿宋_GB2312" w:eastAsia="仿宋_GB2312" w:hint="eastAsia"/>
          <w:sz w:val="32"/>
          <w:szCs w:val="32"/>
        </w:rPr>
        <w:t>2022</w:t>
      </w:r>
      <w:r>
        <w:rPr>
          <w:rFonts w:ascii="仿宋_GB2312" w:eastAsia="仿宋_GB2312" w:hint="eastAsia"/>
          <w:sz w:val="32"/>
          <w:szCs w:val="32"/>
        </w:rPr>
        <w:t>年度增长</w:t>
      </w:r>
      <w:r>
        <w:rPr>
          <w:rFonts w:ascii="仿宋_GB2312" w:eastAsia="仿宋_GB2312" w:hint="eastAsia"/>
          <w:sz w:val="32"/>
          <w:szCs w:val="32"/>
        </w:rPr>
        <w:t>2.59</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成本增加</w:t>
      </w:r>
      <w:r>
        <w:rPr>
          <w:rFonts w:ascii="仿宋_GB2312" w:eastAsia="仿宋_GB2312" w:hint="eastAsia"/>
          <w:sz w:val="32"/>
          <w:szCs w:val="32"/>
        </w:rPr>
        <w:t>。其中：</w:t>
      </w:r>
    </w:p>
    <w:p w:rsidR="002D517E" w:rsidRDefault="00A63916">
      <w:pPr>
        <w:spacing w:line="600" w:lineRule="exact"/>
        <w:ind w:firstLine="640"/>
        <w:rPr>
          <w:rFonts w:ascii="仿宋_GB2312" w:eastAsia="仿宋_GB2312"/>
          <w:sz w:val="32"/>
          <w:szCs w:val="32"/>
        </w:rPr>
      </w:pPr>
      <w:r>
        <w:rPr>
          <w:rFonts w:ascii="仿宋" w:eastAsia="仿宋" w:hint="eastAsia"/>
          <w:b/>
          <w:sz w:val="32"/>
          <w:szCs w:val="32"/>
        </w:rPr>
        <w:t>国内公务接待支出</w:t>
      </w:r>
      <w:r>
        <w:rPr>
          <w:rFonts w:ascii="仿宋" w:eastAsia="仿宋"/>
          <w:b/>
          <w:sz w:val="32"/>
          <w:szCs w:val="32"/>
        </w:rPr>
        <w:t>0.17</w:t>
      </w:r>
      <w:r>
        <w:rPr>
          <w:rFonts w:ascii="仿宋_GB2312" w:eastAsia="仿宋_GB2312" w:hint="eastAsia"/>
          <w:sz w:val="32"/>
          <w:szCs w:val="32"/>
        </w:rPr>
        <w:t>万元，主要用于用餐费等。国内公务接待</w:t>
      </w:r>
      <w:r>
        <w:rPr>
          <w:rFonts w:ascii="仿宋_GB2312" w:eastAsia="仿宋_GB2312" w:hint="eastAsia"/>
          <w:sz w:val="32"/>
          <w:szCs w:val="32"/>
        </w:rPr>
        <w:t>3</w:t>
      </w:r>
      <w:r>
        <w:rPr>
          <w:rFonts w:ascii="仿宋_GB2312" w:eastAsia="仿宋_GB2312" w:hint="eastAsia"/>
          <w:sz w:val="32"/>
          <w:szCs w:val="32"/>
        </w:rPr>
        <w:t>批次，</w:t>
      </w:r>
      <w:r>
        <w:rPr>
          <w:rFonts w:ascii="仿宋_GB2312" w:eastAsia="仿宋_GB2312" w:hint="eastAsia"/>
          <w:sz w:val="32"/>
          <w:szCs w:val="32"/>
        </w:rPr>
        <w:t>24</w:t>
      </w:r>
      <w:r>
        <w:rPr>
          <w:rFonts w:ascii="仿宋_GB2312" w:eastAsia="仿宋_GB2312" w:hint="eastAsia"/>
          <w:sz w:val="32"/>
          <w:szCs w:val="32"/>
        </w:rPr>
        <w:t>人次（不包括陪同人员），共计支出</w:t>
      </w:r>
      <w:r>
        <w:rPr>
          <w:rFonts w:ascii="仿宋_GB2312" w:eastAsia="仿宋_GB2312" w:hint="eastAsia"/>
          <w:sz w:val="32"/>
          <w:szCs w:val="32"/>
        </w:rPr>
        <w:t>0.17</w:t>
      </w:r>
      <w:r>
        <w:rPr>
          <w:rFonts w:ascii="仿宋_GB2312" w:eastAsia="仿宋_GB2312" w:hint="eastAsia"/>
          <w:sz w:val="32"/>
          <w:szCs w:val="32"/>
        </w:rPr>
        <w:t>万元。</w:t>
      </w:r>
    </w:p>
    <w:p w:rsidR="002D517E" w:rsidRDefault="00A63916" w:rsidP="00A63916">
      <w:pPr>
        <w:spacing w:line="600" w:lineRule="exact"/>
        <w:ind w:firstLineChars="200" w:firstLine="643"/>
        <w:rPr>
          <w:rFonts w:ascii="黑体" w:eastAsia="黑体"/>
          <w:sz w:val="32"/>
          <w:szCs w:val="32"/>
        </w:rPr>
      </w:pPr>
      <w:r>
        <w:rPr>
          <w:rFonts w:ascii="仿宋" w:eastAsia="仿宋" w:hint="eastAsia"/>
          <w:b/>
          <w:sz w:val="32"/>
          <w:szCs w:val="32"/>
        </w:rPr>
        <w:t>外事接待支出</w:t>
      </w:r>
      <w:r>
        <w:rPr>
          <w:rFonts w:ascii="仿宋" w:eastAsia="仿宋"/>
          <w:b/>
          <w:sz w:val="32"/>
          <w:szCs w:val="32"/>
        </w:rPr>
        <w:t>0</w:t>
      </w:r>
      <w:r>
        <w:rPr>
          <w:rFonts w:ascii="仿宋_GB2312" w:eastAsia="仿宋_GB2312" w:hint="eastAsia"/>
          <w:sz w:val="32"/>
          <w:szCs w:val="32"/>
        </w:rPr>
        <w:t>万元。外事接待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人次（不包括陪同人员），共计支出</w:t>
      </w:r>
      <w:r>
        <w:rPr>
          <w:rFonts w:ascii="仿宋_GB2312" w:eastAsia="仿宋_GB2312" w:hint="eastAsia"/>
          <w:sz w:val="32"/>
          <w:szCs w:val="32"/>
        </w:rPr>
        <w:t>0</w:t>
      </w:r>
      <w:r>
        <w:rPr>
          <w:rFonts w:ascii="仿宋_GB2312" w:eastAsia="仿宋_GB2312" w:hint="eastAsia"/>
          <w:sz w:val="32"/>
          <w:szCs w:val="32"/>
        </w:rPr>
        <w:t>万元。</w:t>
      </w:r>
    </w:p>
    <w:p w:rsidR="002D517E" w:rsidRDefault="00A63916">
      <w:pPr>
        <w:spacing w:line="600" w:lineRule="exact"/>
        <w:ind w:firstLine="640"/>
        <w:outlineLvl w:val="1"/>
        <w:rPr>
          <w:rStyle w:val="2Char"/>
          <w:rFonts w:ascii="黑体" w:eastAsia="黑体"/>
        </w:rPr>
      </w:pPr>
      <w:r>
        <w:rPr>
          <w:rFonts w:ascii="黑体" w:eastAsia="黑体" w:hint="eastAsia"/>
          <w:sz w:val="32"/>
          <w:szCs w:val="32"/>
        </w:rPr>
        <w:t>八、</w:t>
      </w:r>
      <w:r>
        <w:rPr>
          <w:rStyle w:val="2Char"/>
          <w:rFonts w:ascii="黑体" w:eastAsia="黑体" w:hint="eastAsia"/>
          <w:b w:val="0"/>
        </w:rPr>
        <w:t>政府性基金预算支出决算情况说明</w:t>
      </w:r>
      <w:bookmarkEnd w:id="43"/>
      <w:bookmarkEnd w:id="44"/>
    </w:p>
    <w:p w:rsidR="002D517E" w:rsidRDefault="00A63916">
      <w:pPr>
        <w:spacing w:line="600" w:lineRule="exact"/>
        <w:ind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年度政府性基金预算财政拨款支出</w:t>
      </w:r>
      <w:r>
        <w:rPr>
          <w:rFonts w:ascii="仿宋" w:eastAsia="仿宋"/>
          <w:b/>
          <w:sz w:val="32"/>
          <w:szCs w:val="32"/>
        </w:rPr>
        <w:t>0</w:t>
      </w:r>
      <w:r>
        <w:rPr>
          <w:rFonts w:ascii="仿宋_GB2312" w:eastAsia="仿宋_GB2312" w:hint="eastAsia"/>
          <w:sz w:val="32"/>
          <w:szCs w:val="32"/>
        </w:rPr>
        <w:t>万元。</w:t>
      </w:r>
    </w:p>
    <w:p w:rsidR="002D517E" w:rsidRDefault="00A63916">
      <w:pPr>
        <w:numPr>
          <w:ilvl w:val="0"/>
          <w:numId w:val="4"/>
        </w:numPr>
        <w:spacing w:line="600" w:lineRule="exact"/>
        <w:ind w:firstLine="640"/>
        <w:outlineLvl w:val="1"/>
        <w:rPr>
          <w:rStyle w:val="2Char"/>
          <w:rFonts w:ascii="黑体" w:eastAsia="黑体"/>
          <w:b w:val="0"/>
        </w:rPr>
      </w:pPr>
      <w:bookmarkStart w:id="45" w:name="_Toc15377219"/>
      <w:bookmarkStart w:id="46" w:name="_Toc15396611"/>
      <w:r>
        <w:rPr>
          <w:rStyle w:val="2Char"/>
          <w:rFonts w:ascii="黑体" w:eastAsia="黑体" w:hint="eastAsia"/>
          <w:b w:val="0"/>
        </w:rPr>
        <w:t>国有资本经营预算支出决算情况说明</w:t>
      </w:r>
      <w:bookmarkEnd w:id="45"/>
      <w:bookmarkEnd w:id="46"/>
    </w:p>
    <w:p w:rsidR="002D517E" w:rsidRDefault="00A63916">
      <w:pPr>
        <w:spacing w:line="600" w:lineRule="exact"/>
        <w:ind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年度国有资本经营预算财政拨款支出</w:t>
      </w:r>
      <w:r>
        <w:rPr>
          <w:rFonts w:ascii="仿宋" w:eastAsia="仿宋"/>
          <w:b/>
          <w:sz w:val="32"/>
          <w:szCs w:val="32"/>
        </w:rPr>
        <w:t>0</w:t>
      </w:r>
      <w:r>
        <w:rPr>
          <w:rFonts w:ascii="仿宋_GB2312" w:eastAsia="仿宋_GB2312" w:hint="eastAsia"/>
          <w:sz w:val="32"/>
          <w:szCs w:val="32"/>
        </w:rPr>
        <w:t>万元。</w:t>
      </w:r>
    </w:p>
    <w:p w:rsidR="002D517E" w:rsidRDefault="002D517E">
      <w:pPr>
        <w:spacing w:line="580" w:lineRule="exact"/>
        <w:jc w:val="center"/>
        <w:rPr>
          <w:rFonts w:ascii="方正小标宋简体" w:eastAsia="方正小标宋简体" w:cs="方正小标宋简体"/>
          <w:sz w:val="44"/>
          <w:szCs w:val="44"/>
        </w:rPr>
      </w:pPr>
    </w:p>
    <w:p w:rsidR="002D517E" w:rsidRDefault="00A63916">
      <w:pPr>
        <w:numPr>
          <w:ilvl w:val="0"/>
          <w:numId w:val="4"/>
        </w:numPr>
        <w:spacing w:line="600" w:lineRule="exact"/>
        <w:ind w:firstLine="640"/>
        <w:outlineLvl w:val="1"/>
        <w:rPr>
          <w:rStyle w:val="2Char"/>
          <w:rFonts w:ascii="黑体" w:eastAsia="黑体"/>
          <w:b w:val="0"/>
        </w:rPr>
      </w:pPr>
      <w:bookmarkStart w:id="47" w:name="_Toc15377221"/>
      <w:bookmarkStart w:id="48" w:name="_Toc15396612"/>
      <w:r>
        <w:rPr>
          <w:rStyle w:val="2Char"/>
          <w:rFonts w:ascii="黑体" w:eastAsia="黑体" w:hint="eastAsia"/>
          <w:b w:val="0"/>
        </w:rPr>
        <w:t>其他重要事项的情况说明</w:t>
      </w:r>
      <w:bookmarkEnd w:id="47"/>
      <w:bookmarkEnd w:id="48"/>
    </w:p>
    <w:p w:rsidR="002D517E" w:rsidRDefault="00A63916" w:rsidP="00A63916">
      <w:pPr>
        <w:spacing w:line="600" w:lineRule="exact"/>
        <w:ind w:firstLineChars="200" w:firstLine="643"/>
        <w:outlineLvl w:val="2"/>
        <w:rPr>
          <w:rFonts w:ascii="仿宋" w:eastAsia="仿宋"/>
          <w:sz w:val="32"/>
          <w:szCs w:val="32"/>
        </w:rPr>
      </w:pPr>
      <w:bookmarkStart w:id="49" w:name="_Toc15377222"/>
      <w:r>
        <w:rPr>
          <w:rFonts w:ascii="仿宋" w:eastAsia="仿宋" w:hint="eastAsia"/>
          <w:b/>
          <w:sz w:val="32"/>
          <w:szCs w:val="32"/>
        </w:rPr>
        <w:t>（一）机关运行经费支出情况</w:t>
      </w:r>
      <w:bookmarkEnd w:id="49"/>
    </w:p>
    <w:p w:rsidR="002D517E" w:rsidRDefault="00A63916">
      <w:pPr>
        <w:spacing w:line="60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w:t>
      </w:r>
      <w:r>
        <w:rPr>
          <w:rFonts w:ascii="仿宋_GB2312" w:eastAsia="仿宋_GB2312"/>
          <w:b/>
          <w:sz w:val="32"/>
          <w:szCs w:val="32"/>
        </w:rPr>
        <w:t>大竹县残疾人就业服务所</w:t>
      </w:r>
      <w:r>
        <w:rPr>
          <w:rFonts w:ascii="仿宋_GB2312" w:eastAsia="仿宋_GB2312" w:hint="eastAsia"/>
          <w:sz w:val="32"/>
          <w:szCs w:val="32"/>
        </w:rPr>
        <w:t>机关运行经费支出</w:t>
      </w:r>
      <w:r>
        <w:rPr>
          <w:rFonts w:ascii="仿宋" w:eastAsia="仿宋"/>
          <w:b/>
          <w:sz w:val="32"/>
          <w:szCs w:val="32"/>
        </w:rPr>
        <w:t>0</w:t>
      </w:r>
      <w:r>
        <w:rPr>
          <w:rFonts w:ascii="仿宋_GB2312" w:eastAsia="仿宋_GB2312" w:hint="eastAsia"/>
          <w:sz w:val="32"/>
          <w:szCs w:val="32"/>
        </w:rPr>
        <w:t>万元。</w:t>
      </w:r>
    </w:p>
    <w:p w:rsidR="002D517E" w:rsidRDefault="00A63916" w:rsidP="00A63916">
      <w:pPr>
        <w:spacing w:line="600" w:lineRule="exact"/>
        <w:ind w:firstLineChars="200" w:firstLine="643"/>
        <w:rPr>
          <w:rFonts w:ascii="仿宋" w:eastAsia="仿宋"/>
          <w:b/>
          <w:sz w:val="32"/>
          <w:szCs w:val="32"/>
        </w:rPr>
      </w:pPr>
      <w:r>
        <w:rPr>
          <w:rFonts w:ascii="仿宋" w:eastAsia="仿宋" w:hint="eastAsia"/>
          <w:b/>
          <w:sz w:val="32"/>
          <w:szCs w:val="32"/>
        </w:rPr>
        <w:t>（注：数据来源于财决附</w:t>
      </w:r>
      <w:r>
        <w:rPr>
          <w:rFonts w:ascii="仿宋" w:eastAsia="仿宋"/>
          <w:b/>
          <w:sz w:val="32"/>
          <w:szCs w:val="32"/>
        </w:rPr>
        <w:t>03</w:t>
      </w:r>
      <w:r>
        <w:rPr>
          <w:rFonts w:ascii="仿宋" w:eastAsia="仿宋" w:hint="eastAsia"/>
          <w:b/>
          <w:sz w:val="32"/>
          <w:szCs w:val="32"/>
        </w:rPr>
        <w:t>表）</w:t>
      </w:r>
    </w:p>
    <w:p w:rsidR="002D517E" w:rsidRDefault="00A63916" w:rsidP="00A63916">
      <w:pPr>
        <w:autoSpaceDE w:val="0"/>
        <w:autoSpaceDN w:val="0"/>
        <w:adjustRightInd w:val="0"/>
        <w:spacing w:line="600" w:lineRule="exact"/>
        <w:ind w:firstLineChars="200" w:firstLine="643"/>
        <w:jc w:val="left"/>
        <w:outlineLvl w:val="2"/>
        <w:rPr>
          <w:rFonts w:ascii="仿宋" w:eastAsia="仿宋"/>
          <w:b/>
          <w:sz w:val="32"/>
          <w:szCs w:val="32"/>
        </w:rPr>
      </w:pPr>
      <w:bookmarkStart w:id="50" w:name="_Toc15377223"/>
      <w:r>
        <w:rPr>
          <w:rFonts w:ascii="仿宋" w:eastAsia="仿宋" w:hint="eastAsia"/>
          <w:b/>
          <w:sz w:val="32"/>
          <w:szCs w:val="32"/>
        </w:rPr>
        <w:t>（二）政府采购支出情况</w:t>
      </w:r>
      <w:bookmarkEnd w:id="50"/>
    </w:p>
    <w:p w:rsidR="002D517E" w:rsidRDefault="00A63916">
      <w:pPr>
        <w:spacing w:line="60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w:t>
      </w:r>
      <w:r>
        <w:rPr>
          <w:rFonts w:ascii="仿宋_GB2312" w:eastAsia="仿宋_GB2312"/>
          <w:b/>
          <w:sz w:val="32"/>
          <w:szCs w:val="32"/>
        </w:rPr>
        <w:t>大竹县残疾人就业服务所</w:t>
      </w:r>
      <w:r>
        <w:rPr>
          <w:rFonts w:ascii="仿宋_GB2312" w:eastAsia="仿宋_GB2312" w:hint="eastAsia"/>
          <w:sz w:val="32"/>
          <w:szCs w:val="32"/>
        </w:rPr>
        <w:t>政府采购支出总额</w:t>
      </w:r>
      <w:r>
        <w:rPr>
          <w:rFonts w:ascii="仿宋" w:eastAsia="仿宋"/>
          <w:b/>
          <w:sz w:val="32"/>
          <w:szCs w:val="32"/>
        </w:rPr>
        <w:t>0</w:t>
      </w:r>
      <w:r>
        <w:rPr>
          <w:rFonts w:ascii="仿宋_GB2312" w:eastAsia="仿宋_GB2312" w:hint="eastAsia"/>
          <w:sz w:val="32"/>
          <w:szCs w:val="32"/>
        </w:rPr>
        <w:t>万元，其中：政府采购货物支出</w:t>
      </w:r>
      <w:r>
        <w:rPr>
          <w:rFonts w:ascii="仿宋" w:eastAsia="仿宋"/>
          <w:b/>
          <w:sz w:val="32"/>
          <w:szCs w:val="32"/>
        </w:rPr>
        <w:t>0</w:t>
      </w:r>
      <w:r>
        <w:rPr>
          <w:rFonts w:ascii="仿宋_GB2312" w:eastAsia="仿宋_GB2312" w:hint="eastAsia"/>
          <w:sz w:val="32"/>
          <w:szCs w:val="32"/>
        </w:rPr>
        <w:t>万元、政府采购工程支出</w:t>
      </w:r>
      <w:r>
        <w:rPr>
          <w:rFonts w:ascii="仿宋" w:eastAsia="仿宋"/>
          <w:b/>
          <w:sz w:val="32"/>
          <w:szCs w:val="32"/>
        </w:rPr>
        <w:t>0</w:t>
      </w:r>
      <w:r>
        <w:rPr>
          <w:rFonts w:ascii="仿宋_GB2312" w:eastAsia="仿宋_GB2312" w:hint="eastAsia"/>
          <w:sz w:val="32"/>
          <w:szCs w:val="32"/>
        </w:rPr>
        <w:t>万元、政府采购服务支出</w:t>
      </w:r>
      <w:r>
        <w:rPr>
          <w:rFonts w:ascii="仿宋" w:eastAsia="仿宋"/>
          <w:b/>
          <w:sz w:val="32"/>
          <w:szCs w:val="32"/>
        </w:rPr>
        <w:t>0</w:t>
      </w:r>
      <w:r>
        <w:rPr>
          <w:rFonts w:ascii="仿宋_GB2312" w:eastAsia="仿宋_GB2312" w:hint="eastAsia"/>
          <w:sz w:val="32"/>
          <w:szCs w:val="32"/>
        </w:rPr>
        <w:t>万元。主要用于</w:t>
      </w:r>
      <w:r>
        <w:rPr>
          <w:rFonts w:ascii="仿宋_GB2312" w:eastAsia="仿宋_GB2312"/>
          <w:sz w:val="32"/>
          <w:szCs w:val="32"/>
        </w:rPr>
        <w:t>…</w:t>
      </w:r>
      <w:r>
        <w:rPr>
          <w:rFonts w:ascii="仿宋_GB2312" w:eastAsia="仿宋_GB2312" w:hint="eastAsia"/>
          <w:sz w:val="32"/>
          <w:szCs w:val="32"/>
        </w:rPr>
        <w:t>（具体工作）。授予中小企业合同金额</w:t>
      </w:r>
      <w:r>
        <w:rPr>
          <w:rFonts w:ascii="仿宋" w:eastAsia="仿宋"/>
          <w:b/>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，其中：授予小微企业合同金额</w:t>
      </w:r>
      <w:r>
        <w:rPr>
          <w:rFonts w:ascii="仿宋" w:eastAsia="仿宋"/>
          <w:b/>
          <w:sz w:val="32"/>
          <w:szCs w:val="32"/>
        </w:rPr>
        <w:t>0</w:t>
      </w:r>
      <w:r>
        <w:rPr>
          <w:rFonts w:ascii="仿宋_GB2312" w:eastAsia="仿宋_GB2312" w:hint="eastAsia"/>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rsidR="002D517E" w:rsidRDefault="00A63916" w:rsidP="00A63916">
      <w:pPr>
        <w:spacing w:line="600" w:lineRule="exact"/>
        <w:ind w:firstLineChars="200" w:firstLine="643"/>
        <w:rPr>
          <w:rFonts w:ascii="仿宋" w:eastAsia="仿宋"/>
          <w:b/>
          <w:sz w:val="32"/>
          <w:szCs w:val="32"/>
        </w:rPr>
      </w:pPr>
      <w:r>
        <w:rPr>
          <w:rFonts w:ascii="仿宋" w:eastAsia="仿宋" w:hint="eastAsia"/>
          <w:b/>
          <w:sz w:val="32"/>
          <w:szCs w:val="32"/>
        </w:rPr>
        <w:t>（注：数据来源于财决附</w:t>
      </w:r>
      <w:r>
        <w:rPr>
          <w:rFonts w:ascii="仿宋" w:eastAsia="仿宋"/>
          <w:b/>
          <w:sz w:val="32"/>
          <w:szCs w:val="32"/>
        </w:rPr>
        <w:t>03</w:t>
      </w:r>
      <w:r>
        <w:rPr>
          <w:rFonts w:ascii="仿宋" w:eastAsia="仿宋" w:hint="eastAsia"/>
          <w:b/>
          <w:sz w:val="32"/>
          <w:szCs w:val="32"/>
        </w:rPr>
        <w:t>表）</w:t>
      </w:r>
    </w:p>
    <w:p w:rsidR="002D517E" w:rsidRDefault="00A63916" w:rsidP="00A63916">
      <w:pPr>
        <w:autoSpaceDE w:val="0"/>
        <w:autoSpaceDN w:val="0"/>
        <w:adjustRightInd w:val="0"/>
        <w:spacing w:line="600" w:lineRule="exact"/>
        <w:ind w:firstLineChars="200" w:firstLine="643"/>
        <w:jc w:val="left"/>
        <w:outlineLvl w:val="2"/>
        <w:rPr>
          <w:rFonts w:ascii="仿宋" w:eastAsia="仿宋"/>
          <w:b/>
          <w:sz w:val="32"/>
          <w:szCs w:val="32"/>
        </w:rPr>
      </w:pPr>
      <w:bookmarkStart w:id="51" w:name="_Toc15377224"/>
      <w:r>
        <w:rPr>
          <w:rFonts w:ascii="仿宋" w:eastAsia="仿宋" w:hint="eastAsia"/>
          <w:b/>
          <w:sz w:val="32"/>
          <w:szCs w:val="32"/>
        </w:rPr>
        <w:t>（三）国有资产占有使用情况</w:t>
      </w:r>
      <w:bookmarkEnd w:id="51"/>
    </w:p>
    <w:p w:rsidR="002D517E" w:rsidRDefault="00A63916">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b/>
          <w:sz w:val="32"/>
          <w:szCs w:val="32"/>
        </w:rPr>
        <w:t>大竹县残疾人就业服务所</w:t>
      </w:r>
      <w:r>
        <w:rPr>
          <w:rFonts w:ascii="仿宋_GB2312" w:eastAsia="仿宋_GB2312" w:hint="eastAsia"/>
          <w:sz w:val="32"/>
          <w:szCs w:val="32"/>
        </w:rPr>
        <w:t>共有车辆</w:t>
      </w:r>
      <w:r>
        <w:rPr>
          <w:rFonts w:ascii="仿宋_GB2312" w:eastAsia="仿宋_GB2312" w:hint="eastAsia"/>
          <w:b/>
          <w:sz w:val="32"/>
          <w:szCs w:val="32"/>
        </w:rPr>
        <w:t>1</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1</w:t>
      </w:r>
      <w:r>
        <w:rPr>
          <w:rFonts w:ascii="仿宋_GB2312" w:eastAsia="仿宋_GB2312" w:hint="eastAsia"/>
          <w:sz w:val="32"/>
          <w:szCs w:val="32"/>
        </w:rPr>
        <w:t>辆。单价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0</w:t>
      </w:r>
      <w:r>
        <w:rPr>
          <w:rFonts w:ascii="仿宋_GB2312" w:eastAsia="仿宋_GB2312" w:hint="eastAsia"/>
          <w:sz w:val="32"/>
          <w:szCs w:val="32"/>
        </w:rPr>
        <w:t>台（套）。</w:t>
      </w:r>
    </w:p>
    <w:p w:rsidR="002D517E" w:rsidRDefault="00A63916" w:rsidP="00A63916">
      <w:pPr>
        <w:autoSpaceDE w:val="0"/>
        <w:autoSpaceDN w:val="0"/>
        <w:adjustRightInd w:val="0"/>
        <w:spacing w:line="600" w:lineRule="exact"/>
        <w:ind w:firstLineChars="200" w:firstLine="643"/>
        <w:jc w:val="left"/>
        <w:rPr>
          <w:rFonts w:ascii="仿宋" w:eastAsia="仿宋"/>
          <w:b/>
          <w:sz w:val="32"/>
          <w:szCs w:val="32"/>
        </w:rPr>
      </w:pPr>
      <w:r>
        <w:rPr>
          <w:rFonts w:ascii="仿宋" w:eastAsia="仿宋" w:hint="eastAsia"/>
          <w:b/>
          <w:sz w:val="32"/>
          <w:szCs w:val="32"/>
        </w:rPr>
        <w:t>（注：数据来源于财决附</w:t>
      </w:r>
      <w:r>
        <w:rPr>
          <w:rFonts w:ascii="仿宋" w:eastAsia="仿宋"/>
          <w:b/>
          <w:sz w:val="32"/>
          <w:szCs w:val="32"/>
        </w:rPr>
        <w:t>03</w:t>
      </w:r>
      <w:r>
        <w:rPr>
          <w:rFonts w:ascii="仿宋" w:eastAsia="仿宋" w:hint="eastAsia"/>
          <w:b/>
          <w:sz w:val="32"/>
          <w:szCs w:val="32"/>
        </w:rPr>
        <w:t>表，按单位决算报表填报数据罗列车辆情况。）</w:t>
      </w:r>
    </w:p>
    <w:p w:rsidR="002D517E" w:rsidRDefault="00A63916" w:rsidP="00A63916">
      <w:pPr>
        <w:autoSpaceDE w:val="0"/>
        <w:autoSpaceDN w:val="0"/>
        <w:adjustRightInd w:val="0"/>
        <w:spacing w:line="600" w:lineRule="exact"/>
        <w:ind w:firstLineChars="200" w:firstLine="643"/>
        <w:jc w:val="left"/>
        <w:outlineLvl w:val="2"/>
        <w:rPr>
          <w:rFonts w:ascii="仿宋" w:eastAsia="仿宋"/>
          <w:b/>
          <w:sz w:val="32"/>
          <w:szCs w:val="32"/>
        </w:rPr>
      </w:pPr>
      <w:r>
        <w:rPr>
          <w:rFonts w:ascii="仿宋" w:eastAsia="仿宋" w:hint="eastAsia"/>
          <w:b/>
          <w:sz w:val="32"/>
          <w:szCs w:val="32"/>
        </w:rPr>
        <w:t>（四）预算绩效管理情况</w:t>
      </w:r>
    </w:p>
    <w:p w:rsidR="002D517E" w:rsidRDefault="00A63916">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w:t>
      </w:r>
      <w:r>
        <w:rPr>
          <w:rFonts w:ascii="仿宋_GB2312" w:eastAsia="仿宋_GB2312" w:hint="eastAsia"/>
          <w:sz w:val="32"/>
          <w:szCs w:val="32"/>
        </w:rPr>
        <w:t>2023</w:t>
      </w:r>
      <w:r>
        <w:rPr>
          <w:rFonts w:ascii="仿宋_GB2312" w:eastAsia="仿宋_GB2312" w:hint="eastAsia"/>
          <w:sz w:val="32"/>
          <w:szCs w:val="32"/>
        </w:rPr>
        <w:t>年度预算编制</w:t>
      </w:r>
      <w:r>
        <w:rPr>
          <w:rFonts w:ascii="仿宋_GB2312" w:eastAsia="仿宋_GB2312" w:hint="eastAsia"/>
          <w:sz w:val="32"/>
          <w:szCs w:val="32"/>
        </w:rPr>
        <w:lastRenderedPageBreak/>
        <w:t>阶段，组织对</w:t>
      </w:r>
      <w:r>
        <w:rPr>
          <w:rFonts w:ascii="仿宋_GB2312" w:eastAsia="仿宋_GB2312" w:hint="eastAsia"/>
          <w:sz w:val="32"/>
          <w:szCs w:val="32"/>
        </w:rPr>
        <w:t>XX</w:t>
      </w:r>
      <w:r>
        <w:rPr>
          <w:rFonts w:ascii="仿宋_GB2312" w:eastAsia="仿宋_GB2312" w:hint="eastAsia"/>
          <w:sz w:val="32"/>
          <w:szCs w:val="32"/>
        </w:rPr>
        <w:t>项目（项目名称）等</w:t>
      </w:r>
      <w:r>
        <w:rPr>
          <w:rFonts w:ascii="方正兰亭黑_GBK" w:eastAsia="仿宋_GB2312" w:hAnsi="方正兰亭黑_GBK"/>
          <w:sz w:val="32"/>
          <w:szCs w:val="32"/>
        </w:rPr>
        <w:t>0</w:t>
      </w:r>
      <w:r>
        <w:rPr>
          <w:rFonts w:ascii="仿宋_GB2312" w:eastAsia="仿宋_GB2312" w:hint="eastAsia"/>
          <w:sz w:val="32"/>
          <w:szCs w:val="32"/>
        </w:rPr>
        <w:t>个项目开展了预算事前绩效评估，对</w:t>
      </w:r>
      <w:r>
        <w:rPr>
          <w:rFonts w:ascii="仿宋_GB2312" w:eastAsia="仿宋_GB2312" w:hint="eastAsia"/>
          <w:sz w:val="32"/>
          <w:szCs w:val="32"/>
        </w:rPr>
        <w:t>XX</w:t>
      </w:r>
      <w:r>
        <w:rPr>
          <w:rFonts w:ascii="仿宋_GB2312" w:eastAsia="仿宋_GB2312" w:hint="eastAsia"/>
          <w:sz w:val="32"/>
          <w:szCs w:val="32"/>
        </w:rPr>
        <w:t>个项目编制了绩效目标，预算执行过程中，选取</w:t>
      </w:r>
      <w:r>
        <w:rPr>
          <w:rFonts w:ascii="方正兰亭黑_GBK" w:eastAsia="仿宋_GB2312" w:hAnsi="方正兰亭黑_GBK"/>
          <w:sz w:val="32"/>
          <w:szCs w:val="32"/>
        </w:rPr>
        <w:t>0</w:t>
      </w:r>
      <w:bookmarkStart w:id="52" w:name="_GoBack"/>
      <w:bookmarkEnd w:id="52"/>
      <w:r>
        <w:rPr>
          <w:rFonts w:ascii="仿宋_GB2312" w:eastAsia="仿宋_GB2312" w:hint="eastAsia"/>
          <w:sz w:val="32"/>
          <w:szCs w:val="32"/>
        </w:rPr>
        <w:t>个项目开展绩效监控，组织对</w:t>
      </w:r>
      <w:r>
        <w:rPr>
          <w:rFonts w:ascii="方正兰亭黑_GBK" w:eastAsia="仿宋_GB2312" w:hAnsi="方正兰亭黑_GBK"/>
          <w:sz w:val="32"/>
          <w:szCs w:val="32"/>
        </w:rPr>
        <w:t>0</w:t>
      </w:r>
      <w:r>
        <w:rPr>
          <w:rFonts w:ascii="仿宋_GB2312" w:eastAsia="仿宋_GB2312" w:hint="eastAsia"/>
          <w:sz w:val="32"/>
          <w:szCs w:val="32"/>
        </w:rPr>
        <w:t>个项目开展绩效自评，绩效自评表详见第四部分附件。</w:t>
      </w:r>
    </w:p>
    <w:p w:rsidR="002D517E" w:rsidRDefault="00A63916">
      <w:pPr>
        <w:spacing w:line="600" w:lineRule="exact"/>
        <w:ind w:firstLineChars="200" w:firstLine="640"/>
        <w:rPr>
          <w:rFonts w:ascii="仿宋_GB2312" w:eastAsia="仿宋_GB2312"/>
          <w:sz w:val="32"/>
          <w:szCs w:val="32"/>
        </w:rPr>
      </w:pPr>
      <w:r>
        <w:rPr>
          <w:rFonts w:ascii="仿宋_GB2312" w:eastAsia="仿宋_GB2312" w:hint="eastAsia"/>
          <w:sz w:val="32"/>
          <w:szCs w:val="32"/>
        </w:rPr>
        <w:br w:type="page"/>
      </w:r>
    </w:p>
    <w:p w:rsidR="002D517E" w:rsidRDefault="00A63916">
      <w:pPr>
        <w:numPr>
          <w:ilvl w:val="0"/>
          <w:numId w:val="5"/>
        </w:numPr>
        <w:spacing w:line="600" w:lineRule="exact"/>
        <w:ind w:firstLineChars="150" w:firstLine="660"/>
        <w:jc w:val="center"/>
        <w:outlineLvl w:val="0"/>
        <w:rPr>
          <w:rStyle w:val="1Char"/>
          <w:rFonts w:ascii="黑体" w:eastAsia="黑体"/>
          <w:b w:val="0"/>
        </w:rPr>
      </w:pPr>
      <w:bookmarkStart w:id="53" w:name="_Toc15396613"/>
      <w:bookmarkStart w:id="54" w:name="_Toc15377225"/>
      <w:r>
        <w:rPr>
          <w:rFonts w:ascii="黑体" w:eastAsia="黑体" w:hint="eastAsia"/>
          <w:sz w:val="44"/>
          <w:szCs w:val="44"/>
        </w:rPr>
        <w:lastRenderedPageBreak/>
        <w:t>名</w:t>
      </w:r>
      <w:r>
        <w:rPr>
          <w:rStyle w:val="1Char"/>
          <w:rFonts w:ascii="黑体" w:eastAsia="黑体" w:hint="eastAsia"/>
          <w:b w:val="0"/>
        </w:rPr>
        <w:t>词解释</w:t>
      </w:r>
      <w:bookmarkEnd w:id="53"/>
      <w:bookmarkEnd w:id="54"/>
    </w:p>
    <w:p w:rsidR="002D517E" w:rsidRDefault="002D517E">
      <w:pPr>
        <w:spacing w:line="600" w:lineRule="exact"/>
        <w:jc w:val="left"/>
        <w:rPr>
          <w:rFonts w:ascii="宋体"/>
          <w:b/>
          <w:sz w:val="44"/>
          <w:szCs w:val="44"/>
        </w:rPr>
      </w:pPr>
    </w:p>
    <w:p w:rsidR="002D517E" w:rsidRDefault="00A639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2D517E" w:rsidRDefault="00A639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2D517E" w:rsidRDefault="00A639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2D517E" w:rsidRDefault="00A639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rsidR="002D517E" w:rsidRDefault="00A639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rsidR="002D517E" w:rsidRDefault="00A639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2D517E" w:rsidRDefault="00A639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2D517E" w:rsidRDefault="00A6391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w:t>
      </w:r>
      <w:r>
        <w:rPr>
          <w:rFonts w:ascii="仿宋_GB2312" w:eastAsia="仿宋_GB2312" w:hint="eastAsia"/>
          <w:color w:val="auto"/>
          <w:sz w:val="32"/>
          <w:szCs w:val="32"/>
        </w:rPr>
        <w:t>年末结转和结余：指单位按有关规定结转到下年或以后年度继续使用的资金。</w:t>
      </w:r>
    </w:p>
    <w:p w:rsidR="002D517E" w:rsidRDefault="00A63916">
      <w:pPr>
        <w:ind w:firstLineChars="200" w:firstLine="640"/>
        <w:rPr>
          <w:rFonts w:ascii="仿宋_GB2312" w:eastAsia="仿宋_GB2312"/>
          <w:sz w:val="32"/>
          <w:szCs w:val="32"/>
        </w:rPr>
      </w:pPr>
      <w:r>
        <w:rPr>
          <w:rFonts w:ascii="仿宋_GB2312" w:eastAsia="仿宋_GB2312" w:hint="eastAsia"/>
          <w:color w:val="000000"/>
          <w:sz w:val="32"/>
          <w:szCs w:val="32"/>
        </w:rPr>
        <w:t>9.</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05</w:t>
      </w:r>
      <w:r>
        <w:rPr>
          <w:rFonts w:ascii="仿宋_GB2312" w:eastAsia="仿宋_GB2312" w:hint="eastAsia"/>
          <w:sz w:val="32"/>
          <w:szCs w:val="32"/>
        </w:rPr>
        <w:t>（款）</w:t>
      </w:r>
      <w:r>
        <w:rPr>
          <w:rFonts w:ascii="仿宋_GB2312" w:eastAsia="仿宋_GB2312" w:hint="eastAsia"/>
          <w:sz w:val="32"/>
          <w:szCs w:val="32"/>
        </w:rPr>
        <w:t>0</w:t>
      </w:r>
      <w:r>
        <w:rPr>
          <w:rFonts w:ascii="仿宋_GB2312" w:eastAsia="仿宋_GB2312" w:hint="eastAsia"/>
          <w:sz w:val="32"/>
          <w:szCs w:val="32"/>
        </w:rPr>
        <w:t>5</w:t>
      </w:r>
      <w:r>
        <w:rPr>
          <w:rFonts w:ascii="仿宋_GB2312" w:eastAsia="仿宋_GB2312" w:hint="eastAsia"/>
          <w:sz w:val="32"/>
          <w:szCs w:val="32"/>
        </w:rPr>
        <w:t>（项）</w:t>
      </w:r>
      <w:r>
        <w:rPr>
          <w:rFonts w:ascii="仿宋_GB2312" w:eastAsia="仿宋_GB2312" w:hint="eastAsia"/>
          <w:sz w:val="32"/>
          <w:szCs w:val="32"/>
        </w:rPr>
        <w:t>：反映机关事业</w:t>
      </w:r>
      <w:r>
        <w:rPr>
          <w:rFonts w:ascii="仿宋_GB2312" w:eastAsia="仿宋_GB2312" w:hint="eastAsia"/>
          <w:sz w:val="32"/>
          <w:szCs w:val="32"/>
        </w:rPr>
        <w:t>单位</w:t>
      </w:r>
      <w:r>
        <w:rPr>
          <w:rFonts w:ascii="仿宋_GB2312" w:eastAsia="仿宋_GB2312" w:hint="eastAsia"/>
          <w:sz w:val="32"/>
          <w:szCs w:val="32"/>
        </w:rPr>
        <w:t>实施养老保险制度由单位缴纳的</w:t>
      </w:r>
      <w:r>
        <w:rPr>
          <w:rFonts w:ascii="仿宋_GB2312" w:eastAsia="仿宋_GB2312" w:hint="eastAsia"/>
          <w:sz w:val="32"/>
          <w:szCs w:val="32"/>
        </w:rPr>
        <w:t>基本养老保险费</w:t>
      </w:r>
      <w:r>
        <w:rPr>
          <w:rFonts w:ascii="仿宋_GB2312" w:eastAsia="仿宋_GB2312" w:hint="eastAsia"/>
          <w:sz w:val="32"/>
          <w:szCs w:val="32"/>
        </w:rPr>
        <w:t>支出</w:t>
      </w:r>
      <w:r>
        <w:rPr>
          <w:rFonts w:ascii="仿宋_GB2312" w:eastAsia="仿宋_GB2312" w:hint="eastAsia"/>
          <w:sz w:val="32"/>
          <w:szCs w:val="32"/>
        </w:rPr>
        <w:t>。</w:t>
      </w:r>
    </w:p>
    <w:p w:rsidR="002D517E" w:rsidRDefault="00A63916">
      <w:pPr>
        <w:ind w:firstLineChars="200" w:firstLine="640"/>
        <w:rPr>
          <w:rFonts w:ascii="仿宋_GB2312" w:eastAsia="仿宋_GB2312"/>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0</w:t>
      </w:r>
      <w:r>
        <w:rPr>
          <w:rFonts w:ascii="仿宋_GB2312" w:eastAsia="仿宋_GB2312" w:hint="eastAsia"/>
          <w:color w:val="000000"/>
          <w:sz w:val="32"/>
          <w:szCs w:val="32"/>
        </w:rPr>
        <w:t>.</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05</w:t>
      </w:r>
      <w:r>
        <w:rPr>
          <w:rFonts w:ascii="仿宋_GB2312" w:eastAsia="仿宋_GB2312" w:hint="eastAsia"/>
          <w:sz w:val="32"/>
          <w:szCs w:val="32"/>
        </w:rPr>
        <w:t>（款）</w:t>
      </w:r>
      <w:r>
        <w:rPr>
          <w:rFonts w:ascii="仿宋_GB2312" w:eastAsia="仿宋_GB2312" w:hint="eastAsia"/>
          <w:sz w:val="32"/>
          <w:szCs w:val="32"/>
        </w:rPr>
        <w:t>99</w:t>
      </w:r>
      <w:r>
        <w:rPr>
          <w:rFonts w:ascii="仿宋_GB2312" w:eastAsia="仿宋_GB2312" w:hint="eastAsia"/>
          <w:sz w:val="32"/>
          <w:szCs w:val="32"/>
        </w:rPr>
        <w:t>（项）</w:t>
      </w:r>
      <w:r>
        <w:rPr>
          <w:rFonts w:ascii="仿宋_GB2312" w:eastAsia="仿宋_GB2312" w:hint="eastAsia"/>
          <w:sz w:val="32"/>
          <w:szCs w:val="32"/>
        </w:rPr>
        <w:t>：</w:t>
      </w:r>
      <w:r>
        <w:rPr>
          <w:rFonts w:ascii="仿宋_GB2312" w:eastAsia="仿宋_GB2312" w:hint="eastAsia"/>
          <w:sz w:val="32"/>
          <w:szCs w:val="32"/>
        </w:rPr>
        <w:t>反映</w:t>
      </w:r>
      <w:r>
        <w:rPr>
          <w:rFonts w:ascii="仿宋_GB2312" w:eastAsia="仿宋_GB2312" w:hint="eastAsia"/>
          <w:sz w:val="32"/>
          <w:szCs w:val="32"/>
        </w:rPr>
        <w:lastRenderedPageBreak/>
        <w:t>其他用于行政事业单位养老方面的支出。</w:t>
      </w:r>
    </w:p>
    <w:p w:rsidR="002D517E" w:rsidRDefault="00A63916">
      <w:pPr>
        <w:ind w:firstLineChars="200" w:firstLine="640"/>
        <w:rPr>
          <w:rFonts w:ascii="仿宋_GB2312" w:eastAsia="仿宋_GB2312"/>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Pr>
          <w:rFonts w:ascii="仿宋_GB2312" w:eastAsia="仿宋_GB2312" w:hint="eastAsia"/>
          <w:sz w:val="32"/>
          <w:szCs w:val="32"/>
        </w:rPr>
        <w:t>（类）</w:t>
      </w:r>
      <w:r>
        <w:rPr>
          <w:rFonts w:ascii="仿宋_GB2312" w:eastAsia="仿宋_GB2312" w:hint="eastAsia"/>
          <w:sz w:val="32"/>
          <w:szCs w:val="32"/>
        </w:rPr>
        <w:t>11</w:t>
      </w:r>
      <w:r>
        <w:rPr>
          <w:rFonts w:ascii="仿宋_GB2312" w:eastAsia="仿宋_GB2312" w:hint="eastAsia"/>
          <w:sz w:val="32"/>
          <w:szCs w:val="32"/>
        </w:rPr>
        <w:t>（款）</w:t>
      </w:r>
      <w:r>
        <w:rPr>
          <w:rFonts w:ascii="仿宋_GB2312" w:eastAsia="仿宋_GB2312" w:hint="eastAsia"/>
          <w:sz w:val="32"/>
          <w:szCs w:val="32"/>
        </w:rPr>
        <w:t>03</w:t>
      </w:r>
      <w:r>
        <w:rPr>
          <w:rFonts w:ascii="仿宋_GB2312" w:eastAsia="仿宋_GB2312" w:hint="eastAsia"/>
          <w:sz w:val="32"/>
          <w:szCs w:val="32"/>
        </w:rPr>
        <w:t>（项）：反映为行政单位</w:t>
      </w:r>
      <w:r>
        <w:rPr>
          <w:rFonts w:ascii="仿宋_GB2312" w:eastAsia="仿宋_GB2312" w:hint="eastAsia"/>
          <w:sz w:val="32"/>
          <w:szCs w:val="32"/>
        </w:rPr>
        <w:t>(</w:t>
      </w:r>
      <w:r>
        <w:rPr>
          <w:rFonts w:ascii="仿宋_GB2312" w:eastAsia="仿宋_GB2312" w:hint="eastAsia"/>
          <w:sz w:val="32"/>
          <w:szCs w:val="32"/>
        </w:rPr>
        <w:t>包括实行公务员管理的事业单位</w:t>
      </w:r>
      <w:r>
        <w:rPr>
          <w:rFonts w:ascii="仿宋_GB2312" w:eastAsia="仿宋_GB2312" w:hint="eastAsia"/>
          <w:sz w:val="32"/>
          <w:szCs w:val="32"/>
        </w:rPr>
        <w:t>)</w:t>
      </w:r>
      <w:r>
        <w:rPr>
          <w:rFonts w:ascii="仿宋_GB2312" w:eastAsia="仿宋_GB2312" w:hint="eastAsia"/>
          <w:sz w:val="32"/>
          <w:szCs w:val="32"/>
        </w:rPr>
        <w:t>提供后勤服务的各类后勤服务中心、医务室等附属事业单位的支出。其他事业单位的支出，凡单独设置了项级科目的，在单独设置的项级科目中反映。未单设项级科目的，在“其他”项级科目中反映。</w:t>
      </w:r>
    </w:p>
    <w:p w:rsidR="002D517E" w:rsidRDefault="00A63916">
      <w:pPr>
        <w:ind w:firstLineChars="200" w:firstLine="640"/>
        <w:rPr>
          <w:rFonts w:ascii="仿宋_GB2312" w:eastAsia="仿宋_GB2312"/>
          <w:sz w:val="32"/>
          <w:szCs w:val="32"/>
        </w:rPr>
      </w:pPr>
      <w:r>
        <w:rPr>
          <w:rFonts w:ascii="仿宋_GB2312" w:eastAsia="仿宋_GB2312" w:hint="eastAsia"/>
          <w:color w:val="000000"/>
          <w:sz w:val="32"/>
          <w:szCs w:val="32"/>
        </w:rPr>
        <w:t>12.</w:t>
      </w:r>
      <w:r>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Pr>
          <w:rFonts w:ascii="仿宋_GB2312" w:eastAsia="仿宋_GB2312" w:hint="eastAsia"/>
          <w:sz w:val="32"/>
          <w:szCs w:val="32"/>
        </w:rPr>
        <w:t>（类）</w:t>
      </w:r>
      <w:r>
        <w:rPr>
          <w:rFonts w:ascii="仿宋_GB2312" w:eastAsia="仿宋_GB2312" w:hint="eastAsia"/>
          <w:sz w:val="32"/>
          <w:szCs w:val="32"/>
        </w:rPr>
        <w:t>11</w:t>
      </w:r>
      <w:r>
        <w:rPr>
          <w:rFonts w:ascii="仿宋_GB2312" w:eastAsia="仿宋_GB2312" w:hint="eastAsia"/>
          <w:sz w:val="32"/>
          <w:szCs w:val="32"/>
        </w:rPr>
        <w:t>（款）</w:t>
      </w:r>
      <w:r>
        <w:rPr>
          <w:rFonts w:ascii="仿宋_GB2312" w:eastAsia="仿宋_GB2312" w:hint="eastAsia"/>
          <w:sz w:val="32"/>
          <w:szCs w:val="32"/>
        </w:rPr>
        <w:t>0</w:t>
      </w:r>
      <w:r>
        <w:rPr>
          <w:rFonts w:ascii="仿宋_GB2312" w:eastAsia="仿宋_GB2312" w:hint="eastAsia"/>
          <w:sz w:val="32"/>
          <w:szCs w:val="32"/>
        </w:rPr>
        <w:t>4</w:t>
      </w:r>
      <w:r>
        <w:rPr>
          <w:rFonts w:ascii="仿宋_GB2312" w:eastAsia="仿宋_GB2312" w:hint="eastAsia"/>
          <w:sz w:val="32"/>
          <w:szCs w:val="32"/>
        </w:rPr>
        <w:t>（项）：反映残疾人联合会用于残疾人康复方面的支出。</w:t>
      </w:r>
    </w:p>
    <w:p w:rsidR="002D517E" w:rsidRDefault="00A63916">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11</w:t>
      </w:r>
      <w:r>
        <w:rPr>
          <w:rFonts w:ascii="仿宋_GB2312" w:eastAsia="仿宋_GB2312" w:hint="eastAsia"/>
          <w:sz w:val="32"/>
          <w:szCs w:val="32"/>
        </w:rPr>
        <w:t>（款）</w:t>
      </w:r>
      <w:r>
        <w:rPr>
          <w:rFonts w:ascii="仿宋_GB2312" w:eastAsia="仿宋_GB2312" w:hint="eastAsia"/>
          <w:sz w:val="32"/>
          <w:szCs w:val="32"/>
        </w:rPr>
        <w:t>05</w:t>
      </w:r>
      <w:r>
        <w:rPr>
          <w:rFonts w:ascii="仿宋_GB2312" w:eastAsia="仿宋_GB2312" w:hint="eastAsia"/>
          <w:sz w:val="32"/>
          <w:szCs w:val="32"/>
        </w:rPr>
        <w:t>（项）：反映残疾人联合会用于残疾人</w:t>
      </w:r>
      <w:r>
        <w:rPr>
          <w:rFonts w:ascii="仿宋_GB2312" w:eastAsia="仿宋_GB2312" w:hint="eastAsia"/>
          <w:sz w:val="32"/>
          <w:szCs w:val="32"/>
        </w:rPr>
        <w:t>就业</w:t>
      </w:r>
      <w:r>
        <w:rPr>
          <w:rFonts w:ascii="仿宋_GB2312" w:eastAsia="仿宋_GB2312" w:hint="eastAsia"/>
          <w:sz w:val="32"/>
          <w:szCs w:val="32"/>
        </w:rPr>
        <w:t>方面的支出</w:t>
      </w:r>
      <w:r>
        <w:rPr>
          <w:rFonts w:ascii="仿宋_GB2312" w:eastAsia="仿宋_GB2312" w:hint="eastAsia"/>
          <w:sz w:val="32"/>
          <w:szCs w:val="32"/>
        </w:rPr>
        <w:t>。</w:t>
      </w:r>
    </w:p>
    <w:p w:rsidR="002D517E" w:rsidRDefault="00A63916">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11</w:t>
      </w:r>
      <w:r>
        <w:rPr>
          <w:rFonts w:ascii="仿宋_GB2312" w:eastAsia="仿宋_GB2312" w:hint="eastAsia"/>
          <w:sz w:val="32"/>
          <w:szCs w:val="32"/>
        </w:rPr>
        <w:t>（款）</w:t>
      </w:r>
      <w:r>
        <w:rPr>
          <w:rFonts w:ascii="仿宋_GB2312" w:eastAsia="仿宋_GB2312" w:hint="eastAsia"/>
          <w:sz w:val="32"/>
          <w:szCs w:val="32"/>
        </w:rPr>
        <w:t>99</w:t>
      </w:r>
      <w:r>
        <w:rPr>
          <w:rFonts w:ascii="仿宋_GB2312" w:eastAsia="仿宋_GB2312" w:hint="eastAsia"/>
          <w:sz w:val="32"/>
          <w:szCs w:val="32"/>
        </w:rPr>
        <w:t>（项）：反映</w:t>
      </w:r>
      <w:r>
        <w:rPr>
          <w:rFonts w:ascii="仿宋_GB2312" w:eastAsia="仿宋_GB2312" w:hint="eastAsia"/>
          <w:sz w:val="32"/>
          <w:szCs w:val="32"/>
        </w:rPr>
        <w:t>其他</w:t>
      </w:r>
      <w:r>
        <w:rPr>
          <w:rFonts w:ascii="仿宋_GB2312" w:eastAsia="仿宋_GB2312" w:hint="eastAsia"/>
          <w:sz w:val="32"/>
          <w:szCs w:val="32"/>
        </w:rPr>
        <w:t>用于残疾人</w:t>
      </w:r>
      <w:r>
        <w:rPr>
          <w:rFonts w:ascii="仿宋_GB2312" w:eastAsia="仿宋_GB2312" w:hint="eastAsia"/>
          <w:sz w:val="32"/>
          <w:szCs w:val="32"/>
        </w:rPr>
        <w:t>事业</w:t>
      </w:r>
      <w:r>
        <w:rPr>
          <w:rFonts w:ascii="仿宋_GB2312" w:eastAsia="仿宋_GB2312" w:hint="eastAsia"/>
          <w:sz w:val="32"/>
          <w:szCs w:val="32"/>
        </w:rPr>
        <w:t>方面的支出。</w:t>
      </w:r>
    </w:p>
    <w:p w:rsidR="002D517E" w:rsidRDefault="00A63916">
      <w:pPr>
        <w:ind w:firstLineChars="200" w:firstLine="640"/>
        <w:rPr>
          <w:rFonts w:ascii="仿宋_GB2312" w:eastAsia="仿宋_GB2312"/>
          <w:sz w:val="32"/>
          <w:szCs w:val="32"/>
        </w:rPr>
      </w:pPr>
      <w:r>
        <w:rPr>
          <w:rFonts w:ascii="仿宋_GB2312" w:eastAsia="仿宋_GB2312" w:hint="eastAsia"/>
          <w:color w:val="000000"/>
          <w:sz w:val="32"/>
          <w:szCs w:val="32"/>
        </w:rPr>
        <w:t>15.</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30</w:t>
      </w:r>
      <w:r>
        <w:rPr>
          <w:rFonts w:ascii="仿宋_GB2312" w:eastAsia="仿宋_GB2312" w:hint="eastAsia"/>
          <w:sz w:val="32"/>
          <w:szCs w:val="32"/>
        </w:rPr>
        <w:t>（款）</w:t>
      </w:r>
      <w:r>
        <w:rPr>
          <w:rFonts w:ascii="仿宋_GB2312" w:eastAsia="仿宋_GB2312" w:hint="eastAsia"/>
          <w:sz w:val="32"/>
          <w:szCs w:val="32"/>
        </w:rPr>
        <w:t>01</w:t>
      </w:r>
      <w:r>
        <w:rPr>
          <w:rFonts w:ascii="仿宋_GB2312" w:eastAsia="仿宋_GB2312" w:hint="eastAsia"/>
          <w:sz w:val="32"/>
          <w:szCs w:val="32"/>
        </w:rPr>
        <w:t>（项）：反映财政为困难人员缴纳的城乡居民基本养老保险费支出。</w:t>
      </w:r>
    </w:p>
    <w:p w:rsidR="002D517E" w:rsidRDefault="00A63916">
      <w:pPr>
        <w:ind w:firstLineChars="200" w:firstLine="640"/>
        <w:rPr>
          <w:rFonts w:ascii="仿宋_GB2312" w:eastAsia="仿宋_GB2312"/>
          <w:sz w:val="32"/>
          <w:szCs w:val="32"/>
        </w:rPr>
      </w:pPr>
      <w:r>
        <w:rPr>
          <w:rFonts w:ascii="仿宋_GB2312" w:eastAsia="仿宋_GB2312" w:hint="eastAsia"/>
          <w:color w:val="000000"/>
          <w:sz w:val="32"/>
          <w:szCs w:val="32"/>
        </w:rPr>
        <w:t>16.</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30</w:t>
      </w:r>
      <w:r>
        <w:rPr>
          <w:rFonts w:ascii="仿宋_GB2312" w:eastAsia="仿宋_GB2312" w:hint="eastAsia"/>
          <w:sz w:val="32"/>
          <w:szCs w:val="32"/>
        </w:rPr>
        <w:t>（款）</w:t>
      </w:r>
      <w:r>
        <w:rPr>
          <w:rFonts w:ascii="仿宋_GB2312" w:eastAsia="仿宋_GB2312" w:hint="eastAsia"/>
          <w:sz w:val="32"/>
          <w:szCs w:val="32"/>
        </w:rPr>
        <w:t>99</w:t>
      </w:r>
      <w:r>
        <w:rPr>
          <w:rFonts w:ascii="仿宋_GB2312" w:eastAsia="仿宋_GB2312" w:hint="eastAsia"/>
          <w:sz w:val="32"/>
          <w:szCs w:val="32"/>
        </w:rPr>
        <w:t>（项）：反映</w:t>
      </w:r>
      <w:r>
        <w:rPr>
          <w:rFonts w:ascii="仿宋_GB2312" w:eastAsia="仿宋_GB2312" w:hint="eastAsia"/>
          <w:sz w:val="32"/>
          <w:szCs w:val="32"/>
        </w:rPr>
        <w:t>在政策规定范围内，</w:t>
      </w:r>
      <w:r>
        <w:rPr>
          <w:rFonts w:ascii="仿宋_GB2312" w:eastAsia="仿宋_GB2312" w:hint="eastAsia"/>
          <w:sz w:val="32"/>
          <w:szCs w:val="32"/>
        </w:rPr>
        <w:t>财政</w:t>
      </w:r>
      <w:r>
        <w:rPr>
          <w:rFonts w:ascii="仿宋_GB2312" w:eastAsia="仿宋_GB2312" w:hint="eastAsia"/>
          <w:sz w:val="32"/>
          <w:szCs w:val="32"/>
        </w:rPr>
        <w:t>为</w:t>
      </w:r>
      <w:r>
        <w:rPr>
          <w:rFonts w:ascii="仿宋_GB2312" w:eastAsia="仿宋_GB2312" w:hint="eastAsia"/>
          <w:sz w:val="32"/>
          <w:szCs w:val="32"/>
        </w:rPr>
        <w:t>困难人员缴纳的</w:t>
      </w:r>
      <w:r>
        <w:rPr>
          <w:rFonts w:ascii="仿宋_GB2312" w:eastAsia="仿宋_GB2312" w:hint="eastAsia"/>
          <w:sz w:val="32"/>
          <w:szCs w:val="32"/>
        </w:rPr>
        <w:t>其他社会</w:t>
      </w:r>
      <w:r>
        <w:rPr>
          <w:rFonts w:ascii="仿宋_GB2312" w:eastAsia="仿宋_GB2312" w:hint="eastAsia"/>
          <w:sz w:val="32"/>
          <w:szCs w:val="32"/>
        </w:rPr>
        <w:t>保险费支出。</w:t>
      </w:r>
    </w:p>
    <w:p w:rsidR="002D517E" w:rsidRDefault="00A63916">
      <w:pPr>
        <w:ind w:firstLineChars="200" w:firstLine="640"/>
        <w:rPr>
          <w:rFonts w:ascii="仿宋_GB2312" w:eastAsia="仿宋_GB2312"/>
          <w:sz w:val="32"/>
          <w:szCs w:val="32"/>
        </w:rPr>
      </w:pPr>
      <w:r>
        <w:rPr>
          <w:rFonts w:ascii="仿宋_GB2312" w:eastAsia="仿宋_GB2312" w:hint="eastAsia"/>
          <w:color w:val="000000"/>
          <w:sz w:val="32"/>
          <w:szCs w:val="32"/>
        </w:rPr>
        <w:t>17.</w:t>
      </w:r>
      <w:r>
        <w:rPr>
          <w:rFonts w:ascii="仿宋_GB2312" w:eastAsia="仿宋_GB2312" w:hint="eastAsia"/>
          <w:color w:val="000000"/>
          <w:sz w:val="32"/>
          <w:szCs w:val="32"/>
        </w:rPr>
        <w:t>社会保障和就业</w:t>
      </w: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99</w:t>
      </w:r>
      <w:r>
        <w:rPr>
          <w:rFonts w:ascii="仿宋_GB2312" w:eastAsia="仿宋_GB2312" w:hint="eastAsia"/>
          <w:sz w:val="32"/>
          <w:szCs w:val="32"/>
        </w:rPr>
        <w:t>（款）</w:t>
      </w:r>
      <w:r>
        <w:rPr>
          <w:rFonts w:ascii="仿宋_GB2312" w:eastAsia="仿宋_GB2312" w:hint="eastAsia"/>
          <w:sz w:val="32"/>
          <w:szCs w:val="32"/>
        </w:rPr>
        <w:t>99</w:t>
      </w:r>
      <w:r>
        <w:rPr>
          <w:rFonts w:ascii="仿宋_GB2312" w:eastAsia="仿宋_GB2312" w:hint="eastAsia"/>
          <w:sz w:val="32"/>
          <w:szCs w:val="32"/>
        </w:rPr>
        <w:t>（项）：反映</w:t>
      </w:r>
      <w:r>
        <w:rPr>
          <w:rFonts w:ascii="仿宋_GB2312" w:eastAsia="仿宋_GB2312" w:hint="eastAsia"/>
          <w:sz w:val="32"/>
          <w:szCs w:val="32"/>
        </w:rPr>
        <w:t>其他用于社会保障和就业方面的</w:t>
      </w:r>
      <w:r>
        <w:rPr>
          <w:rFonts w:ascii="仿宋_GB2312" w:eastAsia="仿宋_GB2312" w:hint="eastAsia"/>
          <w:sz w:val="32"/>
          <w:szCs w:val="32"/>
        </w:rPr>
        <w:t>支出。</w:t>
      </w:r>
    </w:p>
    <w:p w:rsidR="002D517E" w:rsidRDefault="00A63916">
      <w:pPr>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卫生健康</w:t>
      </w:r>
      <w:r>
        <w:rPr>
          <w:rFonts w:ascii="仿宋_GB2312" w:eastAsia="仿宋_GB2312" w:hint="eastAsia"/>
          <w:color w:val="000000"/>
          <w:sz w:val="32"/>
          <w:szCs w:val="32"/>
        </w:rPr>
        <w:t>2</w:t>
      </w:r>
      <w:r>
        <w:rPr>
          <w:rFonts w:ascii="仿宋_GB2312" w:eastAsia="仿宋_GB2312" w:hint="eastAsia"/>
          <w:color w:val="000000"/>
          <w:sz w:val="32"/>
          <w:szCs w:val="32"/>
        </w:rPr>
        <w:t>10</w:t>
      </w:r>
      <w:r>
        <w:rPr>
          <w:rFonts w:ascii="仿宋_GB2312" w:eastAsia="仿宋_GB2312" w:hint="eastAsia"/>
          <w:color w:val="000000"/>
          <w:sz w:val="32"/>
          <w:szCs w:val="32"/>
        </w:rPr>
        <w:t>（类）</w:t>
      </w:r>
      <w:r>
        <w:rPr>
          <w:rFonts w:ascii="仿宋_GB2312" w:eastAsia="仿宋_GB2312" w:hint="eastAsia"/>
          <w:color w:val="000000"/>
          <w:sz w:val="32"/>
          <w:szCs w:val="32"/>
        </w:rPr>
        <w:t>11</w:t>
      </w:r>
      <w:r>
        <w:rPr>
          <w:rFonts w:ascii="仿宋_GB2312" w:eastAsia="仿宋_GB2312" w:hint="eastAsia"/>
          <w:color w:val="000000"/>
          <w:sz w:val="32"/>
          <w:szCs w:val="32"/>
        </w:rPr>
        <w:t>（款）</w:t>
      </w:r>
      <w:r>
        <w:rPr>
          <w:rFonts w:ascii="仿宋_GB2312" w:eastAsia="仿宋_GB2312" w:hint="eastAsia"/>
          <w:color w:val="000000"/>
          <w:sz w:val="32"/>
          <w:szCs w:val="32"/>
        </w:rPr>
        <w:t>0</w:t>
      </w:r>
      <w:r>
        <w:rPr>
          <w:rFonts w:ascii="仿宋_GB2312" w:eastAsia="仿宋_GB2312" w:hint="eastAsia"/>
          <w:color w:val="000000"/>
          <w:sz w:val="32"/>
          <w:szCs w:val="32"/>
        </w:rPr>
        <w:t>2</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sz w:val="32"/>
          <w:szCs w:val="32"/>
        </w:rPr>
        <w:t>反映财政部门安排的事业单位基本医疗保险缴费经费，未参加医疗保险</w:t>
      </w:r>
      <w:r>
        <w:rPr>
          <w:rFonts w:ascii="仿宋_GB2312" w:eastAsia="仿宋_GB2312" w:hint="eastAsia"/>
          <w:sz w:val="32"/>
          <w:szCs w:val="32"/>
        </w:rPr>
        <w:lastRenderedPageBreak/>
        <w:t>的事业单位的公费医疗经费，按国家规定享受离休人员待遇的医疗经费。</w:t>
      </w:r>
    </w:p>
    <w:p w:rsidR="002D517E" w:rsidRDefault="00A63916">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9</w:t>
      </w:r>
      <w:r>
        <w:rPr>
          <w:rFonts w:ascii="仿宋_GB2312" w:eastAsia="仿宋_GB2312" w:hint="eastAsia"/>
          <w:color w:val="000000"/>
          <w:sz w:val="32"/>
          <w:szCs w:val="32"/>
        </w:rPr>
        <w:t>.</w:t>
      </w:r>
      <w:r>
        <w:rPr>
          <w:rFonts w:ascii="仿宋_GB2312" w:eastAsia="仿宋_GB2312" w:hint="eastAsia"/>
          <w:color w:val="000000"/>
          <w:sz w:val="32"/>
          <w:szCs w:val="32"/>
        </w:rPr>
        <w:t>住房保障</w:t>
      </w:r>
      <w:r>
        <w:rPr>
          <w:rFonts w:ascii="仿宋_GB2312" w:eastAsia="仿宋_GB2312" w:hint="eastAsia"/>
          <w:color w:val="000000"/>
          <w:sz w:val="32"/>
          <w:szCs w:val="32"/>
        </w:rPr>
        <w:t>221</w:t>
      </w:r>
      <w:r>
        <w:rPr>
          <w:rFonts w:ascii="仿宋_GB2312" w:eastAsia="仿宋_GB2312" w:hint="eastAsia"/>
          <w:color w:val="000000"/>
          <w:sz w:val="32"/>
          <w:szCs w:val="32"/>
        </w:rPr>
        <w:t>（类）</w:t>
      </w:r>
      <w:r>
        <w:rPr>
          <w:rFonts w:ascii="仿宋_GB2312" w:eastAsia="仿宋_GB2312" w:hint="eastAsia"/>
          <w:color w:val="000000"/>
          <w:sz w:val="32"/>
          <w:szCs w:val="32"/>
        </w:rPr>
        <w:t>02</w:t>
      </w:r>
      <w:r>
        <w:rPr>
          <w:rFonts w:ascii="仿宋_GB2312" w:eastAsia="仿宋_GB2312" w:hint="eastAsia"/>
          <w:color w:val="000000"/>
          <w:sz w:val="32"/>
          <w:szCs w:val="32"/>
        </w:rPr>
        <w:t>（款）</w:t>
      </w:r>
      <w:r>
        <w:rPr>
          <w:rFonts w:ascii="仿宋_GB2312" w:eastAsia="仿宋_GB2312" w:hint="eastAsia"/>
          <w:color w:val="000000"/>
          <w:sz w:val="32"/>
          <w:szCs w:val="32"/>
        </w:rPr>
        <w:t>01</w:t>
      </w:r>
      <w:r>
        <w:rPr>
          <w:rFonts w:ascii="仿宋_GB2312" w:eastAsia="仿宋_GB2312" w:hint="eastAsia"/>
          <w:color w:val="000000"/>
          <w:sz w:val="32"/>
          <w:szCs w:val="32"/>
        </w:rPr>
        <w:t>（项）：反映行政事业单位按人力资源和社会保障部、财政部的基本工资和津贴补贴以及规定比例为职工缴纳的住房公积金。</w:t>
      </w:r>
    </w:p>
    <w:p w:rsidR="002D517E" w:rsidRDefault="00A63916">
      <w:pPr>
        <w:spacing w:line="600" w:lineRule="exact"/>
        <w:ind w:firstLine="640"/>
        <w:rPr>
          <w:rFonts w:ascii="仿宋" w:eastAsia="仿宋"/>
          <w:b/>
          <w:sz w:val="32"/>
          <w:szCs w:val="32"/>
        </w:rPr>
      </w:pPr>
      <w:r>
        <w:rPr>
          <w:rFonts w:ascii="仿宋" w:eastAsia="仿宋" w:hint="eastAsia"/>
          <w:b/>
          <w:sz w:val="32"/>
          <w:szCs w:val="32"/>
        </w:rPr>
        <w:t>（解释本单位决算报表中涉及的全部功能分类科目至项级，不涉及的科目请自行删除。请参照《</w:t>
      </w:r>
      <w:r>
        <w:rPr>
          <w:rFonts w:ascii="仿宋" w:eastAsia="仿宋" w:hint="eastAsia"/>
          <w:b/>
          <w:sz w:val="32"/>
          <w:szCs w:val="32"/>
        </w:rPr>
        <w:t>2023</w:t>
      </w:r>
      <w:r>
        <w:rPr>
          <w:rFonts w:ascii="仿宋" w:eastAsia="仿宋" w:hint="eastAsia"/>
          <w:b/>
          <w:sz w:val="32"/>
          <w:szCs w:val="32"/>
        </w:rPr>
        <w:t>年政府收支分类科目》增减内容。）</w:t>
      </w:r>
    </w:p>
    <w:p w:rsidR="002D517E" w:rsidRDefault="00A63916">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2D517E" w:rsidRDefault="00A63916">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项目支出：指在基</w:t>
      </w:r>
      <w:r>
        <w:rPr>
          <w:rFonts w:ascii="仿宋_GB2312" w:eastAsia="仿宋_GB2312" w:hint="eastAsia"/>
          <w:sz w:val="32"/>
          <w:szCs w:val="32"/>
        </w:rPr>
        <w:t>本支出之外为完成特定行政任务和事业发展目标所发生的支出。</w:t>
      </w:r>
      <w:r>
        <w:rPr>
          <w:rFonts w:ascii="仿宋_GB2312" w:eastAsia="仿宋_GB2312"/>
          <w:sz w:val="32"/>
          <w:szCs w:val="32"/>
        </w:rPr>
        <w:t xml:space="preserve"> </w:t>
      </w:r>
    </w:p>
    <w:p w:rsidR="002D517E" w:rsidRDefault="00A63916">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2D517E" w:rsidRDefault="00A6391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23</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rsidR="002D517E" w:rsidRDefault="00A63916">
      <w:pPr>
        <w:pStyle w:val="Default"/>
        <w:spacing w:line="560" w:lineRule="exact"/>
        <w:ind w:firstLineChars="200" w:firstLine="640"/>
        <w:rPr>
          <w:rFonts w:ascii="仿宋_GB2312" w:eastAsia="仿宋_GB2312" w:cs="黑体"/>
          <w:color w:val="auto"/>
          <w:sz w:val="32"/>
          <w:szCs w:val="32"/>
        </w:rPr>
      </w:pPr>
      <w:r>
        <w:rPr>
          <w:rFonts w:ascii="仿宋_GB2312" w:eastAsia="仿宋_GB2312" w:hint="eastAsia"/>
          <w:color w:val="auto"/>
          <w:sz w:val="32"/>
          <w:szCs w:val="32"/>
        </w:rPr>
        <w:t>24</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w:t>
      </w:r>
      <w:r>
        <w:rPr>
          <w:rFonts w:ascii="仿宋_GB2312" w:eastAsia="仿宋_GB2312" w:hint="eastAsia"/>
          <w:color w:val="auto"/>
          <w:sz w:val="32"/>
          <w:szCs w:val="32"/>
        </w:rPr>
        <w:lastRenderedPageBreak/>
        <w:t>管理的事业单位）运行用于购买货物和服务的各项资金，包括办公及印刷费、邮电费、差旅费、会议</w:t>
      </w:r>
      <w:r>
        <w:rPr>
          <w:rFonts w:ascii="仿宋_GB2312" w:eastAsia="仿宋_GB2312" w:hint="eastAsia"/>
          <w:color w:val="auto"/>
          <w:sz w:val="32"/>
          <w:szCs w:val="32"/>
        </w:rPr>
        <w:t>费、福利费、日常维修费、专用材料及一般设备购置费、办公用房水电费、办公用房取暖费、办公用房物业管理费、公务用车运行维护费以及其他费用。</w:t>
      </w:r>
    </w:p>
    <w:p w:rsidR="002D517E" w:rsidRDefault="00A63916" w:rsidP="00A63916">
      <w:pPr>
        <w:ind w:firstLineChars="200" w:firstLine="643"/>
        <w:rPr>
          <w:rFonts w:ascii="仿宋" w:eastAsia="仿宋"/>
          <w:b/>
          <w:sz w:val="32"/>
          <w:szCs w:val="32"/>
        </w:rPr>
      </w:pPr>
      <w:r>
        <w:rPr>
          <w:rFonts w:ascii="仿宋" w:eastAsia="仿宋" w:hint="eastAsia"/>
          <w:b/>
          <w:sz w:val="32"/>
          <w:szCs w:val="32"/>
        </w:rPr>
        <w:t>（名词解释部分请根据各单位实际列支情况罗列，并根据本单位职责职能增减名词解释内容。）</w:t>
      </w:r>
    </w:p>
    <w:p w:rsidR="002D517E" w:rsidRDefault="00A63916">
      <w:pPr>
        <w:spacing w:line="600" w:lineRule="exact"/>
        <w:jc w:val="center"/>
        <w:outlineLvl w:val="0"/>
        <w:rPr>
          <w:rStyle w:val="1Char"/>
          <w:rFonts w:ascii="黑体" w:eastAsia="黑体"/>
          <w:b w:val="0"/>
        </w:rPr>
      </w:pPr>
      <w:bookmarkStart w:id="55" w:name="_Toc15377226"/>
      <w:r>
        <w:rPr>
          <w:rFonts w:ascii="宋体"/>
          <w:b/>
          <w:sz w:val="44"/>
          <w:szCs w:val="44"/>
        </w:rPr>
        <w:br w:type="page"/>
      </w:r>
      <w:bookmarkStart w:id="56" w:name="_Toc15396614"/>
      <w:r>
        <w:rPr>
          <w:rFonts w:ascii="黑体" w:eastAsia="黑体" w:hint="eastAsia"/>
          <w:sz w:val="44"/>
          <w:szCs w:val="44"/>
        </w:rPr>
        <w:lastRenderedPageBreak/>
        <w:t>第</w:t>
      </w:r>
      <w:r>
        <w:rPr>
          <w:rStyle w:val="1Char"/>
          <w:rFonts w:ascii="黑体" w:eastAsia="黑体" w:hint="eastAsia"/>
          <w:b w:val="0"/>
        </w:rPr>
        <w:t>四部分</w:t>
      </w:r>
      <w:r>
        <w:rPr>
          <w:rStyle w:val="1Char"/>
          <w:rFonts w:ascii="黑体" w:eastAsia="黑体" w:hint="eastAsia"/>
          <w:b w:val="0"/>
        </w:rPr>
        <w:t xml:space="preserve"> </w:t>
      </w:r>
      <w:r>
        <w:rPr>
          <w:rStyle w:val="1Char"/>
          <w:rFonts w:ascii="黑体" w:eastAsia="黑体" w:hint="eastAsia"/>
          <w:b w:val="0"/>
        </w:rPr>
        <w:t>附件</w:t>
      </w:r>
      <w:bookmarkEnd w:id="56"/>
    </w:p>
    <w:p w:rsidR="002D517E" w:rsidRDefault="002D517E">
      <w:pPr>
        <w:spacing w:line="572" w:lineRule="exact"/>
        <w:jc w:val="left"/>
        <w:outlineLvl w:val="0"/>
        <w:rPr>
          <w:rFonts w:ascii="仿宋_GB2312" w:eastAsia="仿宋_GB2312" w:cs="仿宋_GB2312"/>
          <w:sz w:val="32"/>
          <w:szCs w:val="32"/>
        </w:rPr>
      </w:pPr>
    </w:p>
    <w:p w:rsidR="002D517E" w:rsidRDefault="00A63916">
      <w:pPr>
        <w:spacing w:line="600" w:lineRule="exact"/>
        <w:jc w:val="center"/>
        <w:outlineLvl w:val="0"/>
        <w:rPr>
          <w:rFonts w:ascii="黑体" w:eastAsia="黑体"/>
          <w:color w:val="FF0000"/>
          <w:sz w:val="44"/>
          <w:szCs w:val="44"/>
        </w:rPr>
      </w:pPr>
      <w:bookmarkStart w:id="57" w:name="_Toc15396618"/>
      <w:r>
        <w:rPr>
          <w:rFonts w:hint="eastAsia"/>
          <w:sz w:val="32"/>
          <w:szCs w:val="32"/>
        </w:rPr>
        <w:t>部门预算项目支出绩效自评表（</w:t>
      </w:r>
      <w:r>
        <w:rPr>
          <w:rFonts w:hint="eastAsia"/>
          <w:sz w:val="32"/>
          <w:szCs w:val="32"/>
        </w:rPr>
        <w:t>2023</w:t>
      </w:r>
      <w:r>
        <w:rPr>
          <w:rFonts w:hint="eastAsia"/>
          <w:sz w:val="32"/>
          <w:szCs w:val="32"/>
        </w:rPr>
        <w:t>年度）</w:t>
      </w:r>
    </w:p>
    <w:p w:rsidR="002D517E" w:rsidRDefault="002D517E" w:rsidP="00A63916">
      <w:pPr>
        <w:pStyle w:val="21"/>
        <w:spacing w:line="560" w:lineRule="exact"/>
        <w:ind w:leftChars="0" w:left="0" w:firstLine="640"/>
        <w:rPr>
          <w:sz w:val="32"/>
        </w:rPr>
      </w:pPr>
    </w:p>
    <w:p w:rsidR="002D517E" w:rsidRDefault="00A63916" w:rsidP="00A63916">
      <w:pPr>
        <w:pStyle w:val="21"/>
        <w:spacing w:line="560" w:lineRule="exact"/>
        <w:ind w:leftChars="0" w:left="0" w:firstLine="640"/>
        <w:rPr>
          <w:rFonts w:eastAsia="仿宋_GB2312" w:cs="仿宋"/>
          <w:sz w:val="32"/>
          <w:lang w:val="zh-CN"/>
        </w:rPr>
      </w:pPr>
      <w:r>
        <w:rPr>
          <w:rFonts w:eastAsia="仿宋_GB2312" w:cs="仿宋" w:hint="eastAsia"/>
          <w:sz w:val="32"/>
        </w:rPr>
        <w:t>（备注：按照绩效自评工作安排，各单位可在预算管理一体化系统—综合报表查询—预算绩效报表模块中下载本单位“部门预算项目支出绩效自评表（</w:t>
      </w:r>
      <w:r>
        <w:rPr>
          <w:rFonts w:eastAsia="仿宋_GB2312" w:cs="仿宋" w:hint="eastAsia"/>
          <w:sz w:val="32"/>
        </w:rPr>
        <w:t>2023</w:t>
      </w:r>
      <w:r>
        <w:rPr>
          <w:rFonts w:eastAsia="仿宋_GB2312" w:cs="仿宋" w:hint="eastAsia"/>
          <w:sz w:val="32"/>
        </w:rPr>
        <w:t>年度）”，该表格应作为附件予以公开。）</w:t>
      </w: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2D517E">
      <w:pPr>
        <w:pStyle w:val="a3"/>
        <w:spacing w:beforeLines="0"/>
        <w:rPr>
          <w:rFonts w:cs="仿宋"/>
          <w:sz w:val="32"/>
          <w:szCs w:val="32"/>
        </w:rPr>
      </w:pPr>
    </w:p>
    <w:p w:rsidR="002D517E" w:rsidRDefault="00A63916">
      <w:pPr>
        <w:spacing w:line="600" w:lineRule="exact"/>
        <w:jc w:val="center"/>
        <w:outlineLvl w:val="0"/>
        <w:rPr>
          <w:rFonts w:ascii="仿宋" w:eastAsia="仿宋"/>
        </w:rPr>
      </w:pPr>
      <w:r>
        <w:rPr>
          <w:rFonts w:ascii="黑体" w:eastAsia="黑体" w:hint="eastAsia"/>
          <w:sz w:val="44"/>
          <w:szCs w:val="44"/>
        </w:rPr>
        <w:t>第</w:t>
      </w:r>
      <w:r>
        <w:rPr>
          <w:rStyle w:val="1Char"/>
          <w:rFonts w:ascii="黑体" w:eastAsia="黑体" w:hint="eastAsia"/>
          <w:b w:val="0"/>
        </w:rPr>
        <w:t>五部分</w:t>
      </w:r>
      <w:r>
        <w:rPr>
          <w:rStyle w:val="1Char"/>
          <w:rFonts w:ascii="黑体" w:eastAsia="黑体" w:hint="eastAsia"/>
          <w:b w:val="0"/>
        </w:rPr>
        <w:t xml:space="preserve"> </w:t>
      </w:r>
      <w:r>
        <w:rPr>
          <w:rStyle w:val="1Char"/>
          <w:rFonts w:ascii="黑体" w:eastAsia="黑体" w:hint="eastAsia"/>
          <w:b w:val="0"/>
        </w:rPr>
        <w:t>附表</w:t>
      </w:r>
      <w:bookmarkStart w:id="58" w:name="_Toc15396619"/>
      <w:bookmarkEnd w:id="55"/>
      <w:bookmarkEnd w:id="57"/>
    </w:p>
    <w:p w:rsidR="002D517E" w:rsidRDefault="00A63916">
      <w:pPr>
        <w:pStyle w:val="2"/>
        <w:rPr>
          <w:rFonts w:ascii="仿宋" w:eastAsia="仿宋"/>
        </w:rPr>
      </w:pPr>
      <w:r>
        <w:rPr>
          <w:rFonts w:ascii="仿宋" w:eastAsia="仿宋" w:hint="eastAsia"/>
          <w:b w:val="0"/>
        </w:rPr>
        <w:lastRenderedPageBreak/>
        <w:t>一、收</w:t>
      </w:r>
      <w:r>
        <w:rPr>
          <w:rStyle w:val="2Char"/>
          <w:rFonts w:ascii="仿宋" w:eastAsia="仿宋" w:hint="eastAsia"/>
        </w:rPr>
        <w:t>入支出决算总表</w:t>
      </w:r>
      <w:bookmarkEnd w:id="58"/>
    </w:p>
    <w:p w:rsidR="002D517E" w:rsidRDefault="00A63916">
      <w:pPr>
        <w:pStyle w:val="2"/>
        <w:rPr>
          <w:rFonts w:ascii="仿宋" w:eastAsia="仿宋"/>
        </w:rPr>
      </w:pPr>
      <w:bookmarkStart w:id="59" w:name="_Toc15396620"/>
      <w:r>
        <w:rPr>
          <w:rFonts w:ascii="仿宋" w:eastAsia="仿宋" w:hint="eastAsia"/>
          <w:b w:val="0"/>
        </w:rPr>
        <w:t>二、收</w:t>
      </w:r>
      <w:r>
        <w:rPr>
          <w:rStyle w:val="2Char"/>
          <w:rFonts w:ascii="仿宋" w:eastAsia="仿宋" w:hint="eastAsia"/>
        </w:rPr>
        <w:t>入决算表</w:t>
      </w:r>
      <w:bookmarkEnd w:id="59"/>
    </w:p>
    <w:p w:rsidR="002D517E" w:rsidRDefault="00A63916">
      <w:pPr>
        <w:pStyle w:val="2"/>
        <w:rPr>
          <w:rFonts w:ascii="仿宋" w:eastAsia="仿宋"/>
        </w:rPr>
      </w:pPr>
      <w:bookmarkStart w:id="60" w:name="_Toc15396621"/>
      <w:r>
        <w:rPr>
          <w:rStyle w:val="2Char"/>
          <w:rFonts w:ascii="仿宋" w:eastAsia="仿宋" w:hint="eastAsia"/>
        </w:rPr>
        <w:t>三、</w:t>
      </w:r>
      <w:r>
        <w:rPr>
          <w:rFonts w:ascii="仿宋" w:eastAsia="仿宋" w:hint="eastAsia"/>
          <w:b w:val="0"/>
        </w:rPr>
        <w:t>支</w:t>
      </w:r>
      <w:r>
        <w:rPr>
          <w:rStyle w:val="2Char"/>
          <w:rFonts w:ascii="仿宋" w:eastAsia="仿宋" w:hint="eastAsia"/>
        </w:rPr>
        <w:t>出决算表</w:t>
      </w:r>
      <w:bookmarkEnd w:id="60"/>
    </w:p>
    <w:p w:rsidR="002D517E" w:rsidRDefault="00A63916">
      <w:pPr>
        <w:pStyle w:val="2"/>
        <w:rPr>
          <w:rFonts w:ascii="仿宋" w:eastAsia="仿宋"/>
          <w:b w:val="0"/>
        </w:rPr>
      </w:pPr>
      <w:bookmarkStart w:id="61" w:name="_Toc15396622"/>
      <w:r>
        <w:rPr>
          <w:rStyle w:val="2Char"/>
          <w:rFonts w:ascii="仿宋" w:eastAsia="仿宋" w:hint="eastAsia"/>
        </w:rPr>
        <w:t>四、</w:t>
      </w:r>
      <w:r>
        <w:rPr>
          <w:rFonts w:ascii="仿宋" w:eastAsia="仿宋" w:hint="eastAsia"/>
          <w:b w:val="0"/>
        </w:rPr>
        <w:t>财</w:t>
      </w:r>
      <w:r>
        <w:rPr>
          <w:rStyle w:val="2Char"/>
          <w:rFonts w:ascii="仿宋" w:eastAsia="仿宋" w:hint="eastAsia"/>
        </w:rPr>
        <w:t>政拨款收入支出决算总表</w:t>
      </w:r>
      <w:bookmarkEnd w:id="61"/>
    </w:p>
    <w:p w:rsidR="002D517E" w:rsidRDefault="00A63916">
      <w:pPr>
        <w:pStyle w:val="2"/>
        <w:rPr>
          <w:rStyle w:val="2Char"/>
          <w:rFonts w:ascii="仿宋" w:eastAsia="仿宋"/>
        </w:rPr>
      </w:pPr>
      <w:bookmarkStart w:id="62" w:name="_Toc15396623"/>
      <w:r>
        <w:rPr>
          <w:rStyle w:val="2Char"/>
          <w:rFonts w:ascii="仿宋" w:eastAsia="仿宋" w:hint="eastAsia"/>
        </w:rPr>
        <w:t>五、</w:t>
      </w:r>
      <w:r>
        <w:rPr>
          <w:rFonts w:ascii="仿宋" w:eastAsia="仿宋" w:hint="eastAsia"/>
          <w:b w:val="0"/>
        </w:rPr>
        <w:t>财</w:t>
      </w:r>
      <w:r>
        <w:rPr>
          <w:rStyle w:val="2Char"/>
          <w:rFonts w:ascii="仿宋" w:eastAsia="仿宋" w:hint="eastAsia"/>
        </w:rPr>
        <w:t>政拨款支出决算明细表</w:t>
      </w:r>
      <w:bookmarkStart w:id="63" w:name="_Toc15396624"/>
      <w:bookmarkEnd w:id="62"/>
    </w:p>
    <w:p w:rsidR="002D517E" w:rsidRDefault="00A63916">
      <w:pPr>
        <w:pStyle w:val="2"/>
        <w:rPr>
          <w:rFonts w:ascii="仿宋" w:eastAsia="仿宋"/>
        </w:rPr>
      </w:pPr>
      <w:r>
        <w:rPr>
          <w:rStyle w:val="2Char"/>
          <w:rFonts w:ascii="仿宋" w:eastAsia="仿宋" w:hint="eastAsia"/>
        </w:rPr>
        <w:t>六、</w:t>
      </w:r>
      <w:r>
        <w:rPr>
          <w:rFonts w:ascii="仿宋" w:eastAsia="仿宋" w:hint="eastAsia"/>
          <w:b w:val="0"/>
        </w:rPr>
        <w:t>一</w:t>
      </w:r>
      <w:r>
        <w:rPr>
          <w:rStyle w:val="2Char"/>
          <w:rFonts w:ascii="仿宋" w:eastAsia="仿宋" w:hint="eastAsia"/>
        </w:rPr>
        <w:t>般公共预算财政拨款支出决算表</w:t>
      </w:r>
      <w:bookmarkEnd w:id="63"/>
    </w:p>
    <w:p w:rsidR="002D517E" w:rsidRDefault="00A63916">
      <w:pPr>
        <w:pStyle w:val="2"/>
        <w:rPr>
          <w:rFonts w:ascii="仿宋" w:eastAsia="仿宋"/>
        </w:rPr>
      </w:pPr>
      <w:bookmarkStart w:id="64" w:name="_Toc15396625"/>
      <w:r>
        <w:rPr>
          <w:rStyle w:val="2Char"/>
          <w:rFonts w:ascii="仿宋" w:eastAsia="仿宋" w:hint="eastAsia"/>
        </w:rPr>
        <w:t>七、</w:t>
      </w:r>
      <w:r>
        <w:rPr>
          <w:rFonts w:ascii="仿宋" w:eastAsia="仿宋" w:hint="eastAsia"/>
          <w:b w:val="0"/>
        </w:rPr>
        <w:t>一</w:t>
      </w:r>
      <w:r>
        <w:rPr>
          <w:rStyle w:val="2Char"/>
          <w:rFonts w:ascii="仿宋" w:eastAsia="仿宋" w:hint="eastAsia"/>
        </w:rPr>
        <w:t>般公共预算财政拨款支出决算明细表</w:t>
      </w:r>
      <w:bookmarkEnd w:id="64"/>
    </w:p>
    <w:p w:rsidR="002D517E" w:rsidRDefault="00A63916">
      <w:pPr>
        <w:pStyle w:val="2"/>
        <w:rPr>
          <w:rFonts w:ascii="仿宋" w:eastAsia="仿宋"/>
        </w:rPr>
      </w:pPr>
      <w:bookmarkStart w:id="65" w:name="_Toc15396626"/>
      <w:r>
        <w:rPr>
          <w:rStyle w:val="2Char"/>
          <w:rFonts w:ascii="仿宋" w:eastAsia="仿宋" w:hint="eastAsia"/>
        </w:rPr>
        <w:t>八、</w:t>
      </w:r>
      <w:r>
        <w:rPr>
          <w:rFonts w:ascii="仿宋" w:eastAsia="仿宋" w:hint="eastAsia"/>
          <w:b w:val="0"/>
        </w:rPr>
        <w:t>一</w:t>
      </w:r>
      <w:r>
        <w:rPr>
          <w:rStyle w:val="2Char"/>
          <w:rFonts w:ascii="仿宋" w:eastAsia="仿宋" w:hint="eastAsia"/>
        </w:rPr>
        <w:t>般公共预算财政拨款基本支出决算表</w:t>
      </w:r>
      <w:bookmarkEnd w:id="65"/>
    </w:p>
    <w:p w:rsidR="002D517E" w:rsidRDefault="00A63916">
      <w:pPr>
        <w:pStyle w:val="2"/>
        <w:rPr>
          <w:rFonts w:ascii="仿宋" w:eastAsia="仿宋"/>
        </w:rPr>
      </w:pPr>
      <w:bookmarkStart w:id="66" w:name="_Toc15396627"/>
      <w:r>
        <w:rPr>
          <w:rStyle w:val="2Char"/>
          <w:rFonts w:ascii="仿宋" w:eastAsia="仿宋" w:hint="eastAsia"/>
        </w:rPr>
        <w:t>九、</w:t>
      </w:r>
      <w:r>
        <w:rPr>
          <w:rFonts w:ascii="仿宋" w:eastAsia="仿宋" w:hint="eastAsia"/>
          <w:b w:val="0"/>
        </w:rPr>
        <w:t>一</w:t>
      </w:r>
      <w:r>
        <w:rPr>
          <w:rStyle w:val="2Char"/>
          <w:rFonts w:ascii="仿宋" w:eastAsia="仿宋" w:hint="eastAsia"/>
        </w:rPr>
        <w:t>般公共预算财政拨款项目支出决算表</w:t>
      </w:r>
      <w:bookmarkEnd w:id="66"/>
    </w:p>
    <w:p w:rsidR="002D517E" w:rsidRDefault="00A63916">
      <w:pPr>
        <w:pStyle w:val="2"/>
        <w:rPr>
          <w:rFonts w:ascii="仿宋" w:eastAsia="仿宋"/>
        </w:rPr>
      </w:pPr>
      <w:bookmarkStart w:id="67" w:name="_Toc15396628"/>
      <w:r>
        <w:rPr>
          <w:rStyle w:val="2Char"/>
          <w:rFonts w:ascii="仿宋" w:eastAsia="仿宋" w:hint="eastAsia"/>
        </w:rPr>
        <w:t>十、</w:t>
      </w:r>
      <w:bookmarkEnd w:id="67"/>
      <w:r>
        <w:rPr>
          <w:rFonts w:ascii="仿宋" w:eastAsia="仿宋" w:hint="eastAsia"/>
          <w:b w:val="0"/>
        </w:rPr>
        <w:t>政</w:t>
      </w:r>
      <w:r>
        <w:rPr>
          <w:rStyle w:val="2Char"/>
          <w:rFonts w:ascii="仿宋" w:eastAsia="仿宋" w:hint="eastAsia"/>
        </w:rPr>
        <w:t>府性基金预算财政拨款收入支出决算表</w:t>
      </w:r>
    </w:p>
    <w:p w:rsidR="002D517E" w:rsidRDefault="00A63916">
      <w:pPr>
        <w:pStyle w:val="2"/>
        <w:rPr>
          <w:rFonts w:ascii="仿宋" w:eastAsia="仿宋"/>
        </w:rPr>
      </w:pPr>
      <w:bookmarkStart w:id="68" w:name="_Toc15396629"/>
      <w:r>
        <w:rPr>
          <w:rStyle w:val="2Char"/>
          <w:rFonts w:ascii="仿宋" w:eastAsia="仿宋" w:hint="eastAsia"/>
        </w:rPr>
        <w:t>十一、</w:t>
      </w:r>
      <w:bookmarkEnd w:id="68"/>
      <w:r>
        <w:rPr>
          <w:rFonts w:ascii="仿宋" w:eastAsia="仿宋" w:hint="eastAsia"/>
          <w:b w:val="0"/>
        </w:rPr>
        <w:t>国</w:t>
      </w:r>
      <w:r>
        <w:rPr>
          <w:rStyle w:val="2Char"/>
          <w:rFonts w:ascii="仿宋" w:eastAsia="仿宋" w:hint="eastAsia"/>
        </w:rPr>
        <w:t>有资本经营预算财政拨款收入支出决算表</w:t>
      </w:r>
    </w:p>
    <w:p w:rsidR="002D517E" w:rsidRDefault="00A63916">
      <w:pPr>
        <w:pStyle w:val="2"/>
        <w:rPr>
          <w:rFonts w:ascii="仿宋" w:eastAsia="仿宋"/>
        </w:rPr>
      </w:pPr>
      <w:bookmarkStart w:id="69" w:name="_Toc15396630"/>
      <w:r>
        <w:rPr>
          <w:rStyle w:val="2Char"/>
          <w:rFonts w:ascii="仿宋" w:eastAsia="仿宋" w:hint="eastAsia"/>
        </w:rPr>
        <w:t>十二、</w:t>
      </w:r>
      <w:bookmarkEnd w:id="69"/>
      <w:r>
        <w:rPr>
          <w:rStyle w:val="2Char"/>
          <w:rFonts w:ascii="仿宋" w:eastAsia="仿宋" w:hint="eastAsia"/>
        </w:rPr>
        <w:t>国有资本经营预算财政拨款支出决算表</w:t>
      </w:r>
    </w:p>
    <w:p w:rsidR="002D517E" w:rsidRDefault="00A63916">
      <w:pPr>
        <w:pStyle w:val="2"/>
        <w:rPr>
          <w:rFonts w:eastAsia="仿宋"/>
        </w:rPr>
      </w:pPr>
      <w:bookmarkStart w:id="70" w:name="_Toc15396631"/>
      <w:r>
        <w:rPr>
          <w:rStyle w:val="2Char"/>
          <w:rFonts w:ascii="仿宋" w:eastAsia="仿宋" w:hint="eastAsia"/>
        </w:rPr>
        <w:t>十三、</w:t>
      </w:r>
      <w:bookmarkEnd w:id="70"/>
      <w:r>
        <w:rPr>
          <w:rStyle w:val="2Char"/>
          <w:rFonts w:ascii="仿宋" w:eastAsia="仿宋" w:hint="eastAsia"/>
        </w:rPr>
        <w:t>财政拨款“三公”经费支出决算表</w:t>
      </w:r>
    </w:p>
    <w:sectPr w:rsidR="002D517E" w:rsidSect="002D517E">
      <w:headerReference w:type="default" r:id="rId14"/>
      <w:footerReference w:type="defaul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17E" w:rsidRDefault="002D517E" w:rsidP="002D517E">
      <w:r>
        <w:separator/>
      </w:r>
    </w:p>
  </w:endnote>
  <w:endnote w:type="continuationSeparator" w:id="0">
    <w:p w:rsidR="002D517E" w:rsidRDefault="002D517E" w:rsidP="002D5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永中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永中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方正兰亭黑_GBK"/>
    <w:panose1 w:val="02010601030101010101"/>
    <w:charset w:val="86"/>
    <w:family w:val="auto"/>
    <w:pitch w:val="variable"/>
    <w:sig w:usb0="00000001" w:usb1="080E0000" w:usb2="00000010" w:usb3="00000000" w:csb0="00040000" w:csb1="00000000"/>
  </w:font>
  <w:font w:name="方正兰亭黑_GBK">
    <w:altName w:val="微软雅黑"/>
    <w:charset w:val="86"/>
    <w:family w:val="script"/>
    <w:pitch w:val="variable"/>
    <w:sig w:usb0="00000000" w:usb1="3ACF7CFA" w:usb2="0008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370667"/>
    </w:sdtPr>
    <w:sdtContent>
      <w:p w:rsidR="002D517E" w:rsidRDefault="002D517E">
        <w:pPr>
          <w:pStyle w:val="a6"/>
          <w:jc w:val="center"/>
        </w:pPr>
        <w:r>
          <w:fldChar w:fldCharType="begin"/>
        </w:r>
        <w:r w:rsidR="00A63916">
          <w:instrText>PAGE   \* MERGEFORMAT</w:instrText>
        </w:r>
        <w:r>
          <w:fldChar w:fldCharType="separate"/>
        </w:r>
        <w:r w:rsidR="00A63916" w:rsidRPr="00A63916">
          <w:rPr>
            <w:noProof/>
            <w:lang w:val="zh-CN"/>
          </w:rPr>
          <w:t>4</w:t>
        </w:r>
        <w:r>
          <w:fldChar w:fldCharType="end"/>
        </w:r>
      </w:p>
    </w:sdtContent>
  </w:sdt>
  <w:p w:rsidR="002D517E" w:rsidRDefault="002D517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17E" w:rsidRDefault="002D517E" w:rsidP="002D517E">
      <w:r>
        <w:separator/>
      </w:r>
    </w:p>
  </w:footnote>
  <w:footnote w:type="continuationSeparator" w:id="0">
    <w:p w:rsidR="002D517E" w:rsidRDefault="002D517E" w:rsidP="002D5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7E" w:rsidRDefault="002D517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lvlRestart w:val="0"/>
      <w:suff w:val="nothing"/>
      <w:lvlText w:val="%1、"/>
      <w:lvlJc w:val="left"/>
      <w:pPr>
        <w:tabs>
          <w:tab w:val="num" w:pos="0"/>
        </w:tabs>
        <w:ind w:left="0" w:firstLine="0"/>
      </w:pPr>
      <w:rPr>
        <w:rFonts w:hint="eastAsia"/>
      </w:rPr>
    </w:lvl>
  </w:abstractNum>
  <w:abstractNum w:abstractNumId="1">
    <w:nsid w:val="E2FA047D"/>
    <w:multiLevelType w:val="singleLevel"/>
    <w:tmpl w:val="E2FA047D"/>
    <w:lvl w:ilvl="0">
      <w:start w:val="3"/>
      <w:numFmt w:val="chineseCounting"/>
      <w:lvlRestart w:val="0"/>
      <w:suff w:val="space"/>
      <w:lvlText w:val="第%1部分"/>
      <w:lvlJc w:val="left"/>
      <w:pPr>
        <w:tabs>
          <w:tab w:val="num" w:pos="0"/>
        </w:tabs>
        <w:ind w:left="0" w:firstLine="0"/>
      </w:pPr>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3">
    <w:nsid w:val="222A2495"/>
    <w:multiLevelType w:val="singleLevel"/>
    <w:tmpl w:val="222A2495"/>
    <w:lvl w:ilvl="0">
      <w:start w:val="1"/>
      <w:numFmt w:val="decimal"/>
      <w:lvlRestart w:val="0"/>
      <w:lvlText w:val="%1."/>
      <w:lvlJc w:val="left"/>
      <w:pPr>
        <w:tabs>
          <w:tab w:val="num" w:pos="0"/>
        </w:tabs>
        <w:ind w:left="0" w:firstLine="0"/>
      </w:pPr>
    </w:lvl>
  </w:abstractNum>
  <w:abstractNum w:abstractNumId="4">
    <w:nsid w:val="3818A09A"/>
    <w:multiLevelType w:val="singleLevel"/>
    <w:tmpl w:val="3818A09A"/>
    <w:lvl w:ilvl="0">
      <w:start w:val="1"/>
      <w:numFmt w:val="chineseCounting"/>
      <w:lvlRestart w:val="0"/>
      <w:suff w:val="nothing"/>
      <w:lvlText w:val="%1、"/>
      <w:lvlJc w:val="left"/>
      <w:pPr>
        <w:tabs>
          <w:tab w:val="num" w:pos="0"/>
        </w:tabs>
        <w:ind w:left="0" w:firstLine="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compat>
  <w:docVars>
    <w:docVar w:name="commondata" w:val="eyJoZGlkIjoiYzZkNzQ4ZWFiZmQ4NTRhOWRkZTk3YTMwMjlmMmZhYmUifQ=="/>
  </w:docVars>
  <w:rsids>
    <w:rsidRoot w:val="002D517E"/>
    <w:rsid w:val="002D517E"/>
    <w:rsid w:val="00A63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517E"/>
    <w:pPr>
      <w:widowControl w:val="0"/>
      <w:jc w:val="both"/>
    </w:pPr>
    <w:rPr>
      <w:kern w:val="2"/>
      <w:sz w:val="21"/>
      <w:szCs w:val="24"/>
    </w:rPr>
  </w:style>
  <w:style w:type="paragraph" w:styleId="1">
    <w:name w:val="heading 1"/>
    <w:basedOn w:val="a"/>
    <w:next w:val="a"/>
    <w:link w:val="1Char"/>
    <w:rsid w:val="002D517E"/>
    <w:pPr>
      <w:keepNext/>
      <w:keepLines/>
      <w:spacing w:before="340" w:after="330" w:line="578" w:lineRule="auto"/>
      <w:outlineLvl w:val="0"/>
    </w:pPr>
    <w:rPr>
      <w:b/>
      <w:bCs/>
      <w:kern w:val="44"/>
      <w:sz w:val="44"/>
      <w:szCs w:val="44"/>
    </w:rPr>
  </w:style>
  <w:style w:type="paragraph" w:styleId="2">
    <w:name w:val="heading 2"/>
    <w:basedOn w:val="a"/>
    <w:next w:val="a"/>
    <w:link w:val="2Char"/>
    <w:rsid w:val="002D517E"/>
    <w:pPr>
      <w:keepNext/>
      <w:keepLines/>
      <w:spacing w:before="260" w:after="260" w:line="415" w:lineRule="auto"/>
      <w:outlineLvl w:val="1"/>
    </w:pPr>
    <w:rPr>
      <w:rFonts w:ascii="Cambria" w:hAnsi="Cambria"/>
      <w:b/>
      <w:bCs/>
      <w:sz w:val="32"/>
      <w:szCs w:val="32"/>
    </w:rPr>
  </w:style>
  <w:style w:type="paragraph" w:styleId="3">
    <w:name w:val="heading 3"/>
    <w:basedOn w:val="a"/>
    <w:next w:val="a"/>
    <w:rsid w:val="002D517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517E"/>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rsid w:val="002D517E"/>
    <w:rPr>
      <w:rFonts w:ascii="Cambria" w:eastAsia="宋体" w:hAnsi="Cambria" w:cs="Times New Roman"/>
      <w:b/>
      <w:bCs/>
      <w:kern w:val="2"/>
      <w:sz w:val="32"/>
      <w:szCs w:val="32"/>
      <w:lang w:val="en-US" w:eastAsia="zh-CN" w:bidi="ar-SA"/>
    </w:rPr>
  </w:style>
  <w:style w:type="paragraph" w:styleId="a3">
    <w:name w:val="Body Text"/>
    <w:basedOn w:val="a"/>
    <w:rsid w:val="002D517E"/>
    <w:pPr>
      <w:spacing w:beforeLines="30"/>
    </w:pPr>
    <w:rPr>
      <w:rFonts w:ascii="仿宋_GB2312" w:eastAsia="仿宋_GB2312"/>
      <w:kern w:val="0"/>
      <w:sz w:val="30"/>
    </w:rPr>
  </w:style>
  <w:style w:type="paragraph" w:styleId="a4">
    <w:name w:val="Body Text Indent"/>
    <w:basedOn w:val="a"/>
    <w:rsid w:val="002D517E"/>
    <w:pPr>
      <w:spacing w:after="120"/>
      <w:ind w:leftChars="200" w:left="200"/>
    </w:pPr>
    <w:rPr>
      <w:rFonts w:ascii="仿宋_GB2312" w:hAnsi="仿宋_GB2312"/>
      <w:szCs w:val="32"/>
    </w:rPr>
  </w:style>
  <w:style w:type="paragraph" w:styleId="30">
    <w:name w:val="toc 3"/>
    <w:basedOn w:val="a"/>
    <w:next w:val="a"/>
    <w:rsid w:val="002D517E"/>
    <w:pPr>
      <w:tabs>
        <w:tab w:val="right" w:leader="dot" w:pos="8296"/>
      </w:tabs>
      <w:ind w:leftChars="400" w:left="400"/>
    </w:pPr>
  </w:style>
  <w:style w:type="paragraph" w:styleId="a5">
    <w:name w:val="Balloon Text"/>
    <w:basedOn w:val="a"/>
    <w:rsid w:val="002D517E"/>
    <w:rPr>
      <w:sz w:val="18"/>
      <w:szCs w:val="18"/>
    </w:rPr>
  </w:style>
  <w:style w:type="paragraph" w:styleId="a6">
    <w:name w:val="footer"/>
    <w:basedOn w:val="a"/>
    <w:rsid w:val="002D517E"/>
    <w:pPr>
      <w:tabs>
        <w:tab w:val="center" w:pos="4153"/>
        <w:tab w:val="right" w:pos="8306"/>
      </w:tabs>
      <w:snapToGrid w:val="0"/>
      <w:jc w:val="left"/>
    </w:pPr>
    <w:rPr>
      <w:rFonts w:ascii="Calibri" w:hAnsi="Calibri"/>
      <w:kern w:val="0"/>
      <w:sz w:val="18"/>
      <w:szCs w:val="18"/>
    </w:rPr>
  </w:style>
  <w:style w:type="paragraph" w:styleId="a7">
    <w:name w:val="header"/>
    <w:basedOn w:val="a"/>
    <w:rsid w:val="002D517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rsid w:val="002D517E"/>
    <w:pPr>
      <w:tabs>
        <w:tab w:val="right" w:leader="dot" w:pos="8296"/>
      </w:tabs>
      <w:spacing w:before="93"/>
      <w:jc w:val="center"/>
    </w:pPr>
    <w:rPr>
      <w:rFonts w:ascii="仿宋" w:eastAsia="仿宋"/>
      <w:sz w:val="28"/>
      <w:szCs w:val="28"/>
    </w:rPr>
  </w:style>
  <w:style w:type="paragraph" w:styleId="20">
    <w:name w:val="toc 2"/>
    <w:basedOn w:val="a"/>
    <w:next w:val="a"/>
    <w:rsid w:val="002D517E"/>
    <w:pPr>
      <w:tabs>
        <w:tab w:val="right" w:leader="dot" w:pos="8296"/>
      </w:tabs>
      <w:ind w:leftChars="200" w:left="200"/>
    </w:pPr>
  </w:style>
  <w:style w:type="paragraph" w:styleId="21">
    <w:name w:val="Body Text First Indent 2"/>
    <w:basedOn w:val="a4"/>
    <w:rsid w:val="002D517E"/>
    <w:pPr>
      <w:ind w:firstLineChars="200" w:firstLine="200"/>
    </w:pPr>
  </w:style>
  <w:style w:type="character" w:styleId="a8">
    <w:name w:val="Strong"/>
    <w:basedOn w:val="a0"/>
    <w:rsid w:val="002D517E"/>
    <w:rPr>
      <w:b/>
    </w:rPr>
  </w:style>
  <w:style w:type="character" w:styleId="a9">
    <w:name w:val="Hyperlink"/>
    <w:basedOn w:val="a0"/>
    <w:rsid w:val="002D517E"/>
    <w:rPr>
      <w:color w:val="0000FF"/>
      <w:u w:val="single"/>
    </w:rPr>
  </w:style>
  <w:style w:type="paragraph" w:customStyle="1" w:styleId="5">
    <w:name w:val="标题 5（有编号）（绿盟科技）"/>
    <w:next w:val="a"/>
    <w:rsid w:val="002D517E"/>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0"/>
    <w:rsid w:val="002D517E"/>
    <w:rPr>
      <w:rFonts w:ascii="Times New Roman" w:hAnsi="Times New Roman"/>
      <w:sz w:val="18"/>
      <w:szCs w:val="18"/>
    </w:rPr>
  </w:style>
  <w:style w:type="character" w:customStyle="1" w:styleId="FooterChar">
    <w:name w:val="Footer Char"/>
    <w:basedOn w:val="a0"/>
    <w:rsid w:val="002D517E"/>
    <w:rPr>
      <w:rFonts w:ascii="Times New Roman" w:hAnsi="Times New Roman"/>
      <w:sz w:val="18"/>
      <w:szCs w:val="18"/>
    </w:rPr>
  </w:style>
  <w:style w:type="character" w:customStyle="1" w:styleId="BodyTextChar">
    <w:name w:val="Body Text Char"/>
    <w:basedOn w:val="a0"/>
    <w:rsid w:val="002D517E"/>
    <w:rPr>
      <w:rFonts w:ascii="Times New Roman" w:hAnsi="Times New Roman"/>
      <w:szCs w:val="24"/>
    </w:rPr>
  </w:style>
  <w:style w:type="paragraph" w:customStyle="1" w:styleId="Default">
    <w:name w:val="Default"/>
    <w:rsid w:val="002D517E"/>
    <w:pPr>
      <w:widowControl w:val="0"/>
      <w:autoSpaceDE w:val="0"/>
      <w:autoSpaceDN w:val="0"/>
      <w:adjustRightInd w:val="0"/>
    </w:pPr>
    <w:rPr>
      <w:rFonts w:ascii="仿宋" w:eastAsia="仿宋" w:cs="仿宋"/>
      <w:color w:val="000000"/>
      <w:sz w:val="24"/>
      <w:szCs w:val="24"/>
    </w:rPr>
  </w:style>
  <w:style w:type="paragraph" w:styleId="aa">
    <w:name w:val="List Paragraph"/>
    <w:basedOn w:val="a"/>
    <w:rsid w:val="002D517E"/>
    <w:pPr>
      <w:ind w:firstLineChars="200" w:firstLine="200"/>
    </w:pPr>
  </w:style>
  <w:style w:type="paragraph" w:customStyle="1" w:styleId="TOC1">
    <w:name w:val="TOC 标题1"/>
    <w:basedOn w:val="1"/>
    <w:next w:val="a"/>
    <w:rsid w:val="002D517E"/>
    <w:pPr>
      <w:widowControl/>
      <w:spacing w:before="480" w:after="0" w:line="276" w:lineRule="auto"/>
      <w:jc w:val="left"/>
      <w:outlineLvl w:val="9"/>
    </w:pPr>
    <w:rPr>
      <w:rFonts w:ascii="Cambria" w:hAnsi="Cambria"/>
      <w:color w:val="376092"/>
      <w:kern w:val="0"/>
      <w:sz w:val="28"/>
      <w:szCs w:val="28"/>
    </w:rPr>
  </w:style>
  <w:style w:type="paragraph" w:customStyle="1" w:styleId="TOC2">
    <w:name w:val="TOC 标题2"/>
    <w:basedOn w:val="1"/>
    <w:next w:val="a"/>
    <w:rsid w:val="002D517E"/>
    <w:pPr>
      <w:widowControl/>
      <w:spacing w:before="480" w:after="0" w:line="276" w:lineRule="auto"/>
      <w:jc w:val="left"/>
      <w:outlineLvl w:val="9"/>
    </w:pPr>
    <w:rPr>
      <w:rFonts w:ascii="Cambria" w:hAnsi="Cambria"/>
      <w:color w:val="376092"/>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7.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1" i="0" u="none" strike="noStrike" baseline="0">
                <a:solidFill>
                  <a:srgbClr val="404040"/>
                </a:solidFill>
                <a:latin typeface="方正兰亭黑_GBK"/>
                <a:ea typeface="方正兰亭黑_GBK"/>
                <a:cs typeface="Lucida Sans"/>
              </a:defRPr>
            </a:pPr>
            <a:r>
              <a:rPr lang="zh-CN"/>
              <a:t>收、支决算总计变动图</a:t>
            </a:r>
          </a:p>
        </c:rich>
      </c:tx>
      <c:layout/>
      <c:spPr>
        <a:noFill/>
        <a:ln>
          <a:noFill/>
        </a:ln>
      </c:spPr>
    </c:title>
    <c:autoTitleDeleted val="1"/>
    <c:plotArea>
      <c:layout/>
      <c:barChart>
        <c:barDir val="col"/>
        <c:grouping val="clustered"/>
        <c:ser>
          <c:idx val="0"/>
          <c:order val="0"/>
          <c:spPr>
            <a:solidFill>
              <a:srgbClr val="4F81BD"/>
            </a:solidFill>
            <a:ln>
              <a:noFill/>
            </a:ln>
          </c:spPr>
          <c:dLbls>
            <c:numFmt formatCode="General" sourceLinked="0"/>
            <c:spPr>
              <a:noFill/>
              <a:ln>
                <a:noFill/>
              </a:ln>
            </c:spPr>
            <c:txPr>
              <a:bodyPr vert="horz"/>
              <a:lstStyle/>
              <a:p>
                <a:pPr>
                  <a:defRPr sz="1000" b="0" i="0" u="none" strike="noStrike" baseline="0">
                    <a:solidFill>
                      <a:srgbClr val="404040"/>
                    </a:solidFill>
                    <a:latin typeface="方正兰亭黑_GBK"/>
                    <a:ea typeface="方正兰亭黑_GBK"/>
                    <a:cs typeface="Lucida Sans"/>
                  </a:defRPr>
                </a:pPr>
                <a:endParaRPr lang="zh-CN"/>
              </a:p>
            </c:txPr>
            <c:dLblPos val="outEnd"/>
            <c:showVal val="1"/>
            <c:extLst>
              <c:ext xmlns:c15="http://schemas.microsoft.com/office/drawing/2012/chart" uri="{CE6537A1-D6FC-4f65-9D91-7224C49458BB}">
                <c15:showLeaderLines val="1"/>
              </c:ext>
            </c:extLst>
          </c:dLbls>
          <c:cat>
            <c:strLit>
              <c:ptCount val="2"/>
              <c:pt idx="0">
                <c:v>2022年</c:v>
              </c:pt>
              <c:pt idx="1">
                <c:v>2023年</c:v>
              </c:pt>
            </c:strLit>
          </c:cat>
          <c:val>
            <c:numLit>
              <c:formatCode>General</c:formatCode>
              <c:ptCount val="2"/>
              <c:pt idx="0">
                <c:v>1070.9100000000001</c:v>
              </c:pt>
              <c:pt idx="1">
                <c:v>831.39</c:v>
              </c:pt>
            </c:numLit>
          </c:val>
        </c:ser>
        <c:gapWidth val="246"/>
        <c:overlap val="-28"/>
        <c:axId val="85547648"/>
        <c:axId val="85553536"/>
      </c:barChart>
      <c:catAx>
        <c:axId val="85547648"/>
        <c:scaling>
          <c:orientation val="minMax"/>
        </c:scaling>
        <c:axPos val="b"/>
        <c:numFmt formatCode="General" sourceLinked="1"/>
        <c:maj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85553536"/>
        <c:crosses val="autoZero"/>
        <c:auto val="1"/>
        <c:lblAlgn val="ctr"/>
        <c:lblOffset val="100"/>
      </c:catAx>
      <c:valAx>
        <c:axId val="85553536"/>
        <c:scaling>
          <c:orientation val="minMax"/>
        </c:scaling>
        <c:axPos val="l"/>
        <c:majorGridlines>
          <c:spPr>
            <a:ln w="6350">
              <a:solidFill>
                <a:srgbClr val="E6E6E6"/>
              </a:solidFill>
              <a:prstDash val="solid"/>
            </a:ln>
          </c:spPr>
        </c:majorGridlines>
        <c:numFmt formatCode="General" sourceLinked="1"/>
        <c:maj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85547648"/>
        <c:crossesAt val="1"/>
        <c:crossBetween val="between"/>
      </c:valAx>
      <c:spPr>
        <a:noFill/>
        <a:ln>
          <a:noFill/>
        </a:ln>
      </c:spPr>
    </c:plotArea>
    <c:plotVisOnly val="1"/>
    <c:dispBlanksAs val="gap"/>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1" i="0" u="none" strike="noStrike" baseline="0">
                <a:solidFill>
                  <a:srgbClr val="404040"/>
                </a:solidFill>
                <a:latin typeface="方正兰亭黑_GBK"/>
                <a:ea typeface="方正兰亭黑_GBK"/>
                <a:cs typeface="Lucida Sans"/>
              </a:defRPr>
            </a:pPr>
            <a:r>
              <a:rPr lang="zh-CN"/>
              <a:t>收入决算结构图</a:t>
            </a:r>
          </a:p>
        </c:rich>
      </c:tx>
      <c:spPr>
        <a:noFill/>
        <a:ln>
          <a:noFill/>
        </a:ln>
      </c:spPr>
    </c:title>
    <c:autoTitleDeleted val="1"/>
    <c:plotArea>
      <c:layout/>
      <c:pieChart>
        <c:varyColors val="1"/>
        <c:ser>
          <c:idx val="0"/>
          <c:order val="0"/>
          <c:spPr>
            <a:ln>
              <a:noFill/>
            </a:ln>
          </c:spPr>
          <c:dPt>
            <c:idx val="0"/>
            <c:spPr>
              <a:solidFill>
                <a:srgbClr val="4F81BD"/>
              </a:solidFill>
              <a:ln w="6350">
                <a:solidFill>
                  <a:srgbClr val="FFFFFF"/>
                </a:solidFill>
                <a:prstDash val="solid"/>
              </a:ln>
            </c:spPr>
          </c:dPt>
          <c:dPt>
            <c:idx val="1"/>
            <c:spPr>
              <a:solidFill>
                <a:srgbClr val="C0504D"/>
              </a:solidFill>
              <a:ln w="6350">
                <a:solidFill>
                  <a:srgbClr val="FFFFFF"/>
                </a:solidFill>
                <a:prstDash val="solid"/>
              </a:ln>
            </c:spPr>
          </c:dPt>
          <c:dLbls>
            <c:numFmt formatCode="0%" sourceLinked="0"/>
            <c:spPr>
              <a:noFill/>
              <a:ln>
                <a:noFill/>
              </a:ln>
            </c:spPr>
            <c:txPr>
              <a:bodyPr vert="horz"/>
              <a:lstStyle/>
              <a:p>
                <a:pPr>
                  <a:defRPr sz="1000" b="0" i="0" u="none" strike="noStrike" baseline="0">
                    <a:solidFill>
                      <a:srgbClr val="404040"/>
                    </a:solidFill>
                    <a:latin typeface="方正兰亭黑_GBK"/>
                    <a:ea typeface="方正兰亭黑_GBK"/>
                    <a:cs typeface="Lucida Sans"/>
                  </a:defRPr>
                </a:pPr>
                <a:endParaRPr lang="zh-CN"/>
              </a:p>
            </c:txPr>
            <c:showVal val="1"/>
            <c:showLeaderLines val="1"/>
          </c:dLbls>
          <c:cat>
            <c:strLit>
              <c:ptCount val="2"/>
              <c:pt idx="0">
                <c:v>一般公共预算财政拨款收入</c:v>
              </c:pt>
              <c:pt idx="1">
                <c:v>政府性基金预算财政拨款收入</c:v>
              </c:pt>
            </c:strLit>
          </c:cat>
          <c:val>
            <c:numLit>
              <c:formatCode>General</c:formatCode>
              <c:ptCount val="2"/>
              <c:pt idx="0">
                <c:v>1</c:v>
              </c:pt>
              <c:pt idx="1">
                <c:v>0</c:v>
              </c:pt>
            </c:numLit>
          </c:val>
        </c:ser>
        <c:firstSliceAng val="0"/>
      </c:pieChart>
      <c:spPr>
        <a:noFill/>
        <a:ln>
          <a:noFill/>
        </a:ln>
      </c:spPr>
    </c:plotArea>
    <c:legend>
      <c:legendPos val="t"/>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1" i="0" u="none" strike="noStrike" baseline="0">
                <a:solidFill>
                  <a:srgbClr val="404040"/>
                </a:solidFill>
                <a:latin typeface="方正兰亭黑_GBK"/>
                <a:ea typeface="方正兰亭黑_GBK"/>
                <a:cs typeface="Lucida Sans"/>
              </a:defRPr>
            </a:pPr>
            <a:r>
              <a:rPr lang="zh-CN"/>
              <a:t>支出决算结构图</a:t>
            </a:r>
          </a:p>
        </c:rich>
      </c:tx>
      <c:spPr>
        <a:noFill/>
        <a:ln>
          <a:noFill/>
        </a:ln>
      </c:spPr>
    </c:title>
    <c:autoTitleDeleted val="1"/>
    <c:plotArea>
      <c:layout/>
      <c:pieChart>
        <c:varyColors val="1"/>
        <c:ser>
          <c:idx val="0"/>
          <c:order val="0"/>
          <c:spPr>
            <a:ln>
              <a:noFill/>
            </a:ln>
          </c:spPr>
          <c:dPt>
            <c:idx val="0"/>
            <c:spPr>
              <a:solidFill>
                <a:srgbClr val="4F81BD"/>
              </a:solidFill>
              <a:ln w="6350">
                <a:solidFill>
                  <a:srgbClr val="FFFFFF"/>
                </a:solidFill>
                <a:prstDash val="solid"/>
              </a:ln>
            </c:spPr>
          </c:dPt>
          <c:dPt>
            <c:idx val="1"/>
            <c:spPr>
              <a:solidFill>
                <a:srgbClr val="C0504D"/>
              </a:solidFill>
              <a:ln w="6350">
                <a:solidFill>
                  <a:srgbClr val="FFFFFF"/>
                </a:solidFill>
                <a:prstDash val="solid"/>
              </a:ln>
            </c:spPr>
          </c:dPt>
          <c:dLbls>
            <c:numFmt formatCode="0.00%" sourceLinked="0"/>
            <c:spPr>
              <a:noFill/>
              <a:ln>
                <a:noFill/>
              </a:ln>
            </c:spPr>
            <c:txPr>
              <a:bodyPr vert="horz"/>
              <a:lstStyle/>
              <a:p>
                <a:pPr>
                  <a:defRPr sz="1000" b="0" i="0" u="none" strike="noStrike" baseline="0">
                    <a:solidFill>
                      <a:srgbClr val="404040"/>
                    </a:solidFill>
                    <a:latin typeface="方正兰亭黑_GBK"/>
                    <a:ea typeface="方正兰亭黑_GBK"/>
                    <a:cs typeface="Lucida Sans"/>
                  </a:defRPr>
                </a:pPr>
                <a:endParaRPr lang="zh-CN"/>
              </a:p>
            </c:txPr>
            <c:showVal val="1"/>
            <c:showLeaderLines val="1"/>
          </c:dLbls>
          <c:cat>
            <c:strLit>
              <c:ptCount val="2"/>
              <c:pt idx="0">
                <c:v>基本支出</c:v>
              </c:pt>
              <c:pt idx="1">
                <c:v>项目支出</c:v>
              </c:pt>
            </c:strLit>
          </c:cat>
          <c:val>
            <c:numLit>
              <c:formatCode>General</c:formatCode>
              <c:ptCount val="2"/>
              <c:pt idx="0">
                <c:v>0.17270000000000002</c:v>
              </c:pt>
              <c:pt idx="1">
                <c:v>0.82730000000000004</c:v>
              </c:pt>
            </c:numLit>
          </c:val>
        </c:ser>
        <c:firstSliceAng val="0"/>
      </c:pieChart>
      <c:spPr>
        <a:noFill/>
        <a:ln>
          <a:noFill/>
        </a:ln>
      </c:spPr>
    </c:plotArea>
    <c:legend>
      <c:legendPos val="t"/>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1" i="0" u="none" strike="noStrike" baseline="0">
                <a:solidFill>
                  <a:srgbClr val="404040"/>
                </a:solidFill>
                <a:latin typeface="方正兰亭黑_GBK"/>
                <a:ea typeface="方正兰亭黑_GBK"/>
                <a:cs typeface="Lucida Sans"/>
              </a:defRPr>
            </a:pPr>
            <a:r>
              <a:rPr lang="zh-CN"/>
              <a:t>财政拨款收、支决算总计变动情况图</a:t>
            </a:r>
          </a:p>
        </c:rich>
      </c:tx>
      <c:spPr>
        <a:noFill/>
        <a:ln>
          <a:noFill/>
        </a:ln>
      </c:spPr>
    </c:title>
    <c:autoTitleDeleted val="1"/>
    <c:plotArea>
      <c:layout/>
      <c:barChart>
        <c:barDir val="col"/>
        <c:grouping val="clustered"/>
        <c:ser>
          <c:idx val="0"/>
          <c:order val="0"/>
          <c:spPr>
            <a:solidFill>
              <a:srgbClr val="4F81BD"/>
            </a:solidFill>
            <a:ln>
              <a:noFill/>
            </a:ln>
          </c:spPr>
          <c:dLbls>
            <c:numFmt formatCode="General" sourceLinked="0"/>
            <c:spPr>
              <a:noFill/>
              <a:ln>
                <a:noFill/>
              </a:ln>
            </c:spPr>
            <c:txPr>
              <a:bodyPr vert="horz"/>
              <a:lstStyle/>
              <a:p>
                <a:pPr>
                  <a:defRPr sz="1000" b="0" i="0" u="none" strike="noStrike" baseline="0">
                    <a:solidFill>
                      <a:srgbClr val="404040"/>
                    </a:solidFill>
                    <a:latin typeface="方正兰亭黑_GBK"/>
                    <a:ea typeface="方正兰亭黑_GBK"/>
                    <a:cs typeface="Lucida Sans"/>
                  </a:defRPr>
                </a:pPr>
                <a:endParaRPr lang="zh-CN"/>
              </a:p>
            </c:txPr>
            <c:dLblPos val="outEnd"/>
            <c:showVal val="1"/>
            <c:extLst>
              <c:ext xmlns:c15="http://schemas.microsoft.com/office/drawing/2012/chart" uri="{CE6537A1-D6FC-4f65-9D91-7224C49458BB}">
                <c15:showLeaderLines val="1"/>
              </c:ext>
            </c:extLst>
          </c:dLbls>
          <c:cat>
            <c:strLit>
              <c:ptCount val="2"/>
              <c:pt idx="0">
                <c:v>2022年</c:v>
              </c:pt>
              <c:pt idx="1">
                <c:v>2023年</c:v>
              </c:pt>
            </c:strLit>
          </c:cat>
          <c:val>
            <c:numLit>
              <c:formatCode>General</c:formatCode>
              <c:ptCount val="2"/>
              <c:pt idx="0">
                <c:v>1070.9100000000001</c:v>
              </c:pt>
              <c:pt idx="1">
                <c:v>831.39</c:v>
              </c:pt>
            </c:numLit>
          </c:val>
        </c:ser>
        <c:gapWidth val="246"/>
        <c:overlap val="-28"/>
        <c:axId val="103869824"/>
        <c:axId val="106370176"/>
      </c:barChart>
      <c:catAx>
        <c:axId val="103869824"/>
        <c:scaling>
          <c:orientation val="minMax"/>
        </c:scaling>
        <c:axPos val="b"/>
        <c:numFmt formatCode="General" sourceLinked="1"/>
        <c:maj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106370176"/>
        <c:crosses val="autoZero"/>
        <c:auto val="1"/>
        <c:lblAlgn val="ctr"/>
        <c:lblOffset val="100"/>
      </c:catAx>
      <c:valAx>
        <c:axId val="106370176"/>
        <c:scaling>
          <c:orientation val="minMax"/>
        </c:scaling>
        <c:axPos val="l"/>
        <c:majorGridlines>
          <c:spPr>
            <a:ln w="6350">
              <a:solidFill>
                <a:srgbClr val="E6E6E6"/>
              </a:solidFill>
              <a:prstDash val="solid"/>
            </a:ln>
          </c:spPr>
        </c:majorGridlines>
        <c:numFmt formatCode="General" sourceLinked="1"/>
        <c:maj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103869824"/>
        <c:crossesAt val="1"/>
        <c:crossBetween val="between"/>
      </c:valAx>
      <c:spPr>
        <a:noFill/>
        <a:ln>
          <a:noFill/>
        </a:ln>
      </c:spPr>
    </c:plotArea>
    <c:plotVisOnly val="1"/>
    <c:dispBlanksAs val="gap"/>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1" i="0" u="none" strike="noStrike" baseline="0">
                <a:solidFill>
                  <a:srgbClr val="404040"/>
                </a:solidFill>
                <a:latin typeface="方正兰亭黑_GBK"/>
                <a:ea typeface="方正兰亭黑_GBK"/>
                <a:cs typeface="Lucida Sans"/>
              </a:defRPr>
            </a:pPr>
            <a:r>
              <a:rPr lang="zh-CN"/>
              <a:t>一般公共预算财政拨款支出决算变动情况</a:t>
            </a:r>
          </a:p>
        </c:rich>
      </c:tx>
      <c:spPr>
        <a:noFill/>
        <a:ln>
          <a:noFill/>
        </a:ln>
      </c:spPr>
    </c:title>
    <c:autoTitleDeleted val="1"/>
    <c:plotArea>
      <c:layout>
        <c:manualLayout>
          <c:layoutTarget val="inner"/>
          <c:xMode val="edge"/>
          <c:yMode val="edge"/>
          <c:x val="5.7819280000000008E-2"/>
          <c:y val="0.3223840300000001"/>
          <c:w val="0.88825463999999998"/>
          <c:h val="0.57819170000000009"/>
        </c:manualLayout>
      </c:layout>
      <c:barChart>
        <c:barDir val="col"/>
        <c:grouping val="clustered"/>
        <c:ser>
          <c:idx val="0"/>
          <c:order val="0"/>
          <c:spPr>
            <a:solidFill>
              <a:srgbClr val="4F81BD"/>
            </a:solidFill>
            <a:ln>
              <a:noFill/>
            </a:ln>
          </c:spPr>
          <c:dLbls>
            <c:numFmt formatCode="General" sourceLinked="0"/>
            <c:spPr>
              <a:noFill/>
              <a:ln>
                <a:noFill/>
              </a:ln>
            </c:spPr>
            <c:txPr>
              <a:bodyPr vert="horz"/>
              <a:lstStyle/>
              <a:p>
                <a:pPr>
                  <a:defRPr sz="1000" b="0" i="0" u="none" strike="noStrike" baseline="0">
                    <a:solidFill>
                      <a:srgbClr val="404040"/>
                    </a:solidFill>
                    <a:latin typeface="方正兰亭黑_GBK"/>
                    <a:ea typeface="方正兰亭黑_GBK"/>
                    <a:cs typeface="Lucida Sans"/>
                  </a:defRPr>
                </a:pPr>
                <a:endParaRPr lang="zh-CN"/>
              </a:p>
            </c:txPr>
            <c:dLblPos val="outEnd"/>
            <c:showVal val="1"/>
            <c:extLst>
              <c:ext xmlns:c15="http://schemas.microsoft.com/office/drawing/2012/chart" uri="{CE6537A1-D6FC-4f65-9D91-7224C49458BB}">
                <c15:showLeaderLines val="1"/>
              </c:ext>
            </c:extLst>
          </c:dLbls>
          <c:cat>
            <c:strLit>
              <c:ptCount val="2"/>
              <c:pt idx="0">
                <c:v>2022年</c:v>
              </c:pt>
              <c:pt idx="1">
                <c:v>2023年</c:v>
              </c:pt>
            </c:strLit>
          </c:cat>
          <c:val>
            <c:numLit>
              <c:formatCode>General</c:formatCode>
              <c:ptCount val="2"/>
              <c:pt idx="0">
                <c:v>1070.9100000000001</c:v>
              </c:pt>
              <c:pt idx="1">
                <c:v>831.39</c:v>
              </c:pt>
            </c:numLit>
          </c:val>
        </c:ser>
        <c:gapWidth val="246"/>
        <c:overlap val="-28"/>
        <c:axId val="106419328"/>
        <c:axId val="106420864"/>
      </c:barChart>
      <c:catAx>
        <c:axId val="106419328"/>
        <c:scaling>
          <c:orientation val="minMax"/>
        </c:scaling>
        <c:axPos val="b"/>
        <c:numFmt formatCode="General" sourceLinked="1"/>
        <c:maj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106420864"/>
        <c:crosses val="autoZero"/>
        <c:auto val="1"/>
        <c:lblAlgn val="ctr"/>
        <c:lblOffset val="100"/>
      </c:catAx>
      <c:valAx>
        <c:axId val="106420864"/>
        <c:scaling>
          <c:orientation val="minMax"/>
        </c:scaling>
        <c:axPos val="l"/>
        <c:majorGridlines>
          <c:spPr>
            <a:ln w="6350">
              <a:solidFill>
                <a:srgbClr val="E6E6E6"/>
              </a:solidFill>
              <a:prstDash val="solid"/>
            </a:ln>
          </c:spPr>
        </c:majorGridlines>
        <c:numFmt formatCode="General" sourceLinked="1"/>
        <c:maj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106419328"/>
        <c:crossesAt val="1"/>
        <c:crossBetween val="between"/>
      </c:valAx>
      <c:spPr>
        <a:noFill/>
        <a:ln>
          <a:noFill/>
        </a:ln>
      </c:spPr>
    </c:plotArea>
    <c:plotVisOnly val="1"/>
    <c:dispBlanksAs val="gap"/>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595959"/>
                </a:solidFill>
                <a:latin typeface="方正兰亭黑_GBK"/>
                <a:ea typeface="方正兰亭黑_GBK"/>
                <a:cs typeface="Lucida Sans"/>
              </a:defRPr>
            </a:pPr>
            <a:r>
              <a:rPr lang="zh-CN"/>
              <a:t>一般公共预算财政拨款支出决算结构</a:t>
            </a:r>
          </a:p>
        </c:rich>
      </c:tx>
      <c:layout>
        <c:manualLayout>
          <c:xMode val="edge"/>
          <c:yMode val="edge"/>
          <c:x val="0.17097402"/>
          <c:y val="2.5068294000000008E-2"/>
        </c:manualLayout>
      </c:layout>
      <c:spPr>
        <a:noFill/>
        <a:ln>
          <a:noFill/>
        </a:ln>
      </c:spPr>
    </c:title>
    <c:autoTitleDeleted val="1"/>
    <c:plotArea>
      <c:layout/>
      <c:pieChart>
        <c:varyColors val="1"/>
        <c:ser>
          <c:idx val="0"/>
          <c:order val="0"/>
          <c:spPr>
            <a:ln>
              <a:noFill/>
            </a:ln>
          </c:spPr>
          <c:dPt>
            <c:idx val="0"/>
            <c:spPr>
              <a:solidFill>
                <a:srgbClr val="4F81BD"/>
              </a:solidFill>
              <a:ln w="19050">
                <a:solidFill>
                  <a:srgbClr val="FFFFFF"/>
                </a:solidFill>
                <a:prstDash val="solid"/>
              </a:ln>
            </c:spPr>
          </c:dPt>
          <c:dPt>
            <c:idx val="1"/>
            <c:spPr>
              <a:solidFill>
                <a:srgbClr val="C0504D"/>
              </a:solidFill>
              <a:ln w="19050">
                <a:solidFill>
                  <a:srgbClr val="FFFFFF"/>
                </a:solidFill>
                <a:prstDash val="solid"/>
              </a:ln>
            </c:spPr>
          </c:dPt>
          <c:dPt>
            <c:idx val="2"/>
            <c:spPr>
              <a:solidFill>
                <a:srgbClr val="9BBB59"/>
              </a:solidFill>
              <a:ln w="19050">
                <a:solidFill>
                  <a:srgbClr val="FFFFFF"/>
                </a:solidFill>
                <a:prstDash val="solid"/>
              </a:ln>
            </c:spPr>
          </c:dPt>
          <c:dLbls>
            <c:dLbl>
              <c:idx val="2"/>
              <c:layout>
                <c:manualLayout>
                  <c:x val="6.3156270000000014E-2"/>
                  <c:y val="1.5315030000000002E-2"/>
                </c:manualLayout>
              </c:layout>
              <c:showVal val="1"/>
            </c:dLbl>
            <c:numFmt formatCode="General" sourceLinked="0"/>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showVal val="1"/>
            <c:showLeaderLines val="1"/>
          </c:dLbls>
          <c:cat>
            <c:strLit>
              <c:ptCount val="3"/>
              <c:pt idx="0">
                <c:v>社会保障和就业支出</c:v>
              </c:pt>
              <c:pt idx="1">
                <c:v>卫生健康支出</c:v>
              </c:pt>
              <c:pt idx="2">
                <c:v>住房保障支出</c:v>
              </c:pt>
            </c:strLit>
          </c:cat>
          <c:val>
            <c:numLit>
              <c:formatCode>General</c:formatCode>
              <c:ptCount val="3"/>
              <c:pt idx="0">
                <c:v>0.97602809752342523</c:v>
              </c:pt>
              <c:pt idx="1">
                <c:v>5.8095478656226317E-3</c:v>
              </c:pt>
              <c:pt idx="2">
                <c:v>1.8162354610952707E-2</c:v>
              </c:pt>
            </c:numLit>
          </c:val>
        </c:ser>
        <c:firstSliceAng val="0"/>
      </c:pieChart>
      <c:spPr>
        <a:noFill/>
        <a:ln>
          <a:noFill/>
        </a:ln>
      </c:spPr>
    </c:plotArea>
    <c:legend>
      <c:legendPos val="b"/>
      <c:layout>
        <c:manualLayout>
          <c:xMode val="edge"/>
          <c:yMode val="edge"/>
          <c:x val="0.10550000000000001"/>
          <c:y val="0.89500000000000002"/>
          <c:w val="0.78875000000000006"/>
          <c:h val="7.7000000000000013E-2"/>
        </c:manualLayout>
      </c:layout>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595959"/>
                </a:solidFill>
                <a:latin typeface="方正兰亭黑_GBK"/>
                <a:ea typeface="方正兰亭黑_GBK"/>
                <a:cs typeface="Lucida Sans"/>
              </a:defRPr>
            </a:pPr>
            <a:r>
              <a:rPr lang="zh-CN"/>
              <a:t>“三公”经费财政拨款支出结构</a:t>
            </a:r>
          </a:p>
        </c:rich>
      </c:tx>
      <c:spPr>
        <a:noFill/>
        <a:ln>
          <a:noFill/>
        </a:ln>
      </c:spPr>
    </c:title>
    <c:autoTitleDeleted val="1"/>
    <c:plotArea>
      <c:layout/>
      <c:pieChart>
        <c:varyColors val="1"/>
        <c:ser>
          <c:idx val="0"/>
          <c:order val="0"/>
          <c:spPr>
            <a:ln>
              <a:noFill/>
            </a:ln>
          </c:spPr>
          <c:dPt>
            <c:idx val="0"/>
            <c:spPr>
              <a:solidFill>
                <a:srgbClr val="4F81BD"/>
              </a:solidFill>
              <a:ln w="19050">
                <a:solidFill>
                  <a:srgbClr val="FFFFFF"/>
                </a:solidFill>
                <a:prstDash val="solid"/>
              </a:ln>
            </c:spPr>
          </c:dPt>
          <c:dPt>
            <c:idx val="1"/>
            <c:spPr>
              <a:solidFill>
                <a:srgbClr val="C0504D"/>
              </a:solidFill>
              <a:ln w="19050">
                <a:solidFill>
                  <a:srgbClr val="FFFFFF"/>
                </a:solidFill>
                <a:prstDash val="solid"/>
              </a:ln>
            </c:spPr>
          </c:dPt>
          <c:dLbls>
            <c:numFmt formatCode="General" sourceLinked="0"/>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showVal val="1"/>
            <c:showLeaderLines val="1"/>
          </c:dLbls>
          <c:cat>
            <c:strLit>
              <c:ptCount val="2"/>
              <c:pt idx="0">
                <c:v>公务用车购置及运行维护费</c:v>
              </c:pt>
              <c:pt idx="1">
                <c:v>公务接待费</c:v>
              </c:pt>
            </c:strLit>
          </c:cat>
          <c:val>
            <c:numLit>
              <c:formatCode>General</c:formatCode>
              <c:ptCount val="2"/>
              <c:pt idx="0">
                <c:v>0.88590604026845599</c:v>
              </c:pt>
              <c:pt idx="1">
                <c:v>0.11409395973154401</c:v>
              </c:pt>
            </c:numLit>
          </c:val>
        </c:ser>
        <c:firstSliceAng val="0"/>
      </c:pieChart>
      <c:spPr>
        <a:noFill/>
        <a:ln>
          <a:noFill/>
        </a:ln>
      </c:spPr>
    </c:plotArea>
    <c:legend>
      <c:legendPos val="b"/>
      <c:layout>
        <c:manualLayout>
          <c:xMode val="edge"/>
          <c:yMode val="edge"/>
          <c:x val="0.25074999999999997"/>
          <c:y val="0.89500000000000002"/>
          <c:w val="0.49825000000000003"/>
          <c:h val="7.7000000000000013E-2"/>
        </c:manualLayout>
      </c:layout>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908</Words>
  <Characters>5177</Characters>
  <Application>Microsoft Office Word</Application>
  <DocSecurity>0</DocSecurity>
  <Lines>43</Lines>
  <Paragraphs>12</Paragraphs>
  <ScaleCrop>false</ScaleCrop>
  <Company>四川省财政厅</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2</cp:revision>
  <cp:lastPrinted>2023-08-04T18:35:00Z</cp:lastPrinted>
  <dcterms:created xsi:type="dcterms:W3CDTF">2024-10-22T08:34:00Z</dcterms:created>
  <dcterms:modified xsi:type="dcterms:W3CDTF">2024-10-22T08:34:00Z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C33ABAA1F8283C42C9DD1067E34FE452</vt:lpwstr>
  </property>
</Properties>
</file>