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4C0EC">
      <w:pPr>
        <w:spacing w:line="600" w:lineRule="exact"/>
        <w:jc w:val="left"/>
        <w:outlineLvl w:val="0"/>
        <w:rPr>
          <w:rFonts w:hint="eastAsia" w:ascii="宋体" w:hAnsi="宋体" w:eastAsia="宋体" w:cs="宋体"/>
          <w:szCs w:val="21"/>
        </w:rPr>
      </w:pPr>
      <w:bookmarkStart w:id="0" w:name="_Toc15306267"/>
    </w:p>
    <w:p w14:paraId="4BFB46EF">
      <w:pPr>
        <w:pStyle w:val="6"/>
        <w:spacing w:before="93"/>
        <w:rPr>
          <w:rFonts w:hint="eastAsia" w:ascii="宋体" w:hAnsi="宋体" w:eastAsia="宋体" w:cs="宋体"/>
        </w:rPr>
      </w:pPr>
    </w:p>
    <w:p w14:paraId="48A94C03">
      <w:pPr>
        <w:spacing w:line="600" w:lineRule="exact"/>
        <w:jc w:val="center"/>
        <w:outlineLvl w:val="0"/>
        <w:rPr>
          <w:rFonts w:hint="eastAsia" w:ascii="宋体" w:hAnsi="宋体" w:eastAsia="宋体" w:cs="宋体"/>
          <w:sz w:val="72"/>
          <w:szCs w:val="72"/>
        </w:rPr>
      </w:pPr>
    </w:p>
    <w:p w14:paraId="6114B599">
      <w:pPr>
        <w:spacing w:line="600" w:lineRule="exact"/>
        <w:jc w:val="center"/>
        <w:outlineLvl w:val="0"/>
        <w:rPr>
          <w:rFonts w:hint="eastAsia" w:ascii="宋体" w:hAnsi="宋体" w:eastAsia="宋体" w:cs="宋体"/>
          <w:sz w:val="72"/>
          <w:szCs w:val="72"/>
        </w:rPr>
      </w:pPr>
    </w:p>
    <w:p w14:paraId="69771353">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597"/>
      <w:bookmarkStart w:id="2" w:name="_Toc15396475"/>
      <w:bookmarkStart w:id="3" w:name="_Toc15377425"/>
      <w:bookmarkStart w:id="4" w:name="_Toc15378441"/>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330532CD">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7426"/>
      <w:bookmarkStart w:id="7" w:name="_Toc15396598"/>
      <w:bookmarkStart w:id="8" w:name="_Toc15396476"/>
      <w:bookmarkStart w:id="9" w:name="_Toc15378442"/>
      <w:bookmarkStart w:id="10" w:name="_Toc15306268"/>
      <w:bookmarkStart w:id="11" w:name="_Toc15377194"/>
      <w:r>
        <w:rPr>
          <w:rFonts w:hint="eastAsia" w:ascii="方正小标宋简体" w:hAnsi="方正小标宋简体" w:eastAsia="方正小标宋简体" w:cs="方正小标宋简体"/>
          <w:sz w:val="72"/>
          <w:szCs w:val="72"/>
          <w:lang w:val="en-US" w:eastAsia="zh-CN"/>
        </w:rPr>
        <w:t>大竹县妈妈镇金鸡学校</w:t>
      </w:r>
    </w:p>
    <w:p w14:paraId="25435149">
      <w:pPr>
        <w:adjustRightInd w:val="0"/>
        <w:snapToGrid w:val="0"/>
        <w:spacing w:line="360" w:lineRule="auto"/>
        <w:jc w:val="center"/>
        <w:outlineLvl w:val="0"/>
        <w:rPr>
          <w:rFonts w:hint="eastAsia" w:ascii="方正小标宋简体" w:hAnsi="宋体" w:eastAsia="方正小标宋简体"/>
          <w:sz w:val="52"/>
          <w:szCs w:val="52"/>
          <w:lang w:val="en-US" w:eastAsia="zh-CN"/>
        </w:rPr>
      </w:pPr>
      <w:r>
        <w:rPr>
          <w:rFonts w:hint="eastAsia" w:ascii="方正小标宋简体" w:hAnsi="宋体" w:eastAsia="方正小标宋简体"/>
          <w:sz w:val="52"/>
          <w:szCs w:val="52"/>
          <w:lang w:val="en-US" w:eastAsia="zh-CN"/>
        </w:rPr>
        <w:t>单位决算</w:t>
      </w:r>
      <w:bookmarkEnd w:id="6"/>
      <w:bookmarkEnd w:id="7"/>
      <w:bookmarkEnd w:id="8"/>
      <w:bookmarkEnd w:id="9"/>
      <w:bookmarkEnd w:id="10"/>
      <w:bookmarkEnd w:id="11"/>
    </w:p>
    <w:p w14:paraId="362B51C0">
      <w:pPr>
        <w:widowControl/>
        <w:jc w:val="center"/>
        <w:rPr>
          <w:rFonts w:hint="eastAsia" w:ascii="黑体" w:hAnsi="黑体" w:eastAsia="黑体" w:cs="黑体"/>
          <w:sz w:val="48"/>
          <w:szCs w:val="48"/>
        </w:rPr>
      </w:pPr>
      <w:r>
        <w:rPr>
          <w:rFonts w:hint="eastAsia" w:ascii="宋体" w:hAnsi="宋体" w:eastAsia="宋体" w:cs="宋体"/>
          <w:sz w:val="36"/>
          <w:szCs w:val="36"/>
        </w:rPr>
        <w:br w:type="page"/>
      </w:r>
      <w:r>
        <w:rPr>
          <w:rFonts w:hint="eastAsia" w:ascii="黑体" w:hAnsi="黑体" w:eastAsia="黑体" w:cs="黑体"/>
          <w:sz w:val="48"/>
          <w:szCs w:val="48"/>
        </w:rPr>
        <w:t>目录</w:t>
      </w:r>
    </w:p>
    <w:p w14:paraId="4F42F037">
      <w:pPr>
        <w:widowControl/>
        <w:jc w:val="center"/>
        <w:rPr>
          <w:rFonts w:hint="eastAsia" w:ascii="宋体" w:hAnsi="宋体" w:eastAsia="宋体" w:cs="宋体"/>
          <w:sz w:val="28"/>
          <w:szCs w:val="28"/>
        </w:rPr>
      </w:pPr>
    </w:p>
    <w:p w14:paraId="47D7F1FA">
      <w:pPr>
        <w:pStyle w:val="12"/>
        <w:rPr>
          <w:rFonts w:hint="eastAsia" w:ascii="仿宋" w:hAnsi="仿宋" w:eastAsia="仿宋" w:cs="仿宋"/>
        </w:rPr>
      </w:pPr>
      <w:r>
        <w:rPr>
          <w:rFonts w:hint="eastAsia" w:ascii="仿宋" w:hAnsi="仿宋" w:eastAsia="仿宋" w:cs="仿宋"/>
        </w:rPr>
        <w:t>公开时间：</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eastAsia="zh-CN"/>
        </w:rPr>
        <w:t>10</w:t>
      </w:r>
      <w:r>
        <w:rPr>
          <w:rFonts w:hint="eastAsia" w:ascii="仿宋" w:hAnsi="仿宋" w:eastAsia="仿宋" w:cs="仿宋"/>
        </w:rPr>
        <w:t>月</w:t>
      </w:r>
      <w:r>
        <w:rPr>
          <w:rFonts w:hint="eastAsia" w:ascii="仿宋" w:hAnsi="仿宋" w:eastAsia="仿宋" w:cs="仿宋"/>
          <w:lang w:val="en-US" w:eastAsia="zh-CN"/>
        </w:rPr>
        <w:t>18</w:t>
      </w:r>
      <w:r>
        <w:rPr>
          <w:rFonts w:hint="eastAsia" w:ascii="仿宋" w:hAnsi="仿宋" w:eastAsia="仿宋" w:cs="仿宋"/>
        </w:rPr>
        <w:t>日</w:t>
      </w:r>
    </w:p>
    <w:p w14:paraId="5D74BD66">
      <w:pPr>
        <w:rPr>
          <w:rFonts w:hint="eastAsia" w:ascii="宋体" w:hAnsi="宋体" w:eastAsia="宋体" w:cs="宋体"/>
        </w:rPr>
      </w:pPr>
    </w:p>
    <w:sdt>
      <w:sdtPr>
        <w:rPr>
          <w:rFonts w:ascii="宋体" w:hAnsi="宋体" w:eastAsia="宋体" w:cs="Times New Roman"/>
          <w:kern w:val="2"/>
          <w:sz w:val="21"/>
          <w:szCs w:val="24"/>
          <w:lang w:val="en-US" w:eastAsia="zh-CN" w:bidi="ar-SA"/>
        </w:rPr>
        <w:id w:val="147461188"/>
        <w15:color w:val="DBDBDB"/>
        <w:docPartObj>
          <w:docPartGallery w:val="Table of Contents"/>
          <w:docPartUnique/>
        </w:docPartObj>
      </w:sdtPr>
      <w:sdtEndPr>
        <w:rPr>
          <w:rFonts w:hint="eastAsia" w:ascii="仿宋" w:hAnsi="仿宋" w:eastAsia="仿宋" w:cs="仿宋"/>
          <w:b/>
          <w:kern w:val="2"/>
          <w:sz w:val="28"/>
          <w:szCs w:val="28"/>
          <w:lang w:val="en-US" w:eastAsia="zh-CN" w:bidi="ar-SA"/>
        </w:rPr>
      </w:sdtEndPr>
      <w:sdtContent>
        <w:p w14:paraId="77F355BF">
          <w:pPr>
            <w:spacing w:before="0" w:beforeLines="0" w:after="0" w:afterLines="0" w:line="240" w:lineRule="auto"/>
            <w:ind w:left="0" w:leftChars="0" w:right="0" w:rightChars="0" w:firstLine="0" w:firstLineChars="0"/>
            <w:jc w:val="center"/>
            <w:rPr>
              <w:rFonts w:hint="eastAsia" w:ascii="仿宋" w:hAnsi="仿宋" w:eastAsia="仿宋" w:cs="仿宋"/>
              <w:b/>
              <w:sz w:val="28"/>
              <w:szCs w:val="28"/>
            </w:rPr>
          </w:pPr>
          <w:bookmarkStart w:id="12" w:name="_Toc15396599"/>
          <w:bookmarkStart w:id="13" w:name="_Toc15377196"/>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3C37F474">
          <w:pPr>
            <w:pStyle w:val="3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_Toc28792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单位</w:t>
          </w:r>
          <w:r>
            <w:rPr>
              <w:rFonts w:hint="eastAsia" w:ascii="仿宋" w:hAnsi="仿宋" w:eastAsia="仿宋" w:cs="仿宋"/>
              <w:b/>
              <w:bCs w:val="0"/>
              <w:sz w:val="28"/>
              <w:szCs w:val="28"/>
            </w:rPr>
            <w:t>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_Toc28792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0A425E76">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_Toc17832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 xml:space="preserve">一、 </w:t>
          </w:r>
          <w:r>
            <w:rPr>
              <w:rFonts w:hint="eastAsia" w:ascii="仿宋" w:hAnsi="仿宋" w:eastAsia="仿宋" w:cs="仿宋"/>
              <w:bCs w:val="0"/>
              <w:sz w:val="28"/>
              <w:szCs w:val="28"/>
              <w:highlight w:val="none"/>
            </w:rPr>
            <w:t>主要职责</w:t>
          </w:r>
          <w:bookmarkStart w:id="72" w:name="_GoBack"/>
          <w:bookmarkEnd w:id="72"/>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_Toc17832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DB6941">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_Toc7884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highlight w:val="none"/>
            </w:rPr>
            <w:t>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_Toc7884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38FF1">
          <w:pPr>
            <w:pStyle w:val="3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_Toc23483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_Toc23483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2504528A">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_Toc5261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_Toc5261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0F187A3">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6066DF">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_Toc1124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_Toc1124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79D4F1F">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_Toc29631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14:paraId="3FD704A0">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_Toc1707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_Toc1707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1169B34">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_Toc23998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_Toc23998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7B7C66">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_Toc21074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_Toc21074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336859">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_Toc26560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_Toc26560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DA486D">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0FDD15">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_Toc4176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_Toc4176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E68FF4">
          <w:pPr>
            <w:pStyle w:val="3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_Toc32723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_Toc32723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61B86324">
          <w:pPr>
            <w:pStyle w:val="3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_Toc3339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_Toc3339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6B156DE9">
          <w:pPr>
            <w:pStyle w:val="3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_Toc15696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附表</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_Toc15696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165794F5">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_Toc9002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_Toc9002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3383FD">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_Toc21070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_Toc21070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A1B1FC">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_Toc5304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_Toc5304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BD5EC4">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_Toc18475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4BE977">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_Toc16175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4E23A7">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_Toc25025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_Toc25025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C23092">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_Toc28702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_Toc28702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600FAD">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_Toc31737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_Toc31737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AD6166">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_Toc10240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_Toc10240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30EA84">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_Toc6097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_Toc6097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3878219">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_Toc1183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C9A2B5">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214FDB2">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_Toc6075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D3593C">
          <w:pPr>
            <w:rPr>
              <w:rFonts w:hint="eastAsia" w:ascii="仿宋" w:hAnsi="仿宋" w:eastAsia="仿宋" w:cs="仿宋"/>
              <w:sz w:val="28"/>
              <w:szCs w:val="28"/>
            </w:rPr>
          </w:pPr>
          <w:r>
            <w:rPr>
              <w:rFonts w:hint="eastAsia" w:ascii="仿宋" w:hAnsi="仿宋" w:eastAsia="仿宋" w:cs="仿宋"/>
              <w:b/>
              <w:sz w:val="28"/>
              <w:szCs w:val="28"/>
            </w:rPr>
            <w:fldChar w:fldCharType="end"/>
          </w:r>
        </w:p>
      </w:sdtContent>
    </w:sdt>
    <w:p w14:paraId="5D964845">
      <w:pPr>
        <w:rPr>
          <w:rFonts w:hint="eastAsia" w:ascii="宋体" w:hAnsi="宋体" w:eastAsia="宋体" w:cs="宋体"/>
          <w:b w:val="0"/>
        </w:rPr>
      </w:pPr>
    </w:p>
    <w:p w14:paraId="100A1A4A">
      <w:pPr>
        <w:pStyle w:val="3"/>
        <w:spacing w:before="0" w:after="0" w:line="240" w:lineRule="auto"/>
        <w:jc w:val="both"/>
        <w:rPr>
          <w:rFonts w:hint="eastAsia" w:ascii="宋体" w:hAnsi="宋体" w:eastAsia="宋体" w:cs="宋体"/>
          <w:b w:val="0"/>
        </w:rPr>
      </w:pPr>
    </w:p>
    <w:p w14:paraId="1342D6CA">
      <w:pPr>
        <w:pStyle w:val="3"/>
        <w:jc w:val="center"/>
        <w:rPr>
          <w:rFonts w:hint="eastAsia" w:ascii="宋体" w:hAnsi="宋体" w:eastAsia="宋体" w:cs="宋体"/>
          <w:b w:val="0"/>
        </w:rPr>
      </w:pPr>
    </w:p>
    <w:p w14:paraId="11BCE0B0">
      <w:pPr>
        <w:rPr>
          <w:rFonts w:hint="eastAsia" w:ascii="宋体" w:hAnsi="宋体" w:eastAsia="宋体" w:cs="宋体"/>
          <w:b w:val="0"/>
        </w:rPr>
      </w:pPr>
    </w:p>
    <w:p w14:paraId="2664C3BA">
      <w:pPr>
        <w:pStyle w:val="3"/>
        <w:jc w:val="center"/>
        <w:rPr>
          <w:rFonts w:hint="eastAsia" w:ascii="宋体" w:hAnsi="宋体" w:eastAsia="宋体" w:cs="宋体"/>
          <w:b w:val="0"/>
        </w:rPr>
      </w:pPr>
    </w:p>
    <w:p w14:paraId="7C5B8C25">
      <w:pPr>
        <w:pStyle w:val="3"/>
        <w:jc w:val="center"/>
        <w:rPr>
          <w:rStyle w:val="27"/>
          <w:rFonts w:hint="eastAsia" w:ascii="宋体" w:hAnsi="宋体" w:eastAsia="宋体" w:cs="宋体"/>
          <w:b/>
          <w:bCs w:val="0"/>
        </w:rPr>
      </w:pPr>
      <w:r>
        <w:rPr>
          <w:rFonts w:hint="eastAsia" w:ascii="黑体" w:hAnsi="黑体" w:eastAsia="黑体" w:cs="黑体"/>
          <w:b w:val="0"/>
        </w:rPr>
        <w:t>第一部分 单位</w:t>
      </w:r>
      <w:r>
        <w:rPr>
          <w:rStyle w:val="27"/>
          <w:rFonts w:hint="eastAsia" w:ascii="黑体" w:hAnsi="黑体" w:eastAsia="黑体" w:cs="黑体"/>
          <w:b w:val="0"/>
          <w:bCs w:val="0"/>
        </w:rPr>
        <w:t>概况</w:t>
      </w:r>
      <w:bookmarkEnd w:id="12"/>
      <w:bookmarkEnd w:id="13"/>
    </w:p>
    <w:p w14:paraId="4E9A4D0E">
      <w:pPr>
        <w:pStyle w:val="4"/>
        <w:numPr>
          <w:ilvl w:val="0"/>
          <w:numId w:val="1"/>
        </w:numPr>
        <w:rPr>
          <w:rStyle w:val="28"/>
          <w:rFonts w:hint="eastAsia" w:ascii="黑体" w:hAnsi="黑体" w:eastAsia="黑体" w:cs="黑体"/>
          <w:b w:val="0"/>
          <w:bCs w:val="0"/>
        </w:rPr>
      </w:pPr>
      <w:bookmarkStart w:id="14" w:name="_Toc15377197"/>
      <w:bookmarkStart w:id="15" w:name="_Toc15396600"/>
      <w:r>
        <w:rPr>
          <w:rStyle w:val="28"/>
          <w:rFonts w:hint="eastAsia" w:ascii="黑体" w:hAnsi="黑体" w:eastAsia="黑体" w:cs="黑体"/>
          <w:b w:val="0"/>
          <w:bCs w:val="0"/>
        </w:rPr>
        <w:t>主要职责</w:t>
      </w:r>
    </w:p>
    <w:p w14:paraId="24070149">
      <w:pPr>
        <w:ind w:firstLine="640" w:firstLineChars="200"/>
        <w:rPr>
          <w:rFonts w:hint="eastAsia" w:ascii="仿宋" w:hAnsi="仿宋" w:eastAsia="仿宋" w:cs="仿宋"/>
          <w:sz w:val="32"/>
          <w:szCs w:val="32"/>
        </w:rPr>
      </w:pPr>
      <w:bookmarkStart w:id="16" w:name="_Toc18420"/>
      <w:bookmarkStart w:id="17" w:name="_Toc24780"/>
      <w:r>
        <w:rPr>
          <w:rFonts w:hint="eastAsia" w:ascii="仿宋" w:hAnsi="仿宋" w:eastAsia="仿宋" w:cs="仿宋"/>
          <w:bCs/>
          <w:color w:val="auto"/>
          <w:kern w:val="0"/>
          <w:sz w:val="32"/>
          <w:szCs w:val="32"/>
        </w:rPr>
        <w:t>大竹县</w:t>
      </w:r>
      <w:r>
        <w:rPr>
          <w:rFonts w:hint="eastAsia" w:ascii="仿宋" w:hAnsi="仿宋" w:eastAsia="仿宋" w:cs="仿宋"/>
          <w:bCs/>
          <w:color w:val="auto"/>
          <w:kern w:val="0"/>
          <w:sz w:val="32"/>
          <w:szCs w:val="32"/>
          <w:lang w:val="en-US" w:eastAsia="zh-CN"/>
        </w:rPr>
        <w:t>妈妈镇金鸡学校</w:t>
      </w:r>
      <w:r>
        <w:rPr>
          <w:rFonts w:hint="eastAsia" w:ascii="仿宋" w:hAnsi="仿宋" w:eastAsia="仿宋" w:cs="仿宋"/>
          <w:bCs/>
          <w:color w:val="auto"/>
          <w:kern w:val="0"/>
          <w:sz w:val="32"/>
          <w:szCs w:val="32"/>
        </w:rPr>
        <w:t>是大竹县教育局举办的一所</w:t>
      </w:r>
      <w:r>
        <w:rPr>
          <w:rFonts w:hint="eastAsia" w:ascii="仿宋" w:hAnsi="仿宋" w:eastAsia="仿宋" w:cs="仿宋"/>
          <w:bCs/>
          <w:color w:val="auto"/>
          <w:kern w:val="0"/>
          <w:sz w:val="32"/>
          <w:szCs w:val="32"/>
          <w:lang w:val="en-US" w:eastAsia="zh-CN"/>
        </w:rPr>
        <w:t>九年一贯制学校</w:t>
      </w:r>
      <w:r>
        <w:rPr>
          <w:rFonts w:hint="eastAsia" w:ascii="仿宋" w:hAnsi="仿宋" w:eastAsia="仿宋" w:cs="仿宋"/>
          <w:bCs/>
          <w:color w:val="auto"/>
          <w:kern w:val="0"/>
          <w:sz w:val="32"/>
          <w:szCs w:val="32"/>
        </w:rPr>
        <w:t>，属于全额拨款事业单位，</w:t>
      </w:r>
      <w:r>
        <w:rPr>
          <w:rFonts w:hint="eastAsia" w:ascii="仿宋" w:hAnsi="仿宋" w:eastAsia="仿宋" w:cs="仿宋"/>
          <w:b w:val="0"/>
          <w:bCs w:val="0"/>
          <w:color w:val="000000"/>
          <w:sz w:val="32"/>
          <w:szCs w:val="32"/>
          <w:lang w:val="en-US" w:eastAsia="zh-CN"/>
        </w:rPr>
        <w:t>贯彻执行党和国家的教育方针、教育政策、教育法律和教育法规，贯彻执行上级教育行政部门的行政规章。根据县委、县政府制定的教育事业发展规划，结合实际制定并组织实施本校的教育事业发展规划。按照上级有关部门的规定，负责对学校教育的财务和基建进行管理。按照完全小学义务教育课程计划要求开齐课程开足课时，认真实施中小学的教育教学管理，全面推进素质教育，全面提高教育教学质量。</w:t>
      </w:r>
      <w:bookmarkEnd w:id="16"/>
      <w:bookmarkEnd w:id="17"/>
    </w:p>
    <w:p w14:paraId="5003638F">
      <w:pPr>
        <w:rPr>
          <w:rFonts w:hint="eastAsia" w:ascii="仿宋" w:hAnsi="仿宋" w:eastAsia="仿宋" w:cs="仿宋"/>
        </w:rPr>
      </w:pPr>
    </w:p>
    <w:p w14:paraId="2ED48C4C">
      <w:pPr>
        <w:pStyle w:val="4"/>
        <w:rPr>
          <w:rFonts w:hint="eastAsia" w:ascii="黑体" w:hAnsi="黑体" w:eastAsia="黑体" w:cs="黑体"/>
          <w:b w:val="0"/>
        </w:rPr>
      </w:pPr>
      <w:r>
        <w:rPr>
          <w:rFonts w:hint="eastAsia" w:ascii="黑体" w:hAnsi="黑体" w:eastAsia="黑体" w:cs="黑体"/>
          <w:b w:val="0"/>
        </w:rPr>
        <w:t>二、机构设置</w:t>
      </w:r>
    </w:p>
    <w:bookmarkEnd w:id="14"/>
    <w:bookmarkEnd w:id="15"/>
    <w:p w14:paraId="5E82D41E">
      <w:pPr>
        <w:pStyle w:val="6"/>
        <w:adjustRightInd w:val="0"/>
        <w:snapToGrid w:val="0"/>
        <w:spacing w:before="93" w:line="600" w:lineRule="exact"/>
        <w:ind w:firstLine="672" w:firstLineChars="210"/>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大竹县妈妈镇金鸡学校为一级预算单位，下属的二级预算单位0个，下设独立编制机构0个，其中行政机构0个，参照公务员法管理的事业机构0个，其它事业机构0个。</w:t>
      </w:r>
    </w:p>
    <w:p w14:paraId="687519A7">
      <w:pPr>
        <w:pStyle w:val="6"/>
        <w:spacing w:before="93"/>
        <w:ind w:firstLine="640" w:firstLineChars="200"/>
        <w:rPr>
          <w:rFonts w:hint="eastAsia" w:ascii="宋体" w:hAnsi="宋体" w:eastAsia="宋体" w:cs="宋体"/>
          <w:sz w:val="32"/>
          <w:szCs w:val="32"/>
        </w:rPr>
      </w:pPr>
      <w:r>
        <w:rPr>
          <w:rFonts w:hint="eastAsia" w:ascii="仿宋" w:hAnsi="仿宋" w:eastAsia="仿宋" w:cs="仿宋"/>
          <w:sz w:val="32"/>
          <w:szCs w:val="32"/>
        </w:rPr>
        <w:t>纳入</w:t>
      </w:r>
      <w:r>
        <w:rPr>
          <w:rFonts w:hint="eastAsia" w:ascii="仿宋" w:hAnsi="仿宋" w:eastAsia="仿宋" w:cs="仿宋"/>
          <w:b w:val="0"/>
          <w:bCs w:val="0"/>
          <w:kern w:val="2"/>
          <w:sz w:val="32"/>
          <w:szCs w:val="32"/>
          <w:lang w:val="en-US" w:eastAsia="zh-CN" w:bidi="ar"/>
        </w:rPr>
        <w:t>大竹县妈妈镇金鸡学校</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年度部门决算编制范围的二级预算单位包括：无。</w:t>
      </w:r>
    </w:p>
    <w:p w14:paraId="131D8DEE">
      <w:pPr>
        <w:widowControl/>
        <w:jc w:val="left"/>
        <w:rPr>
          <w:rFonts w:hint="eastAsia" w:ascii="宋体" w:hAnsi="宋体" w:eastAsia="宋体" w:cs="宋体"/>
          <w:kern w:val="0"/>
          <w:sz w:val="32"/>
          <w:szCs w:val="32"/>
        </w:rPr>
      </w:pPr>
      <w:r>
        <w:rPr>
          <w:rFonts w:hint="eastAsia" w:ascii="宋体" w:hAnsi="宋体" w:eastAsia="宋体" w:cs="宋体"/>
          <w:sz w:val="32"/>
          <w:szCs w:val="32"/>
        </w:rPr>
        <w:br w:type="page"/>
      </w:r>
    </w:p>
    <w:p w14:paraId="55AD1763">
      <w:pPr>
        <w:pStyle w:val="3"/>
        <w:ind w:right="440"/>
        <w:jc w:val="center"/>
        <w:rPr>
          <w:rStyle w:val="27"/>
          <w:rFonts w:hint="eastAsia" w:ascii="宋体" w:hAnsi="宋体" w:eastAsia="宋体" w:cs="宋体"/>
          <w:b w:val="0"/>
          <w:bCs/>
        </w:rPr>
      </w:pPr>
      <w:bookmarkStart w:id="18" w:name="_Toc15377204"/>
      <w:bookmarkStart w:id="19" w:name="_Toc15396602"/>
      <w:r>
        <w:rPr>
          <w:rFonts w:hint="eastAsia" w:ascii="黑体" w:hAnsi="黑体" w:eastAsia="黑体" w:cs="黑体"/>
          <w:b w:val="0"/>
        </w:rPr>
        <w:t>第二部分 2023年度</w:t>
      </w:r>
      <w:r>
        <w:rPr>
          <w:rStyle w:val="27"/>
          <w:rFonts w:hint="eastAsia" w:ascii="黑体" w:hAnsi="黑体" w:eastAsia="黑体" w:cs="黑体"/>
          <w:b w:val="0"/>
          <w:bCs/>
        </w:rPr>
        <w:t>单位决算情况说明</w:t>
      </w:r>
      <w:bookmarkEnd w:id="18"/>
      <w:bookmarkEnd w:id="19"/>
    </w:p>
    <w:p w14:paraId="7DDD70A4">
      <w:pPr>
        <w:pStyle w:val="26"/>
        <w:numPr>
          <w:ilvl w:val="0"/>
          <w:numId w:val="2"/>
        </w:numPr>
        <w:spacing w:line="600" w:lineRule="exact"/>
        <w:ind w:firstLineChars="0"/>
        <w:outlineLvl w:val="1"/>
        <w:rPr>
          <w:rStyle w:val="28"/>
          <w:rFonts w:hint="eastAsia" w:ascii="黑体" w:hAnsi="黑体" w:eastAsia="黑体" w:cs="黑体"/>
          <w:b w:val="0"/>
        </w:rPr>
      </w:pPr>
      <w:bookmarkStart w:id="20" w:name="_Toc15396603"/>
      <w:bookmarkStart w:id="21" w:name="_Toc15377205"/>
      <w:r>
        <w:rPr>
          <w:rFonts w:hint="eastAsia" w:ascii="黑体" w:hAnsi="黑体" w:eastAsia="黑体" w:cs="黑体"/>
          <w:sz w:val="32"/>
          <w:szCs w:val="32"/>
        </w:rPr>
        <w:t>收</w:t>
      </w:r>
      <w:r>
        <w:rPr>
          <w:rStyle w:val="28"/>
          <w:rFonts w:hint="eastAsia" w:ascii="黑体" w:hAnsi="黑体" w:eastAsia="黑体" w:cs="黑体"/>
          <w:b w:val="0"/>
        </w:rPr>
        <w:t>入支出决算总体情况说明</w:t>
      </w:r>
      <w:bookmarkEnd w:id="20"/>
      <w:bookmarkEnd w:id="21"/>
    </w:p>
    <w:p w14:paraId="1145E22E">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2023年度收、支总计均为</w:t>
      </w:r>
      <w:bookmarkStart w:id="22" w:name="OLE_LINK1"/>
      <w:r>
        <w:rPr>
          <w:rFonts w:hint="eastAsia" w:ascii="仿宋" w:hAnsi="仿宋" w:eastAsia="仿宋" w:cs="仿宋"/>
          <w:b/>
          <w:sz w:val="32"/>
          <w:szCs w:val="32"/>
        </w:rPr>
        <w:t>724.26</w:t>
      </w:r>
      <w:bookmarkEnd w:id="22"/>
      <w:r>
        <w:rPr>
          <w:rFonts w:hint="eastAsia" w:ascii="仿宋" w:hAnsi="仿宋" w:eastAsia="仿宋" w:cs="仿宋"/>
          <w:sz w:val="32"/>
          <w:szCs w:val="32"/>
        </w:rPr>
        <w:t>万元。与2022年度相比，收、支总计各增加</w:t>
      </w:r>
      <w:r>
        <w:rPr>
          <w:rFonts w:hint="eastAsia" w:ascii="仿宋" w:hAnsi="仿宋" w:eastAsia="仿宋" w:cs="仿宋"/>
          <w:sz w:val="32"/>
          <w:szCs w:val="32"/>
          <w:lang w:val="en-US" w:eastAsia="zh-CN"/>
        </w:rPr>
        <w:t>29.24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4.2</w:t>
      </w:r>
      <w:r>
        <w:rPr>
          <w:rFonts w:hint="eastAsia" w:ascii="仿宋" w:hAnsi="仿宋" w:eastAsia="仿宋" w:cs="仿宋"/>
          <w:sz w:val="32"/>
          <w:szCs w:val="32"/>
        </w:rPr>
        <w:t>%。主要变动原因是</w:t>
      </w:r>
      <w:r>
        <w:rPr>
          <w:rFonts w:hint="eastAsia" w:ascii="仿宋" w:hAnsi="仿宋" w:eastAsia="仿宋" w:cs="仿宋"/>
          <w:sz w:val="32"/>
          <w:szCs w:val="32"/>
          <w:lang w:val="en-US" w:eastAsia="zh-CN"/>
        </w:rPr>
        <w:t>有项目支出结转结余</w:t>
      </w:r>
      <w:r>
        <w:rPr>
          <w:rFonts w:hint="eastAsia" w:ascii="仿宋" w:hAnsi="仿宋" w:eastAsia="仿宋" w:cs="仿宋"/>
          <w:sz w:val="32"/>
          <w:szCs w:val="32"/>
        </w:rPr>
        <w:t>。</w:t>
      </w:r>
    </w:p>
    <w:p w14:paraId="12DF6D6C">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2020570"/>
            <wp:effectExtent l="4445" t="4445" r="2095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92DAB2">
      <w:pPr>
        <w:spacing w:line="600" w:lineRule="exact"/>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图1：收、支决算总计变动情况图</w:t>
      </w:r>
      <w:r>
        <w:rPr>
          <w:rFonts w:hint="eastAsia" w:ascii="仿宋" w:hAnsi="仿宋" w:eastAsia="仿宋" w:cs="仿宋"/>
          <w:sz w:val="32"/>
          <w:szCs w:val="32"/>
          <w:lang w:eastAsia="zh-CN"/>
        </w:rPr>
        <w:t>）</w:t>
      </w:r>
    </w:p>
    <w:p w14:paraId="420CA598">
      <w:pPr>
        <w:pStyle w:val="26"/>
        <w:numPr>
          <w:ilvl w:val="0"/>
          <w:numId w:val="2"/>
        </w:numPr>
        <w:spacing w:line="600" w:lineRule="exact"/>
        <w:ind w:firstLineChars="0"/>
        <w:outlineLvl w:val="1"/>
        <w:rPr>
          <w:rStyle w:val="28"/>
          <w:rFonts w:hint="eastAsia" w:ascii="黑体" w:hAnsi="黑体" w:eastAsia="黑体" w:cs="黑体"/>
          <w:b w:val="0"/>
        </w:rPr>
      </w:pPr>
      <w:bookmarkStart w:id="23" w:name="_Toc15377206"/>
      <w:bookmarkStart w:id="24" w:name="_Toc15396604"/>
      <w:r>
        <w:rPr>
          <w:rFonts w:hint="eastAsia" w:ascii="黑体" w:hAnsi="黑体" w:eastAsia="黑体" w:cs="黑体"/>
          <w:sz w:val="32"/>
          <w:szCs w:val="32"/>
        </w:rPr>
        <w:t>收</w:t>
      </w:r>
      <w:r>
        <w:rPr>
          <w:rStyle w:val="28"/>
          <w:rFonts w:hint="eastAsia" w:ascii="黑体" w:hAnsi="黑体" w:eastAsia="黑体" w:cs="黑体"/>
          <w:b w:val="0"/>
        </w:rPr>
        <w:t>入决算情况说明</w:t>
      </w:r>
      <w:bookmarkEnd w:id="23"/>
      <w:bookmarkEnd w:id="24"/>
    </w:p>
    <w:p w14:paraId="7E692349">
      <w:pPr>
        <w:spacing w:line="600" w:lineRule="exact"/>
        <w:ind w:firstLine="640" w:firstLineChars="200"/>
        <w:outlineLvl w:val="1"/>
        <w:rPr>
          <w:rFonts w:hint="eastAsia" w:ascii="仿宋" w:hAnsi="仿宋" w:eastAsia="仿宋" w:cs="仿宋"/>
          <w:b w:val="0"/>
          <w:bCs w:val="0"/>
          <w:sz w:val="32"/>
          <w:szCs w:val="32"/>
          <w:lang w:eastAsia="zh-CN"/>
        </w:rPr>
      </w:pPr>
      <w:r>
        <w:rPr>
          <w:rFonts w:hint="eastAsia" w:ascii="仿宋" w:hAnsi="仿宋" w:eastAsia="仿宋" w:cs="仿宋"/>
          <w:sz w:val="32"/>
          <w:szCs w:val="32"/>
        </w:rPr>
        <w:t>2023年度本年</w:t>
      </w:r>
      <w:r>
        <w:rPr>
          <w:rFonts w:hint="eastAsia" w:ascii="仿宋" w:hAnsi="仿宋" w:eastAsia="仿宋" w:cs="仿宋"/>
          <w:b w:val="0"/>
          <w:bCs w:val="0"/>
          <w:sz w:val="32"/>
          <w:szCs w:val="32"/>
        </w:rPr>
        <w:t>收入合计634.88万元，其中：一般公共预算财政拨款收入634.88万元，占100%</w:t>
      </w:r>
      <w:r>
        <w:rPr>
          <w:rFonts w:hint="eastAsia" w:ascii="仿宋" w:hAnsi="仿宋" w:eastAsia="仿宋" w:cs="仿宋"/>
          <w:b w:val="0"/>
          <w:bCs w:val="0"/>
          <w:sz w:val="32"/>
          <w:szCs w:val="32"/>
          <w:lang w:eastAsia="zh-CN"/>
        </w:rPr>
        <w:t>。</w:t>
      </w:r>
    </w:p>
    <w:p w14:paraId="316EEEA7">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791210</wp:posOffset>
            </wp:positionH>
            <wp:positionV relativeFrom="paragraph">
              <wp:posOffset>46355</wp:posOffset>
            </wp:positionV>
            <wp:extent cx="4099560" cy="1857375"/>
            <wp:effectExtent l="4445" t="4445" r="10795" b="50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D804990">
      <w:pPr>
        <w:rPr>
          <w:rFonts w:hint="eastAsia" w:ascii="仿宋" w:hAnsi="仿宋" w:eastAsia="仿宋" w:cs="仿宋"/>
          <w:sz w:val="32"/>
          <w:szCs w:val="32"/>
          <w:lang w:eastAsia="zh-CN"/>
        </w:rPr>
      </w:pPr>
    </w:p>
    <w:p w14:paraId="3AB8F0C5">
      <w:pPr>
        <w:pStyle w:val="2"/>
        <w:rPr>
          <w:rFonts w:hint="eastAsia" w:ascii="仿宋" w:hAnsi="仿宋" w:eastAsia="仿宋" w:cs="仿宋"/>
          <w:lang w:eastAsia="zh-CN"/>
        </w:rPr>
      </w:pPr>
    </w:p>
    <w:p w14:paraId="0E05C6EA">
      <w:pPr>
        <w:spacing w:line="600" w:lineRule="exact"/>
        <w:ind w:firstLine="640" w:firstLineChars="200"/>
        <w:outlineLvl w:val="1"/>
        <w:rPr>
          <w:rFonts w:hint="eastAsia" w:ascii="仿宋" w:hAnsi="仿宋" w:eastAsia="仿宋" w:cs="仿宋"/>
          <w:sz w:val="32"/>
          <w:szCs w:val="32"/>
          <w:lang w:eastAsia="zh-CN"/>
        </w:rPr>
      </w:pPr>
    </w:p>
    <w:p w14:paraId="3707B10A">
      <w:pPr>
        <w:spacing w:line="600" w:lineRule="exact"/>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图2：收入决算结构图</w:t>
      </w:r>
      <w:r>
        <w:rPr>
          <w:rFonts w:hint="eastAsia" w:ascii="仿宋" w:hAnsi="仿宋" w:eastAsia="仿宋" w:cs="仿宋"/>
          <w:sz w:val="32"/>
          <w:szCs w:val="32"/>
          <w:lang w:eastAsia="zh-CN"/>
        </w:rPr>
        <w:t>）</w:t>
      </w:r>
    </w:p>
    <w:p w14:paraId="4840A84E">
      <w:pPr>
        <w:pStyle w:val="26"/>
        <w:numPr>
          <w:ilvl w:val="0"/>
          <w:numId w:val="2"/>
        </w:numPr>
        <w:spacing w:line="600" w:lineRule="exact"/>
        <w:ind w:firstLineChars="0"/>
        <w:outlineLvl w:val="1"/>
        <w:rPr>
          <w:rFonts w:hint="eastAsia" w:ascii="黑体" w:hAnsi="黑体" w:eastAsia="黑体" w:cs="黑体"/>
          <w:kern w:val="2"/>
          <w:sz w:val="32"/>
          <w:szCs w:val="32"/>
          <w:lang w:val="en-US" w:eastAsia="zh-CN" w:bidi="ar-SA"/>
        </w:rPr>
      </w:pPr>
      <w:bookmarkStart w:id="25" w:name="_Toc15396605"/>
      <w:bookmarkStart w:id="26" w:name="_Toc15377207"/>
      <w:r>
        <w:rPr>
          <w:rFonts w:hint="eastAsia" w:ascii="黑体" w:hAnsi="黑体" w:eastAsia="黑体" w:cs="黑体"/>
          <w:kern w:val="2"/>
          <w:sz w:val="32"/>
          <w:szCs w:val="32"/>
          <w:lang w:val="en-US" w:eastAsia="zh-CN" w:bidi="ar-SA"/>
        </w:rPr>
        <w:t>支出决算情况说明</w:t>
      </w:r>
      <w:bookmarkEnd w:id="25"/>
      <w:bookmarkEnd w:id="26"/>
    </w:p>
    <w:p w14:paraId="5B009432">
      <w:pPr>
        <w:spacing w:line="600" w:lineRule="exact"/>
        <w:ind w:firstLine="640" w:firstLineChars="200"/>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2023年度本年支出合计724.26万元，其中：基本支出</w:t>
      </w:r>
      <w:bookmarkStart w:id="27" w:name="OLE_LINK2"/>
      <w:r>
        <w:rPr>
          <w:rFonts w:hint="eastAsia" w:ascii="仿宋" w:hAnsi="仿宋" w:eastAsia="仿宋" w:cs="仿宋"/>
          <w:kern w:val="2"/>
          <w:sz w:val="32"/>
          <w:szCs w:val="32"/>
          <w:lang w:val="en-US" w:eastAsia="zh-CN" w:bidi="ar-SA"/>
        </w:rPr>
        <w:t>647.73</w:t>
      </w:r>
      <w:bookmarkEnd w:id="27"/>
      <w:r>
        <w:rPr>
          <w:rFonts w:hint="eastAsia" w:ascii="仿宋" w:hAnsi="仿宋" w:eastAsia="仿宋" w:cs="仿宋"/>
          <w:kern w:val="2"/>
          <w:sz w:val="32"/>
          <w:szCs w:val="32"/>
          <w:lang w:val="en-US" w:eastAsia="zh-CN" w:bidi="ar-SA"/>
        </w:rPr>
        <w:t>万元，占89.43%；项目支出</w:t>
      </w:r>
      <w:bookmarkStart w:id="28" w:name="OLE_LINK3"/>
      <w:r>
        <w:rPr>
          <w:rFonts w:hint="eastAsia" w:ascii="仿宋" w:hAnsi="仿宋" w:eastAsia="仿宋" w:cs="仿宋"/>
          <w:kern w:val="2"/>
          <w:sz w:val="32"/>
          <w:szCs w:val="32"/>
          <w:lang w:val="en-US" w:eastAsia="zh-CN" w:bidi="ar-SA"/>
        </w:rPr>
        <w:t>76.53</w:t>
      </w:r>
      <w:bookmarkEnd w:id="28"/>
      <w:r>
        <w:rPr>
          <w:rFonts w:hint="eastAsia" w:ascii="仿宋" w:hAnsi="仿宋" w:eastAsia="仿宋" w:cs="仿宋"/>
          <w:kern w:val="2"/>
          <w:sz w:val="32"/>
          <w:szCs w:val="32"/>
          <w:lang w:val="en-US" w:eastAsia="zh-CN" w:bidi="ar-SA"/>
        </w:rPr>
        <w:t>万元，占10.57%。</w:t>
      </w:r>
    </w:p>
    <w:p w14:paraId="2C770771">
      <w:pPr>
        <w:spacing w:line="600" w:lineRule="exact"/>
        <w:ind w:firstLine="2569" w:firstLineChars="803"/>
        <w:rPr>
          <w:rFonts w:hint="eastAsia" w:ascii="仿宋" w:hAnsi="仿宋" w:eastAsia="仿宋" w:cs="仿宋"/>
          <w:sz w:val="32"/>
          <w:szCs w:val="32"/>
          <w:lang w:eastAsia="zh-CN"/>
        </w:rPr>
      </w:pPr>
      <w:r>
        <w:rPr>
          <w:rFonts w:hint="eastAsia" w:ascii="仿宋" w:hAnsi="仿宋" w:eastAsia="仿宋" w:cs="仿宋"/>
          <w:sz w:val="32"/>
          <w:szCs w:val="32"/>
          <w:shd w:val="pct10" w:color="auto" w:fill="FFFFFF"/>
          <w:lang w:eastAsia="zh-CN"/>
        </w:rPr>
        <w:drawing>
          <wp:anchor distT="0" distB="0" distL="114300" distR="114300" simplePos="0" relativeHeight="251660288" behindDoc="0" locked="0" layoutInCell="1" allowOverlap="1">
            <wp:simplePos x="0" y="0"/>
            <wp:positionH relativeFrom="column">
              <wp:posOffset>172720</wp:posOffset>
            </wp:positionH>
            <wp:positionV relativeFrom="paragraph">
              <wp:posOffset>261620</wp:posOffset>
            </wp:positionV>
            <wp:extent cx="5080000" cy="2561590"/>
            <wp:effectExtent l="4445" t="4445" r="20955" b="57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sz w:val="32"/>
          <w:szCs w:val="32"/>
          <w:lang w:eastAsia="zh-CN"/>
        </w:rPr>
        <w:t>（</w:t>
      </w:r>
      <w:r>
        <w:rPr>
          <w:rFonts w:hint="eastAsia" w:ascii="仿宋" w:hAnsi="仿宋" w:eastAsia="仿宋" w:cs="仿宋"/>
          <w:sz w:val="32"/>
          <w:szCs w:val="32"/>
        </w:rPr>
        <w:t>图3：支出决算结构图</w:t>
      </w:r>
      <w:r>
        <w:rPr>
          <w:rFonts w:hint="eastAsia" w:ascii="仿宋" w:hAnsi="仿宋" w:eastAsia="仿宋" w:cs="仿宋"/>
          <w:sz w:val="32"/>
          <w:szCs w:val="32"/>
          <w:lang w:eastAsia="zh-CN"/>
        </w:rPr>
        <w:t>）</w:t>
      </w:r>
    </w:p>
    <w:p w14:paraId="4BB8D575">
      <w:pPr>
        <w:spacing w:line="600" w:lineRule="exact"/>
        <w:ind w:firstLine="640" w:firstLineChars="200"/>
        <w:outlineLvl w:val="1"/>
        <w:rPr>
          <w:rStyle w:val="28"/>
          <w:rFonts w:hint="eastAsia" w:ascii="黑体" w:hAnsi="黑体" w:eastAsia="黑体" w:cs="黑体"/>
          <w:b w:val="0"/>
        </w:rPr>
      </w:pPr>
      <w:bookmarkStart w:id="29" w:name="_Toc15377208"/>
      <w:bookmarkStart w:id="30" w:name="_Toc15396606"/>
      <w:r>
        <w:rPr>
          <w:rFonts w:hint="eastAsia" w:ascii="黑体" w:hAnsi="黑体" w:eastAsia="黑体" w:cs="黑体"/>
          <w:sz w:val="32"/>
          <w:szCs w:val="32"/>
        </w:rPr>
        <w:t>四、财</w:t>
      </w:r>
      <w:r>
        <w:rPr>
          <w:rStyle w:val="28"/>
          <w:rFonts w:hint="eastAsia" w:ascii="黑体" w:hAnsi="黑体" w:eastAsia="黑体" w:cs="黑体"/>
          <w:b w:val="0"/>
        </w:rPr>
        <w:t>政拨款收入支出决算总体情况说明</w:t>
      </w:r>
      <w:bookmarkEnd w:id="29"/>
      <w:bookmarkEnd w:id="30"/>
    </w:p>
    <w:p w14:paraId="0896DD19">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2023年度财政拨款收、支总计均为</w:t>
      </w:r>
      <w:r>
        <w:rPr>
          <w:rFonts w:hint="eastAsia" w:ascii="仿宋" w:hAnsi="仿宋" w:eastAsia="仿宋" w:cs="仿宋"/>
          <w:b/>
          <w:sz w:val="32"/>
          <w:szCs w:val="32"/>
        </w:rPr>
        <w:t>724.26</w:t>
      </w:r>
      <w:r>
        <w:rPr>
          <w:rFonts w:hint="eastAsia" w:ascii="仿宋" w:hAnsi="仿宋" w:eastAsia="仿宋" w:cs="仿宋"/>
          <w:sz w:val="32"/>
          <w:szCs w:val="32"/>
        </w:rPr>
        <w:t>万元。与2022年度相比，财政拨款收、支总计各增加</w:t>
      </w:r>
      <w:r>
        <w:rPr>
          <w:rFonts w:hint="eastAsia" w:ascii="仿宋" w:hAnsi="仿宋" w:eastAsia="仿宋" w:cs="仿宋"/>
          <w:sz w:val="32"/>
          <w:szCs w:val="32"/>
          <w:lang w:val="en-US" w:eastAsia="zh-CN"/>
        </w:rPr>
        <w:t>29.24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4.2</w:t>
      </w:r>
      <w:r>
        <w:rPr>
          <w:rFonts w:hint="eastAsia" w:ascii="仿宋" w:hAnsi="仿宋" w:eastAsia="仿宋" w:cs="仿宋"/>
          <w:sz w:val="32"/>
          <w:szCs w:val="32"/>
        </w:rPr>
        <w:t>%。主要变动原因是</w:t>
      </w:r>
      <w:r>
        <w:rPr>
          <w:rFonts w:hint="eastAsia" w:ascii="仿宋" w:hAnsi="仿宋" w:eastAsia="仿宋" w:cs="仿宋"/>
          <w:sz w:val="32"/>
          <w:szCs w:val="32"/>
          <w:lang w:val="en-US" w:eastAsia="zh-CN"/>
        </w:rPr>
        <w:t>有项目支出结转结余。</w:t>
      </w:r>
    </w:p>
    <w:p w14:paraId="3B1A418E">
      <w:pPr>
        <w:spacing w:line="600" w:lineRule="exact"/>
        <w:ind w:firstLine="640"/>
        <w:rPr>
          <w:rFonts w:hint="eastAsia" w:ascii="仿宋" w:hAnsi="仿宋" w:eastAsia="仿宋" w:cs="仿宋"/>
          <w:b/>
          <w:sz w:val="32"/>
          <w:szCs w:val="32"/>
          <w:lang w:eastAsia="zh-CN"/>
        </w:rPr>
      </w:pPr>
      <w:r>
        <w:rPr>
          <w:rFonts w:hint="eastAsia" w:ascii="仿宋" w:hAnsi="仿宋" w:eastAsia="仿宋" w:cs="仿宋"/>
          <w:b/>
          <w:sz w:val="32"/>
          <w:szCs w:val="32"/>
          <w:lang w:eastAsia="zh-CN"/>
        </w:rPr>
        <w:drawing>
          <wp:anchor distT="0" distB="0" distL="114300" distR="114300" simplePos="0" relativeHeight="251661312" behindDoc="0" locked="0" layoutInCell="1" allowOverlap="1">
            <wp:simplePos x="0" y="0"/>
            <wp:positionH relativeFrom="column">
              <wp:posOffset>363220</wp:posOffset>
            </wp:positionH>
            <wp:positionV relativeFrom="paragraph">
              <wp:posOffset>189865</wp:posOffset>
            </wp:positionV>
            <wp:extent cx="5080000" cy="2085340"/>
            <wp:effectExtent l="4445" t="4445" r="20955" b="57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0D7F20A">
      <w:pPr>
        <w:spacing w:line="600" w:lineRule="exact"/>
        <w:rPr>
          <w:rFonts w:hint="eastAsia" w:ascii="仿宋" w:hAnsi="仿宋" w:eastAsia="仿宋" w:cs="仿宋"/>
          <w:sz w:val="32"/>
          <w:szCs w:val="32"/>
        </w:rPr>
      </w:pPr>
    </w:p>
    <w:p w14:paraId="148B339B">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p>
    <w:p w14:paraId="1EFD6786">
      <w:pPr>
        <w:spacing w:line="600" w:lineRule="exact"/>
        <w:ind w:firstLine="640" w:firstLineChars="200"/>
        <w:rPr>
          <w:rFonts w:hint="eastAsia" w:ascii="仿宋" w:hAnsi="仿宋" w:eastAsia="仿宋" w:cs="仿宋"/>
          <w:sz w:val="32"/>
          <w:szCs w:val="32"/>
        </w:rPr>
      </w:pPr>
    </w:p>
    <w:p w14:paraId="53BC100D">
      <w:pPr>
        <w:spacing w:line="600" w:lineRule="exact"/>
        <w:ind w:firstLine="640" w:firstLineChars="200"/>
        <w:rPr>
          <w:rFonts w:hint="eastAsia" w:ascii="仿宋" w:hAnsi="仿宋" w:eastAsia="仿宋" w:cs="仿宋"/>
          <w:sz w:val="32"/>
          <w:szCs w:val="32"/>
        </w:rPr>
      </w:pPr>
    </w:p>
    <w:p w14:paraId="01206D3A">
      <w:pPr>
        <w:spacing w:line="600" w:lineRule="exact"/>
        <w:ind w:firstLine="640" w:firstLineChars="200"/>
        <w:rPr>
          <w:rFonts w:hint="eastAsia" w:ascii="仿宋" w:hAnsi="仿宋" w:eastAsia="仿宋" w:cs="仿宋"/>
          <w:sz w:val="32"/>
          <w:szCs w:val="32"/>
        </w:rPr>
      </w:pPr>
    </w:p>
    <w:p w14:paraId="3A4C816B">
      <w:pPr>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图4：财政拨款收、支决算总计变动情况</w:t>
      </w:r>
      <w:r>
        <w:rPr>
          <w:rFonts w:hint="eastAsia" w:ascii="仿宋" w:hAnsi="仿宋" w:eastAsia="仿宋" w:cs="仿宋"/>
          <w:sz w:val="32"/>
          <w:szCs w:val="32"/>
          <w:lang w:eastAsia="zh-CN"/>
        </w:rPr>
        <w:t>）</w:t>
      </w:r>
    </w:p>
    <w:p w14:paraId="5D10734D">
      <w:pPr>
        <w:spacing w:line="600" w:lineRule="exact"/>
        <w:ind w:firstLine="640" w:firstLineChars="200"/>
        <w:outlineLvl w:val="1"/>
        <w:rPr>
          <w:rStyle w:val="28"/>
          <w:rFonts w:hint="eastAsia" w:ascii="黑体" w:hAnsi="黑体" w:eastAsia="黑体" w:cs="黑体"/>
          <w:b w:val="0"/>
        </w:rPr>
      </w:pPr>
      <w:bookmarkStart w:id="31" w:name="_Toc15377209"/>
      <w:bookmarkStart w:id="32" w:name="_Toc15396607"/>
      <w:r>
        <w:rPr>
          <w:rFonts w:hint="eastAsia" w:ascii="黑体" w:hAnsi="黑体" w:eastAsia="黑体" w:cs="黑体"/>
          <w:sz w:val="32"/>
          <w:szCs w:val="32"/>
        </w:rPr>
        <w:t>五、</w:t>
      </w:r>
      <w:r>
        <w:rPr>
          <w:rFonts w:hint="eastAsia" w:ascii="黑体" w:hAnsi="黑体" w:eastAsia="黑体" w:cs="黑体"/>
          <w:b/>
          <w:sz w:val="32"/>
          <w:szCs w:val="32"/>
        </w:rPr>
        <w:t>一</w:t>
      </w:r>
      <w:r>
        <w:rPr>
          <w:rStyle w:val="28"/>
          <w:rFonts w:hint="eastAsia" w:ascii="黑体" w:hAnsi="黑体" w:eastAsia="黑体" w:cs="黑体"/>
          <w:b w:val="0"/>
        </w:rPr>
        <w:t>般公共预算财政拨款支出决算情况说明</w:t>
      </w:r>
      <w:bookmarkEnd w:id="31"/>
      <w:bookmarkEnd w:id="32"/>
    </w:p>
    <w:p w14:paraId="62F0D6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 w:hAnsi="仿宋" w:eastAsia="仿宋" w:cs="仿宋"/>
          <w:b/>
          <w:sz w:val="32"/>
          <w:szCs w:val="32"/>
        </w:rPr>
      </w:pPr>
      <w:bookmarkStart w:id="33" w:name="_Toc15377210"/>
      <w:r>
        <w:rPr>
          <w:rFonts w:hint="eastAsia" w:ascii="仿宋" w:hAnsi="仿宋" w:eastAsia="仿宋" w:cs="仿宋"/>
          <w:b/>
          <w:sz w:val="32"/>
          <w:szCs w:val="32"/>
        </w:rPr>
        <w:t>（一）一般公共预算财政拨款支出决算总体情况</w:t>
      </w:r>
      <w:bookmarkEnd w:id="33"/>
    </w:p>
    <w:p w14:paraId="00A549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rPr>
        <w:t>2023年度一般公共预算财政拨款支出</w:t>
      </w:r>
      <w:r>
        <w:rPr>
          <w:rFonts w:hint="eastAsia" w:ascii="仿宋" w:hAnsi="仿宋" w:eastAsia="仿宋" w:cs="仿宋"/>
          <w:b w:val="0"/>
          <w:bCs/>
          <w:sz w:val="32"/>
          <w:szCs w:val="32"/>
        </w:rPr>
        <w:t>724.26</w:t>
      </w:r>
      <w:r>
        <w:rPr>
          <w:rFonts w:hint="eastAsia" w:ascii="仿宋" w:hAnsi="仿宋" w:eastAsia="仿宋" w:cs="仿宋"/>
          <w:sz w:val="32"/>
          <w:szCs w:val="32"/>
        </w:rPr>
        <w:t>万元，占本年支出合计的</w:t>
      </w:r>
      <w:r>
        <w:rPr>
          <w:rFonts w:hint="eastAsia" w:ascii="仿宋" w:hAnsi="仿宋" w:eastAsia="仿宋" w:cs="仿宋"/>
          <w:b w:val="0"/>
          <w:bCs/>
          <w:sz w:val="32"/>
          <w:szCs w:val="32"/>
        </w:rPr>
        <w:t>100</w:t>
      </w:r>
      <w:r>
        <w:rPr>
          <w:rFonts w:hint="eastAsia" w:ascii="仿宋" w:hAnsi="仿宋" w:eastAsia="仿宋" w:cs="仿宋"/>
          <w:sz w:val="32"/>
          <w:szCs w:val="32"/>
        </w:rPr>
        <w:t>%。与2022年度相比，一般公共预算财政拨款支出增加</w:t>
      </w:r>
      <w:r>
        <w:rPr>
          <w:rFonts w:hint="eastAsia" w:ascii="仿宋" w:hAnsi="仿宋" w:eastAsia="仿宋" w:cs="仿宋"/>
          <w:sz w:val="32"/>
          <w:szCs w:val="32"/>
          <w:lang w:val="en-US" w:eastAsia="zh-CN"/>
        </w:rPr>
        <w:t>29.24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4.2</w:t>
      </w:r>
      <w:r>
        <w:rPr>
          <w:rFonts w:hint="eastAsia" w:ascii="仿宋" w:hAnsi="仿宋" w:eastAsia="仿宋" w:cs="仿宋"/>
          <w:sz w:val="32"/>
          <w:szCs w:val="32"/>
        </w:rPr>
        <w:t>%。主要变动原因是</w:t>
      </w:r>
      <w:r>
        <w:rPr>
          <w:rFonts w:hint="eastAsia" w:ascii="仿宋" w:hAnsi="仿宋" w:eastAsia="仿宋" w:cs="仿宋"/>
          <w:sz w:val="32"/>
          <w:szCs w:val="32"/>
          <w:lang w:val="en-US" w:eastAsia="zh-CN"/>
        </w:rPr>
        <w:t>有项目支出结转结余</w:t>
      </w:r>
      <w:r>
        <w:rPr>
          <w:rStyle w:val="17"/>
          <w:rFonts w:hint="eastAsia" w:ascii="仿宋" w:hAnsi="仿宋" w:eastAsia="仿宋" w:cs="仿宋"/>
          <w:b w:val="0"/>
          <w:bCs w:val="0"/>
          <w:color w:val="auto"/>
          <w:sz w:val="32"/>
          <w:szCs w:val="32"/>
          <w:lang w:val="en-US" w:eastAsia="zh-CN"/>
        </w:rPr>
        <w:t>。</w:t>
      </w:r>
    </w:p>
    <w:p w14:paraId="2DB51AE7">
      <w:pPr>
        <w:pStyle w:val="2"/>
        <w:keepNext/>
        <w:keepLines/>
        <w:pageBreakBefore w:val="0"/>
        <w:widowControl w:val="0"/>
        <w:kinsoku/>
        <w:wordWrap/>
        <w:overflowPunct/>
        <w:topLinePunct w:val="0"/>
        <w:autoSpaceDE/>
        <w:autoSpaceDN/>
        <w:bidi w:val="0"/>
        <w:adjustRightInd/>
        <w:snapToGrid/>
        <w:spacing w:before="160" w:line="377" w:lineRule="auto"/>
        <w:textAlignment w:val="auto"/>
        <w:rPr>
          <w:rFonts w:hint="eastAsia" w:ascii="仿宋" w:hAnsi="仿宋" w:eastAsia="仿宋" w:cs="仿宋"/>
          <w:b w:val="0"/>
          <w:kern w:val="2"/>
          <w:sz w:val="30"/>
          <w:szCs w:val="30"/>
          <w:lang w:val="en-US" w:eastAsia="zh-CN" w:bidi="ar-SA"/>
        </w:rPr>
      </w:pPr>
      <w:r>
        <w:rPr>
          <w:rStyle w:val="17"/>
          <w:rFonts w:hint="eastAsia" w:ascii="仿宋" w:hAnsi="仿宋" w:eastAsia="仿宋" w:cs="仿宋"/>
          <w:b w:val="0"/>
          <w:bCs w:val="0"/>
          <w:color w:val="auto"/>
          <w:sz w:val="32"/>
          <w:szCs w:val="32"/>
          <w:lang w:val="en-US" w:eastAsia="zh-CN"/>
        </w:rPr>
        <w:drawing>
          <wp:anchor distT="0" distB="0" distL="114300" distR="114300" simplePos="0" relativeHeight="251662336" behindDoc="0" locked="0" layoutInCell="1" allowOverlap="1">
            <wp:simplePos x="0" y="0"/>
            <wp:positionH relativeFrom="column">
              <wp:posOffset>315595</wp:posOffset>
            </wp:positionH>
            <wp:positionV relativeFrom="paragraph">
              <wp:posOffset>67310</wp:posOffset>
            </wp:positionV>
            <wp:extent cx="5080000" cy="1506220"/>
            <wp:effectExtent l="4445" t="4445" r="5715" b="1333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Style w:val="17"/>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kern w:val="2"/>
          <w:sz w:val="30"/>
          <w:szCs w:val="30"/>
          <w:lang w:val="en-US" w:eastAsia="zh-CN" w:bidi="ar-SA"/>
        </w:rPr>
        <w:t>图5：一般公共预算财政拨款支出决算变动情况）</w:t>
      </w:r>
    </w:p>
    <w:p w14:paraId="336F4238">
      <w:pPr>
        <w:spacing w:line="600" w:lineRule="exact"/>
        <w:ind w:firstLine="643" w:firstLineChars="200"/>
        <w:outlineLvl w:val="2"/>
        <w:rPr>
          <w:rFonts w:hint="eastAsia" w:ascii="仿宋" w:hAnsi="仿宋" w:eastAsia="仿宋" w:cs="仿宋"/>
          <w:b/>
          <w:sz w:val="32"/>
          <w:szCs w:val="32"/>
        </w:rPr>
      </w:pPr>
      <w:bookmarkStart w:id="34" w:name="_Toc15377211"/>
      <w:r>
        <w:rPr>
          <w:rFonts w:hint="eastAsia" w:ascii="仿宋" w:hAnsi="仿宋" w:eastAsia="仿宋" w:cs="仿宋"/>
          <w:b/>
          <w:sz w:val="32"/>
          <w:szCs w:val="32"/>
        </w:rPr>
        <w:t>（二）一般公共预算财政拨款支出决算结构情况</w:t>
      </w:r>
      <w:bookmarkEnd w:id="34"/>
    </w:p>
    <w:p w14:paraId="106BF766">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2023年度一般公共预算财政拨款支出724.26万元，主要用于以下方面:教育支出</w:t>
      </w:r>
      <w:r>
        <w:rPr>
          <w:rFonts w:hint="eastAsia" w:ascii="仿宋" w:hAnsi="仿宋" w:eastAsia="仿宋" w:cs="仿宋"/>
          <w:b w:val="0"/>
          <w:bCs w:val="0"/>
          <w:sz w:val="32"/>
          <w:szCs w:val="32"/>
          <w:lang w:val="en-US" w:eastAsia="zh-CN"/>
        </w:rPr>
        <w:t>516.41</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71.3</w:t>
      </w:r>
      <w:r>
        <w:rPr>
          <w:rFonts w:hint="eastAsia" w:ascii="仿宋" w:hAnsi="仿宋" w:eastAsia="仿宋" w:cs="仿宋"/>
          <w:b w:val="0"/>
          <w:bCs w:val="0"/>
          <w:sz w:val="32"/>
          <w:szCs w:val="32"/>
        </w:rPr>
        <w:t>%；社会保障和就业支出</w:t>
      </w:r>
      <w:r>
        <w:rPr>
          <w:rFonts w:hint="eastAsia" w:ascii="仿宋" w:hAnsi="仿宋" w:eastAsia="仿宋" w:cs="仿宋"/>
          <w:b w:val="0"/>
          <w:bCs w:val="0"/>
          <w:sz w:val="32"/>
          <w:szCs w:val="32"/>
          <w:lang w:val="en-US" w:eastAsia="zh-CN"/>
        </w:rPr>
        <w:t>136.89</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18.9</w:t>
      </w:r>
      <w:r>
        <w:rPr>
          <w:rFonts w:hint="eastAsia" w:ascii="仿宋" w:hAnsi="仿宋" w:eastAsia="仿宋" w:cs="仿宋"/>
          <w:b w:val="0"/>
          <w:bCs w:val="0"/>
          <w:sz w:val="32"/>
          <w:szCs w:val="32"/>
        </w:rPr>
        <w:t>%；卫生健康支出</w:t>
      </w:r>
      <w:r>
        <w:rPr>
          <w:rFonts w:hint="eastAsia" w:ascii="仿宋" w:hAnsi="仿宋" w:eastAsia="仿宋" w:cs="仿宋"/>
          <w:b w:val="0"/>
          <w:bCs w:val="0"/>
          <w:sz w:val="32"/>
          <w:szCs w:val="32"/>
          <w:lang w:val="en-US" w:eastAsia="zh-CN"/>
        </w:rPr>
        <w:t>34.67</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4.8</w:t>
      </w:r>
      <w:r>
        <w:rPr>
          <w:rFonts w:hint="eastAsia" w:ascii="仿宋" w:hAnsi="仿宋" w:eastAsia="仿宋" w:cs="仿宋"/>
          <w:b w:val="0"/>
          <w:bCs w:val="0"/>
          <w:sz w:val="32"/>
          <w:szCs w:val="32"/>
        </w:rPr>
        <w:t>%；住房保障支出</w:t>
      </w:r>
      <w:r>
        <w:rPr>
          <w:rFonts w:hint="eastAsia" w:ascii="仿宋" w:hAnsi="仿宋" w:eastAsia="仿宋" w:cs="仿宋"/>
          <w:b w:val="0"/>
          <w:bCs w:val="0"/>
          <w:sz w:val="32"/>
          <w:szCs w:val="32"/>
          <w:lang w:val="en-US" w:eastAsia="zh-CN"/>
        </w:rPr>
        <w:t>36.28</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w:t>
      </w:r>
    </w:p>
    <w:p w14:paraId="3C666ADC">
      <w:pPr>
        <w:spacing w:line="600" w:lineRule="exact"/>
        <w:ind w:firstLine="640"/>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drawing>
          <wp:anchor distT="0" distB="0" distL="114300" distR="114300" simplePos="0" relativeHeight="251663360" behindDoc="0" locked="0" layoutInCell="1" allowOverlap="1">
            <wp:simplePos x="0" y="0"/>
            <wp:positionH relativeFrom="column">
              <wp:posOffset>439420</wp:posOffset>
            </wp:positionH>
            <wp:positionV relativeFrom="paragraph">
              <wp:posOffset>142240</wp:posOffset>
            </wp:positionV>
            <wp:extent cx="4651375" cy="1896110"/>
            <wp:effectExtent l="4445" t="4445" r="11430" b="234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s="仿宋"/>
          <w:sz w:val="32"/>
          <w:szCs w:val="32"/>
        </w:rPr>
        <w:t>（图6：一般公共预算财政拨款支出决算结构</w:t>
      </w:r>
      <w:r>
        <w:rPr>
          <w:rFonts w:hint="eastAsia" w:ascii="仿宋" w:hAnsi="仿宋" w:eastAsia="仿宋" w:cs="仿宋"/>
          <w:sz w:val="32"/>
          <w:szCs w:val="32"/>
          <w:lang w:eastAsia="zh-CN"/>
        </w:rPr>
        <w:t>）</w:t>
      </w:r>
    </w:p>
    <w:p w14:paraId="6CEF9279">
      <w:pPr>
        <w:spacing w:line="600" w:lineRule="exact"/>
        <w:ind w:firstLine="640" w:firstLineChars="200"/>
        <w:rPr>
          <w:rFonts w:hint="eastAsia" w:ascii="仿宋" w:hAnsi="仿宋" w:eastAsia="仿宋" w:cs="仿宋"/>
          <w:sz w:val="32"/>
          <w:szCs w:val="32"/>
        </w:rPr>
      </w:pPr>
    </w:p>
    <w:p w14:paraId="382A0EAA">
      <w:pPr>
        <w:spacing w:line="600" w:lineRule="exact"/>
        <w:ind w:firstLine="643" w:firstLineChars="200"/>
        <w:outlineLvl w:val="2"/>
        <w:rPr>
          <w:rFonts w:hint="eastAsia" w:ascii="仿宋" w:hAnsi="仿宋" w:eastAsia="仿宋" w:cs="仿宋"/>
          <w:b/>
          <w:sz w:val="32"/>
          <w:szCs w:val="32"/>
        </w:rPr>
      </w:pPr>
      <w:bookmarkStart w:id="35" w:name="_Toc15377212"/>
      <w:r>
        <w:rPr>
          <w:rFonts w:hint="eastAsia" w:ascii="仿宋" w:hAnsi="仿宋" w:eastAsia="仿宋" w:cs="仿宋"/>
          <w:b/>
          <w:sz w:val="32"/>
          <w:szCs w:val="32"/>
        </w:rPr>
        <w:t>（三）一般公共预算财政拨款支出决算具体情况</w:t>
      </w:r>
      <w:bookmarkEnd w:id="35"/>
    </w:p>
    <w:p w14:paraId="4A97D209">
      <w:pPr>
        <w:spacing w:line="600" w:lineRule="exact"/>
        <w:ind w:firstLine="640" w:firstLineChars="200"/>
        <w:outlineLvl w:val="2"/>
        <w:rPr>
          <w:rFonts w:hint="eastAsia" w:ascii="仿宋" w:hAnsi="仿宋" w:eastAsia="仿宋" w:cs="仿宋"/>
          <w:b w:val="0"/>
          <w:bCs/>
          <w:sz w:val="32"/>
          <w:szCs w:val="32"/>
        </w:rPr>
      </w:pPr>
      <w:bookmarkStart w:id="36" w:name="_Toc15378460"/>
      <w:bookmarkStart w:id="37" w:name="_Toc15377444"/>
      <w:bookmarkStart w:id="38" w:name="_Toc15377213"/>
      <w:r>
        <w:rPr>
          <w:rFonts w:hint="eastAsia" w:ascii="仿宋" w:hAnsi="仿宋" w:eastAsia="仿宋" w:cs="仿宋"/>
          <w:b w:val="0"/>
          <w:bCs/>
          <w:sz w:val="32"/>
          <w:szCs w:val="32"/>
        </w:rPr>
        <w:t>2023年度一般公共预算支出决算数为724.26，</w:t>
      </w:r>
      <w:r>
        <w:rPr>
          <w:rStyle w:val="17"/>
          <w:rFonts w:hint="eastAsia" w:ascii="仿宋" w:hAnsi="仿宋" w:eastAsia="仿宋" w:cs="仿宋"/>
          <w:b w:val="0"/>
          <w:bCs/>
          <w:sz w:val="32"/>
          <w:szCs w:val="32"/>
        </w:rPr>
        <w:t>完成预算</w:t>
      </w:r>
      <w:r>
        <w:rPr>
          <w:rStyle w:val="17"/>
          <w:rFonts w:hint="eastAsia" w:ascii="仿宋" w:hAnsi="仿宋" w:eastAsia="仿宋" w:cs="仿宋"/>
          <w:b w:val="0"/>
          <w:bCs/>
          <w:sz w:val="32"/>
          <w:szCs w:val="32"/>
          <w:lang w:val="en-US" w:eastAsia="zh-CN"/>
        </w:rPr>
        <w:t>100</w:t>
      </w:r>
      <w:r>
        <w:rPr>
          <w:rStyle w:val="17"/>
          <w:rFonts w:hint="eastAsia" w:ascii="仿宋" w:hAnsi="仿宋" w:eastAsia="仿宋" w:cs="仿宋"/>
          <w:b w:val="0"/>
          <w:bCs/>
          <w:sz w:val="32"/>
          <w:szCs w:val="32"/>
        </w:rPr>
        <w:t>%。其中：</w:t>
      </w:r>
      <w:bookmarkEnd w:id="36"/>
      <w:bookmarkEnd w:id="37"/>
      <w:bookmarkEnd w:id="38"/>
    </w:p>
    <w:p w14:paraId="0460C8EB">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lang w:val="en-US" w:eastAsia="zh-CN"/>
        </w:rPr>
      </w:pPr>
      <w:r>
        <w:rPr>
          <w:rStyle w:val="17"/>
          <w:rFonts w:hint="eastAsia" w:ascii="仿宋" w:hAnsi="仿宋" w:eastAsia="仿宋" w:cs="仿宋"/>
          <w:b w:val="0"/>
          <w:bCs/>
          <w:sz w:val="32"/>
          <w:szCs w:val="32"/>
          <w:lang w:val="en-US" w:eastAsia="zh-CN"/>
        </w:rPr>
        <w:t>1.</w:t>
      </w:r>
      <w:r>
        <w:rPr>
          <w:rStyle w:val="17"/>
          <w:rFonts w:hint="eastAsia" w:ascii="仿宋" w:hAnsi="仿宋" w:eastAsia="仿宋" w:cs="仿宋"/>
          <w:b w:val="0"/>
          <w:bCs/>
          <w:sz w:val="32"/>
          <w:szCs w:val="32"/>
        </w:rPr>
        <w:t>教育（</w:t>
      </w:r>
      <w:r>
        <w:rPr>
          <w:rStyle w:val="17"/>
          <w:rFonts w:hint="eastAsia" w:ascii="仿宋" w:hAnsi="仿宋" w:eastAsia="仿宋" w:cs="仿宋"/>
          <w:b w:val="0"/>
          <w:bCs/>
          <w:sz w:val="32"/>
          <w:szCs w:val="32"/>
          <w:lang w:val="en-US" w:eastAsia="zh-CN"/>
        </w:rPr>
        <w:t>205</w:t>
      </w:r>
      <w:r>
        <w:rPr>
          <w:rStyle w:val="17"/>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普通教育（02）学前教育（01）</w:t>
      </w:r>
      <w:r>
        <w:rPr>
          <w:rStyle w:val="17"/>
          <w:rFonts w:hint="eastAsia" w:ascii="仿宋" w:hAnsi="仿宋" w:eastAsia="仿宋" w:cs="仿宋"/>
          <w:b w:val="0"/>
          <w:bCs/>
          <w:sz w:val="32"/>
          <w:szCs w:val="32"/>
        </w:rPr>
        <w:t>: 支出决算为74.31万元，完成预算</w:t>
      </w:r>
      <w:r>
        <w:rPr>
          <w:rStyle w:val="17"/>
          <w:rFonts w:hint="eastAsia" w:ascii="仿宋" w:hAnsi="仿宋" w:eastAsia="仿宋" w:cs="仿宋"/>
          <w:b w:val="0"/>
          <w:bCs/>
          <w:sz w:val="32"/>
          <w:szCs w:val="32"/>
          <w:lang w:val="en-US" w:eastAsia="zh-CN"/>
        </w:rPr>
        <w:t>100</w:t>
      </w:r>
      <w:r>
        <w:rPr>
          <w:rStyle w:val="17"/>
          <w:rFonts w:hint="eastAsia" w:ascii="仿宋" w:hAnsi="仿宋" w:eastAsia="仿宋" w:cs="仿宋"/>
          <w:b w:val="0"/>
          <w:bCs/>
          <w:sz w:val="32"/>
          <w:szCs w:val="32"/>
        </w:rPr>
        <w:t>%</w:t>
      </w:r>
      <w:r>
        <w:rPr>
          <w:rStyle w:val="17"/>
          <w:rFonts w:hint="eastAsia" w:ascii="仿宋" w:hAnsi="仿宋" w:eastAsia="仿宋" w:cs="仿宋"/>
          <w:b w:val="0"/>
          <w:bCs/>
          <w:sz w:val="32"/>
          <w:szCs w:val="32"/>
          <w:lang w:eastAsia="zh-CN"/>
        </w:rPr>
        <w:t>。</w:t>
      </w:r>
    </w:p>
    <w:p w14:paraId="7A6E7BF4">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cs="仿宋"/>
          <w:b w:val="0"/>
          <w:bCs/>
          <w:sz w:val="32"/>
          <w:szCs w:val="32"/>
          <w:lang w:val="en-US" w:eastAsia="zh-CN"/>
        </w:rPr>
      </w:pPr>
      <w:r>
        <w:rPr>
          <w:rStyle w:val="17"/>
          <w:rFonts w:hint="eastAsia" w:ascii="仿宋" w:hAnsi="仿宋" w:eastAsia="仿宋" w:cs="仿宋"/>
          <w:b w:val="0"/>
          <w:bCs/>
          <w:sz w:val="32"/>
          <w:szCs w:val="32"/>
          <w:lang w:val="en-US" w:eastAsia="zh-CN"/>
        </w:rPr>
        <w:t>2.教育（205）普通教育（02）小学教育（02）：支出决算为42.30万元，完成预算100%。</w:t>
      </w:r>
    </w:p>
    <w:p w14:paraId="4612385B">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cs="仿宋"/>
          <w:b w:val="0"/>
          <w:bCs/>
          <w:sz w:val="32"/>
          <w:szCs w:val="32"/>
          <w:lang w:val="en-US" w:eastAsia="zh-CN"/>
        </w:rPr>
      </w:pPr>
      <w:r>
        <w:rPr>
          <w:rStyle w:val="17"/>
          <w:rFonts w:hint="eastAsia" w:ascii="仿宋" w:hAnsi="仿宋" w:eastAsia="仿宋" w:cs="仿宋"/>
          <w:b w:val="0"/>
          <w:bCs/>
          <w:sz w:val="32"/>
          <w:szCs w:val="32"/>
          <w:lang w:val="en-US" w:eastAsia="zh-CN"/>
        </w:rPr>
        <w:t>3.教育（205）普通教育（02）初中教育（03）: 支出决算为399.80万元，完成预算100%。</w:t>
      </w:r>
    </w:p>
    <w:p w14:paraId="47407F5B">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cs="仿宋"/>
          <w:b w:val="0"/>
          <w:bCs/>
          <w:sz w:val="32"/>
          <w:szCs w:val="32"/>
          <w:lang w:val="en-US" w:eastAsia="zh-CN"/>
        </w:rPr>
      </w:pPr>
      <w:r>
        <w:rPr>
          <w:rStyle w:val="17"/>
          <w:rFonts w:hint="eastAsia" w:ascii="仿宋" w:hAnsi="仿宋" w:eastAsia="仿宋" w:cs="仿宋"/>
          <w:b w:val="0"/>
          <w:bCs/>
          <w:sz w:val="32"/>
          <w:szCs w:val="32"/>
          <w:lang w:val="en-US" w:eastAsia="zh-CN"/>
        </w:rPr>
        <w:t>4.社会保障和就业（208）行政事业单位养老支出（05） 事业单位离退休（02）：支出决算为11.61万元，完成预算100%。</w:t>
      </w:r>
    </w:p>
    <w:p w14:paraId="41B80738">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cs="仿宋"/>
          <w:b w:val="0"/>
          <w:bCs/>
          <w:sz w:val="32"/>
          <w:szCs w:val="32"/>
          <w:lang w:val="en-US" w:eastAsia="zh-CN"/>
        </w:rPr>
      </w:pPr>
      <w:r>
        <w:rPr>
          <w:rStyle w:val="17"/>
          <w:rFonts w:hint="eastAsia" w:ascii="仿宋" w:hAnsi="仿宋" w:eastAsia="仿宋" w:cs="仿宋"/>
          <w:b w:val="0"/>
          <w:bCs/>
          <w:sz w:val="32"/>
          <w:szCs w:val="32"/>
          <w:lang w:val="en-US" w:eastAsia="zh-CN"/>
        </w:rPr>
        <w:t>5.社会保障和就业（208）行政事业单位养老支出（05） 机关事业单位基本养老保险缴费支出（05）：支出决算为26.64万元，完成预算100%。</w:t>
      </w:r>
    </w:p>
    <w:p w14:paraId="622DEB8C">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cs="仿宋"/>
          <w:b w:val="0"/>
          <w:bCs/>
          <w:sz w:val="32"/>
          <w:szCs w:val="32"/>
          <w:lang w:val="en-US" w:eastAsia="zh-CN"/>
        </w:rPr>
      </w:pPr>
      <w:r>
        <w:rPr>
          <w:rStyle w:val="17"/>
          <w:rFonts w:hint="eastAsia" w:ascii="仿宋" w:hAnsi="仿宋" w:eastAsia="仿宋" w:cs="仿宋"/>
          <w:b w:val="0"/>
          <w:bCs/>
          <w:sz w:val="32"/>
          <w:szCs w:val="32"/>
          <w:lang w:val="en-US" w:eastAsia="zh-CN"/>
        </w:rPr>
        <w:t>6.社会保障和就业（208）行政事业单位养老支出（05） 机关事业单位职业年金缴费支出（06）：支出决算为6.28万元，完成预算100%。</w:t>
      </w:r>
    </w:p>
    <w:p w14:paraId="771214A3">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cs="仿宋"/>
          <w:b w:val="0"/>
          <w:bCs/>
          <w:sz w:val="32"/>
          <w:szCs w:val="32"/>
          <w:lang w:val="en-US" w:eastAsia="zh-CN"/>
        </w:rPr>
      </w:pPr>
      <w:r>
        <w:rPr>
          <w:rStyle w:val="17"/>
          <w:rFonts w:hint="eastAsia" w:ascii="仿宋" w:hAnsi="仿宋" w:eastAsia="仿宋" w:cs="仿宋"/>
          <w:b w:val="0"/>
          <w:bCs/>
          <w:sz w:val="32"/>
          <w:szCs w:val="32"/>
          <w:lang w:val="en-US" w:eastAsia="zh-CN"/>
        </w:rPr>
        <w:t>7.社会保障和就业（208）行政事业单位养老支出（05） 其他行政事业单位养老支出（99）：支出决算为81.91万元，完成预算100%。</w:t>
      </w:r>
    </w:p>
    <w:p w14:paraId="6AC8CFCE">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Style w:val="17"/>
          <w:rFonts w:hint="eastAsia" w:ascii="仿宋" w:hAnsi="仿宋" w:eastAsia="仿宋" w:cs="仿宋"/>
          <w:b w:val="0"/>
          <w:bCs/>
          <w:sz w:val="32"/>
          <w:szCs w:val="32"/>
          <w:lang w:val="en-US" w:eastAsia="zh-CN"/>
        </w:rPr>
        <w:t>8.社会保障和就业（208）抚恤（08）死亡抚恤（01）：</w:t>
      </w:r>
      <w:r>
        <w:rPr>
          <w:rStyle w:val="17"/>
          <w:rFonts w:hint="eastAsia" w:ascii="仿宋" w:hAnsi="仿宋" w:eastAsia="仿宋" w:cs="仿宋"/>
          <w:b w:val="0"/>
          <w:bCs/>
          <w:kern w:val="2"/>
          <w:sz w:val="32"/>
          <w:szCs w:val="32"/>
          <w:lang w:val="en-US" w:eastAsia="zh-CN" w:bidi="ar-SA"/>
        </w:rPr>
        <w:t>支出决算为</w:t>
      </w:r>
      <w:r>
        <w:rPr>
          <w:rFonts w:hint="eastAsia" w:ascii="仿宋" w:hAnsi="仿宋" w:eastAsia="仿宋" w:cs="仿宋"/>
          <w:sz w:val="32"/>
          <w:szCs w:val="32"/>
          <w:lang w:val="en-US" w:eastAsia="zh-CN"/>
        </w:rPr>
        <w:t>10.12</w:t>
      </w:r>
      <w:r>
        <w:rPr>
          <w:rStyle w:val="17"/>
          <w:rFonts w:hint="eastAsia" w:ascii="仿宋" w:hAnsi="仿宋" w:eastAsia="仿宋" w:cs="仿宋"/>
          <w:b w:val="0"/>
          <w:bCs/>
          <w:kern w:val="2"/>
          <w:sz w:val="32"/>
          <w:szCs w:val="32"/>
          <w:lang w:val="en-US" w:eastAsia="zh-CN" w:bidi="ar-SA"/>
        </w:rPr>
        <w:t>万元，完成预算100%。</w:t>
      </w:r>
    </w:p>
    <w:p w14:paraId="4C7D2CBE">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Style w:val="17"/>
          <w:rFonts w:hint="eastAsia" w:ascii="仿宋" w:hAnsi="仿宋" w:eastAsia="仿宋" w:cs="仿宋"/>
          <w:b w:val="0"/>
          <w:bCs/>
          <w:kern w:val="2"/>
          <w:sz w:val="32"/>
          <w:szCs w:val="32"/>
          <w:lang w:val="en-US" w:eastAsia="zh-CN" w:bidi="ar-SA"/>
        </w:rPr>
        <w:t>9.</w:t>
      </w:r>
      <w:r>
        <w:rPr>
          <w:rStyle w:val="17"/>
          <w:rFonts w:hint="eastAsia" w:ascii="仿宋" w:hAnsi="仿宋" w:eastAsia="仿宋" w:cs="仿宋"/>
          <w:b w:val="0"/>
          <w:bCs/>
          <w:sz w:val="32"/>
          <w:szCs w:val="32"/>
          <w:lang w:val="en-US" w:eastAsia="zh-CN"/>
        </w:rPr>
        <w:t>社会保障和就业（208）其他社会保障和就业支出（99）其他社会保障和就业支出（99）：</w:t>
      </w:r>
      <w:r>
        <w:rPr>
          <w:rStyle w:val="17"/>
          <w:rFonts w:hint="eastAsia" w:ascii="仿宋" w:hAnsi="仿宋" w:eastAsia="仿宋" w:cs="仿宋"/>
          <w:b w:val="0"/>
          <w:bCs/>
          <w:kern w:val="2"/>
          <w:sz w:val="32"/>
          <w:szCs w:val="32"/>
          <w:lang w:val="en-US" w:eastAsia="zh-CN" w:bidi="ar-SA"/>
        </w:rPr>
        <w:t>支出决算为</w:t>
      </w:r>
      <w:r>
        <w:rPr>
          <w:rFonts w:hint="eastAsia" w:ascii="仿宋" w:hAnsi="仿宋" w:eastAsia="仿宋" w:cs="仿宋"/>
          <w:sz w:val="32"/>
          <w:szCs w:val="32"/>
          <w:lang w:val="en-US" w:eastAsia="zh-CN"/>
        </w:rPr>
        <w:t>0.34</w:t>
      </w:r>
      <w:r>
        <w:rPr>
          <w:rStyle w:val="17"/>
          <w:rFonts w:hint="eastAsia" w:ascii="仿宋" w:hAnsi="仿宋" w:eastAsia="仿宋" w:cs="仿宋"/>
          <w:b w:val="0"/>
          <w:bCs/>
          <w:kern w:val="2"/>
          <w:sz w:val="32"/>
          <w:szCs w:val="32"/>
          <w:lang w:val="en-US" w:eastAsia="zh-CN" w:bidi="ar-SA"/>
        </w:rPr>
        <w:t>万元，完成预算100%。</w:t>
      </w:r>
    </w:p>
    <w:p w14:paraId="3E5B3E50">
      <w:pPr>
        <w:ind w:firstLine="640"/>
        <w:rPr>
          <w:rFonts w:hint="eastAsia" w:ascii="仿宋" w:hAnsi="仿宋" w:eastAsia="仿宋" w:cs="仿宋"/>
          <w:sz w:val="32"/>
          <w:szCs w:val="32"/>
          <w:lang w:val="en-US" w:eastAsia="zh-CN"/>
        </w:rPr>
      </w:pPr>
      <w:r>
        <w:rPr>
          <w:rStyle w:val="17"/>
          <w:rFonts w:hint="eastAsia" w:ascii="仿宋" w:hAnsi="仿宋" w:eastAsia="仿宋" w:cs="仿宋"/>
          <w:b w:val="0"/>
          <w:bCs/>
          <w:kern w:val="2"/>
          <w:sz w:val="32"/>
          <w:szCs w:val="32"/>
          <w:lang w:val="en-US" w:eastAsia="zh-CN" w:bidi="ar-SA"/>
        </w:rPr>
        <w:t>10.</w:t>
      </w:r>
      <w:r>
        <w:rPr>
          <w:rFonts w:hint="eastAsia" w:ascii="仿宋" w:hAnsi="仿宋" w:eastAsia="仿宋" w:cs="仿宋"/>
          <w:sz w:val="32"/>
          <w:szCs w:val="32"/>
          <w:lang w:val="en-US" w:eastAsia="zh-CN"/>
        </w:rPr>
        <w:t>卫生健康（210）行政事业单位医疗（11）事业单位医疗（02）:支出决算为34.67万元，完成预算100%。</w:t>
      </w:r>
    </w:p>
    <w:p w14:paraId="2477E552">
      <w:pPr>
        <w:ind w:firstLine="640"/>
        <w:rPr>
          <w:rStyle w:val="17"/>
          <w:rFonts w:hint="eastAsia" w:ascii="仿宋" w:hAnsi="仿宋" w:eastAsia="仿宋" w:cs="仿宋"/>
          <w:b w:val="0"/>
          <w:bCs/>
          <w:kern w:val="2"/>
          <w:sz w:val="32"/>
          <w:szCs w:val="32"/>
          <w:lang w:val="en-US" w:eastAsia="zh-CN" w:bidi="ar-SA"/>
        </w:rPr>
      </w:pPr>
      <w:r>
        <w:rPr>
          <w:rStyle w:val="17"/>
          <w:rFonts w:hint="eastAsia" w:ascii="仿宋" w:hAnsi="仿宋" w:eastAsia="仿宋" w:cs="仿宋"/>
          <w:b w:val="0"/>
          <w:bCs/>
          <w:kern w:val="2"/>
          <w:sz w:val="32"/>
          <w:szCs w:val="32"/>
          <w:lang w:val="en-US" w:eastAsia="zh-CN" w:bidi="ar-SA"/>
        </w:rPr>
        <w:t>11.住房保障支出（221）住房改革支出（02）住房公积金（01）:支出决算为36.28万元，完成预算100%。</w:t>
      </w:r>
    </w:p>
    <w:p w14:paraId="4BC7733B">
      <w:pPr>
        <w:pStyle w:val="2"/>
        <w:rPr>
          <w:rFonts w:hint="eastAsia"/>
          <w:lang w:val="en-US" w:eastAsia="zh-CN"/>
        </w:rPr>
      </w:pPr>
    </w:p>
    <w:p w14:paraId="70F018BE">
      <w:pPr>
        <w:tabs>
          <w:tab w:val="right" w:pos="8306"/>
        </w:tabs>
        <w:spacing w:line="600" w:lineRule="exact"/>
        <w:ind w:firstLine="640"/>
        <w:outlineLvl w:val="1"/>
        <w:rPr>
          <w:rStyle w:val="28"/>
          <w:rFonts w:hint="eastAsia" w:ascii="仿宋" w:hAnsi="仿宋" w:eastAsia="仿宋" w:cs="仿宋"/>
        </w:rPr>
      </w:pPr>
      <w:bookmarkStart w:id="39" w:name="_Toc15396608"/>
      <w:bookmarkStart w:id="40" w:name="_Toc15377214"/>
      <w:r>
        <w:rPr>
          <w:rFonts w:hint="eastAsia" w:ascii="黑体" w:hAnsi="黑体" w:eastAsia="黑体" w:cs="黑体"/>
          <w:sz w:val="32"/>
          <w:szCs w:val="32"/>
        </w:rPr>
        <w:t>六</w:t>
      </w:r>
      <w:r>
        <w:rPr>
          <w:rFonts w:hint="eastAsia" w:ascii="黑体" w:hAnsi="黑体" w:eastAsia="黑体" w:cs="黑体"/>
          <w:b/>
          <w:sz w:val="32"/>
          <w:szCs w:val="32"/>
        </w:rPr>
        <w:t>、一</w:t>
      </w:r>
      <w:r>
        <w:rPr>
          <w:rStyle w:val="28"/>
          <w:rFonts w:hint="eastAsia" w:ascii="黑体" w:hAnsi="黑体" w:eastAsia="黑体" w:cs="黑体"/>
          <w:b w:val="0"/>
        </w:rPr>
        <w:t>般公共预算财政拨款基本支出决算情况说明</w:t>
      </w:r>
      <w:bookmarkEnd w:id="39"/>
      <w:bookmarkEnd w:id="40"/>
      <w:r>
        <w:rPr>
          <w:rStyle w:val="28"/>
          <w:rFonts w:hint="eastAsia" w:ascii="仿宋" w:hAnsi="仿宋" w:eastAsia="仿宋" w:cs="仿宋"/>
          <w:b w:val="0"/>
        </w:rPr>
        <w:tab/>
      </w:r>
    </w:p>
    <w:p w14:paraId="20E6D087">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2023年度一般公共预算财政拨款基本支出</w:t>
      </w:r>
      <w:r>
        <w:rPr>
          <w:rFonts w:hint="eastAsia" w:ascii="仿宋" w:hAnsi="仿宋" w:eastAsia="仿宋" w:cs="仿宋"/>
          <w:b/>
          <w:sz w:val="32"/>
          <w:szCs w:val="32"/>
        </w:rPr>
        <w:t>647.73</w:t>
      </w:r>
      <w:r>
        <w:rPr>
          <w:rFonts w:hint="eastAsia" w:ascii="仿宋" w:hAnsi="仿宋" w:eastAsia="仿宋" w:cs="仿宋"/>
          <w:sz w:val="32"/>
          <w:szCs w:val="32"/>
        </w:rPr>
        <w:t>万元，其中：</w:t>
      </w:r>
    </w:p>
    <w:p w14:paraId="19F55B02">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b/>
          <w:sz w:val="32"/>
          <w:szCs w:val="32"/>
        </w:rPr>
        <w:t>601.55</w:t>
      </w:r>
      <w:r>
        <w:rPr>
          <w:rFonts w:hint="eastAsia" w:ascii="仿宋" w:hAnsi="仿宋" w:eastAsia="仿宋" w:cs="仿宋"/>
          <w:sz w:val="32"/>
          <w:szCs w:val="32"/>
        </w:rPr>
        <w:t>万元，主要包括：基本工资162.65</w:t>
      </w:r>
      <w:r>
        <w:rPr>
          <w:rFonts w:hint="eastAsia" w:ascii="仿宋" w:hAnsi="仿宋" w:eastAsia="仿宋" w:cs="仿宋"/>
          <w:sz w:val="32"/>
          <w:szCs w:val="32"/>
          <w:lang w:val="en-US" w:eastAsia="zh-CN"/>
        </w:rPr>
        <w:t>万元</w:t>
      </w:r>
      <w:r>
        <w:rPr>
          <w:rFonts w:hint="eastAsia" w:ascii="仿宋" w:hAnsi="仿宋" w:eastAsia="仿宋" w:cs="仿宋"/>
          <w:sz w:val="32"/>
          <w:szCs w:val="32"/>
        </w:rPr>
        <w:t>、津贴补贴30.97</w:t>
      </w:r>
      <w:r>
        <w:rPr>
          <w:rFonts w:hint="eastAsia" w:ascii="仿宋" w:hAnsi="仿宋" w:eastAsia="仿宋" w:cs="仿宋"/>
          <w:sz w:val="32"/>
          <w:szCs w:val="32"/>
          <w:lang w:val="en-US" w:eastAsia="zh-CN"/>
        </w:rPr>
        <w:t>万元</w:t>
      </w:r>
      <w:r>
        <w:rPr>
          <w:rFonts w:hint="eastAsia" w:ascii="仿宋" w:hAnsi="仿宋" w:eastAsia="仿宋" w:cs="仿宋"/>
          <w:sz w:val="32"/>
          <w:szCs w:val="32"/>
        </w:rPr>
        <w:t>、绩效工资90.53</w:t>
      </w:r>
      <w:r>
        <w:rPr>
          <w:rFonts w:hint="eastAsia" w:ascii="仿宋" w:hAnsi="仿宋" w:eastAsia="仿宋" w:cs="仿宋"/>
          <w:sz w:val="32"/>
          <w:szCs w:val="32"/>
          <w:lang w:val="en-US" w:eastAsia="zh-CN"/>
        </w:rPr>
        <w:t>万元</w:t>
      </w:r>
      <w:r>
        <w:rPr>
          <w:rFonts w:hint="eastAsia" w:ascii="仿宋" w:hAnsi="仿宋" w:eastAsia="仿宋" w:cs="仿宋"/>
          <w:sz w:val="32"/>
          <w:szCs w:val="32"/>
        </w:rPr>
        <w:t>、机关事业单位基本养老保险缴费26.64</w:t>
      </w:r>
      <w:r>
        <w:rPr>
          <w:rFonts w:hint="eastAsia" w:ascii="仿宋" w:hAnsi="仿宋" w:eastAsia="仿宋" w:cs="仿宋"/>
          <w:sz w:val="32"/>
          <w:szCs w:val="32"/>
          <w:lang w:val="en-US" w:eastAsia="zh-CN"/>
        </w:rPr>
        <w:t>万元</w:t>
      </w:r>
      <w:r>
        <w:rPr>
          <w:rFonts w:hint="eastAsia" w:ascii="仿宋" w:hAnsi="仿宋" w:eastAsia="仿宋" w:cs="仿宋"/>
          <w:sz w:val="32"/>
          <w:szCs w:val="32"/>
        </w:rPr>
        <w:t>、职业年金缴费6.28</w:t>
      </w:r>
      <w:r>
        <w:rPr>
          <w:rFonts w:hint="eastAsia" w:ascii="仿宋" w:hAnsi="仿宋" w:eastAsia="仿宋" w:cs="仿宋"/>
          <w:sz w:val="32"/>
          <w:szCs w:val="32"/>
          <w:lang w:val="en-US" w:eastAsia="zh-CN"/>
        </w:rPr>
        <w:t>万元</w:t>
      </w:r>
      <w:r>
        <w:rPr>
          <w:rFonts w:hint="eastAsia" w:ascii="仿宋" w:hAnsi="仿宋" w:eastAsia="仿宋" w:cs="仿宋"/>
          <w:sz w:val="32"/>
          <w:szCs w:val="32"/>
        </w:rPr>
        <w:t>、职工基本医疗保险缴费35.01</w:t>
      </w:r>
      <w:r>
        <w:rPr>
          <w:rFonts w:hint="eastAsia" w:ascii="仿宋" w:hAnsi="仿宋" w:eastAsia="仿宋" w:cs="仿宋"/>
          <w:sz w:val="32"/>
          <w:szCs w:val="32"/>
          <w:lang w:val="en-US" w:eastAsia="zh-CN"/>
        </w:rPr>
        <w:t>万元</w:t>
      </w:r>
      <w:r>
        <w:rPr>
          <w:rFonts w:hint="eastAsia" w:ascii="仿宋" w:hAnsi="仿宋" w:eastAsia="仿宋" w:cs="仿宋"/>
          <w:sz w:val="32"/>
          <w:szCs w:val="32"/>
        </w:rPr>
        <w:t>、其他工资福利支出109.53</w:t>
      </w:r>
      <w:r>
        <w:rPr>
          <w:rFonts w:hint="eastAsia" w:ascii="仿宋" w:hAnsi="仿宋" w:eastAsia="仿宋" w:cs="仿宋"/>
          <w:sz w:val="32"/>
          <w:szCs w:val="32"/>
          <w:lang w:val="en-US" w:eastAsia="zh-CN"/>
        </w:rPr>
        <w:t>万元</w:t>
      </w:r>
      <w:r>
        <w:rPr>
          <w:rFonts w:hint="eastAsia" w:ascii="仿宋" w:hAnsi="仿宋" w:eastAsia="仿宋" w:cs="仿宋"/>
          <w:sz w:val="32"/>
          <w:szCs w:val="32"/>
        </w:rPr>
        <w:t>、退休费5.86</w:t>
      </w:r>
      <w:r>
        <w:rPr>
          <w:rFonts w:hint="eastAsia" w:ascii="仿宋" w:hAnsi="仿宋" w:eastAsia="仿宋" w:cs="仿宋"/>
          <w:sz w:val="32"/>
          <w:szCs w:val="32"/>
          <w:lang w:val="en-US" w:eastAsia="zh-CN"/>
        </w:rPr>
        <w:t>万元</w:t>
      </w:r>
      <w:r>
        <w:rPr>
          <w:rFonts w:hint="eastAsia" w:ascii="仿宋" w:hAnsi="仿宋" w:eastAsia="仿宋" w:cs="仿宋"/>
          <w:sz w:val="32"/>
          <w:szCs w:val="32"/>
        </w:rPr>
        <w:t>、抚恤金10.12</w:t>
      </w:r>
      <w:r>
        <w:rPr>
          <w:rFonts w:hint="eastAsia" w:ascii="仿宋" w:hAnsi="仿宋" w:eastAsia="仿宋" w:cs="仿宋"/>
          <w:sz w:val="32"/>
          <w:szCs w:val="32"/>
          <w:lang w:val="en-US" w:eastAsia="zh-CN"/>
        </w:rPr>
        <w:t>万元</w:t>
      </w:r>
      <w:r>
        <w:rPr>
          <w:rFonts w:hint="eastAsia" w:ascii="仿宋" w:hAnsi="仿宋" w:eastAsia="仿宋" w:cs="仿宋"/>
          <w:sz w:val="32"/>
          <w:szCs w:val="32"/>
        </w:rPr>
        <w:t>、生活补助81.91</w:t>
      </w:r>
      <w:r>
        <w:rPr>
          <w:rFonts w:hint="eastAsia" w:ascii="仿宋" w:hAnsi="仿宋" w:eastAsia="仿宋" w:cs="仿宋"/>
          <w:sz w:val="32"/>
          <w:szCs w:val="32"/>
          <w:lang w:val="en-US" w:eastAsia="zh-CN"/>
        </w:rPr>
        <w:t>万元</w:t>
      </w:r>
      <w:r>
        <w:rPr>
          <w:rFonts w:hint="eastAsia" w:ascii="仿宋" w:hAnsi="仿宋" w:eastAsia="仿宋" w:cs="仿宋"/>
          <w:sz w:val="32"/>
          <w:szCs w:val="32"/>
        </w:rPr>
        <w:t>、奖励金0.02</w:t>
      </w:r>
      <w:r>
        <w:rPr>
          <w:rFonts w:hint="eastAsia" w:ascii="仿宋" w:hAnsi="仿宋" w:eastAsia="仿宋" w:cs="仿宋"/>
          <w:sz w:val="32"/>
          <w:szCs w:val="32"/>
          <w:lang w:val="en-US" w:eastAsia="zh-CN"/>
        </w:rPr>
        <w:t>万元</w:t>
      </w:r>
      <w:r>
        <w:rPr>
          <w:rFonts w:hint="eastAsia" w:ascii="仿宋" w:hAnsi="仿宋" w:eastAsia="仿宋" w:cs="仿宋"/>
          <w:sz w:val="32"/>
          <w:szCs w:val="32"/>
        </w:rPr>
        <w:t>、住房公积金36.28</w:t>
      </w:r>
      <w:r>
        <w:rPr>
          <w:rFonts w:hint="eastAsia" w:ascii="仿宋" w:hAnsi="仿宋" w:eastAsia="仿宋" w:cs="仿宋"/>
          <w:sz w:val="32"/>
          <w:szCs w:val="32"/>
          <w:lang w:val="en-US" w:eastAsia="zh-CN"/>
        </w:rPr>
        <w:t>万元</w:t>
      </w:r>
      <w:r>
        <w:rPr>
          <w:rFonts w:hint="eastAsia" w:ascii="仿宋" w:hAnsi="仿宋" w:eastAsia="仿宋" w:cs="仿宋"/>
          <w:sz w:val="32"/>
          <w:szCs w:val="32"/>
        </w:rPr>
        <w:t>、其他对个人和家庭的补助</w:t>
      </w:r>
      <w:r>
        <w:rPr>
          <w:rFonts w:hint="eastAsia" w:ascii="仿宋" w:hAnsi="仿宋" w:eastAsia="仿宋" w:cs="仿宋"/>
          <w:sz w:val="32"/>
          <w:szCs w:val="32"/>
          <w:lang w:val="en-US" w:eastAsia="zh-CN"/>
        </w:rPr>
        <w:t>5.75万元</w:t>
      </w:r>
      <w:r>
        <w:rPr>
          <w:rFonts w:hint="eastAsia" w:ascii="仿宋" w:hAnsi="仿宋" w:eastAsia="仿宋" w:cs="仿宋"/>
          <w:sz w:val="32"/>
          <w:szCs w:val="32"/>
        </w:rPr>
        <w:t>支出等。</w:t>
      </w:r>
      <w:r>
        <w:rPr>
          <w:rFonts w:hint="eastAsia" w:ascii="仿宋" w:hAnsi="仿宋" w:eastAsia="仿宋" w:cs="仿宋"/>
          <w:sz w:val="32"/>
          <w:szCs w:val="32"/>
        </w:rPr>
        <w:br w:type="textWrapping"/>
      </w:r>
      <w:r>
        <w:rPr>
          <w:rFonts w:hint="eastAsia" w:ascii="仿宋" w:hAnsi="仿宋" w:eastAsia="仿宋" w:cs="仿宋"/>
          <w:sz w:val="32"/>
          <w:szCs w:val="32"/>
        </w:rPr>
        <w:t>　　公用经费</w:t>
      </w:r>
      <w:r>
        <w:rPr>
          <w:rFonts w:hint="eastAsia" w:ascii="仿宋" w:hAnsi="仿宋" w:eastAsia="仿宋" w:cs="仿宋"/>
          <w:b/>
          <w:sz w:val="32"/>
          <w:szCs w:val="32"/>
        </w:rPr>
        <w:t>46.1</w:t>
      </w:r>
      <w:r>
        <w:rPr>
          <w:rFonts w:hint="eastAsia" w:ascii="仿宋" w:hAnsi="仿宋" w:eastAsia="仿宋" w:cs="仿宋"/>
          <w:b/>
          <w:sz w:val="32"/>
          <w:szCs w:val="32"/>
          <w:lang w:val="en-US" w:eastAsia="zh-CN"/>
        </w:rPr>
        <w:t>8</w:t>
      </w:r>
      <w:r>
        <w:rPr>
          <w:rFonts w:hint="eastAsia" w:ascii="仿宋" w:hAnsi="仿宋" w:eastAsia="仿宋" w:cs="仿宋"/>
          <w:sz w:val="32"/>
          <w:szCs w:val="32"/>
        </w:rPr>
        <w:t>万元，主要包括：办公费0.35</w:t>
      </w:r>
      <w:r>
        <w:rPr>
          <w:rFonts w:hint="eastAsia" w:ascii="仿宋" w:hAnsi="仿宋" w:eastAsia="仿宋" w:cs="仿宋"/>
          <w:sz w:val="32"/>
          <w:szCs w:val="32"/>
          <w:lang w:val="en-US" w:eastAsia="zh-CN"/>
        </w:rPr>
        <w:t>万元</w:t>
      </w:r>
      <w:r>
        <w:rPr>
          <w:rFonts w:hint="eastAsia" w:ascii="仿宋" w:hAnsi="仿宋" w:eastAsia="仿宋" w:cs="仿宋"/>
          <w:sz w:val="32"/>
          <w:szCs w:val="32"/>
        </w:rPr>
        <w:t>、水费0.30</w:t>
      </w:r>
      <w:r>
        <w:rPr>
          <w:rFonts w:hint="eastAsia" w:ascii="仿宋" w:hAnsi="仿宋" w:eastAsia="仿宋" w:cs="仿宋"/>
          <w:sz w:val="32"/>
          <w:szCs w:val="32"/>
          <w:lang w:val="en-US" w:eastAsia="zh-CN"/>
        </w:rPr>
        <w:t>万元</w:t>
      </w:r>
      <w:r>
        <w:rPr>
          <w:rFonts w:hint="eastAsia" w:ascii="仿宋" w:hAnsi="仿宋" w:eastAsia="仿宋" w:cs="仿宋"/>
          <w:sz w:val="32"/>
          <w:szCs w:val="32"/>
        </w:rPr>
        <w:t>、电费3.63</w:t>
      </w:r>
      <w:r>
        <w:rPr>
          <w:rFonts w:hint="eastAsia" w:ascii="仿宋" w:hAnsi="仿宋" w:eastAsia="仿宋" w:cs="仿宋"/>
          <w:sz w:val="32"/>
          <w:szCs w:val="32"/>
          <w:lang w:val="en-US" w:eastAsia="zh-CN"/>
        </w:rPr>
        <w:t>万元</w:t>
      </w:r>
      <w:r>
        <w:rPr>
          <w:rFonts w:hint="eastAsia" w:ascii="仿宋" w:hAnsi="仿宋" w:eastAsia="仿宋" w:cs="仿宋"/>
          <w:sz w:val="32"/>
          <w:szCs w:val="32"/>
        </w:rPr>
        <w:t>、邮电费3.23</w:t>
      </w:r>
      <w:r>
        <w:rPr>
          <w:rFonts w:hint="eastAsia" w:ascii="仿宋" w:hAnsi="仿宋" w:eastAsia="仿宋" w:cs="仿宋"/>
          <w:sz w:val="32"/>
          <w:szCs w:val="32"/>
          <w:lang w:val="en-US" w:eastAsia="zh-CN"/>
        </w:rPr>
        <w:t>万元</w:t>
      </w:r>
      <w:r>
        <w:rPr>
          <w:rFonts w:hint="eastAsia" w:ascii="仿宋" w:hAnsi="仿宋" w:eastAsia="仿宋" w:cs="仿宋"/>
          <w:sz w:val="32"/>
          <w:szCs w:val="32"/>
        </w:rPr>
        <w:t>、维修（护）费0.12</w:t>
      </w:r>
      <w:r>
        <w:rPr>
          <w:rFonts w:hint="eastAsia" w:ascii="仿宋" w:hAnsi="仿宋" w:eastAsia="仿宋" w:cs="仿宋"/>
          <w:sz w:val="32"/>
          <w:szCs w:val="32"/>
          <w:lang w:val="en-US" w:eastAsia="zh-CN"/>
        </w:rPr>
        <w:t>万元</w:t>
      </w:r>
      <w:r>
        <w:rPr>
          <w:rFonts w:hint="eastAsia" w:ascii="仿宋" w:hAnsi="仿宋" w:eastAsia="仿宋" w:cs="仿宋"/>
          <w:sz w:val="32"/>
          <w:szCs w:val="32"/>
        </w:rPr>
        <w:t>、劳务费0.14</w:t>
      </w:r>
      <w:r>
        <w:rPr>
          <w:rFonts w:hint="eastAsia" w:ascii="仿宋" w:hAnsi="仿宋" w:eastAsia="仿宋" w:cs="仿宋"/>
          <w:sz w:val="32"/>
          <w:szCs w:val="32"/>
          <w:lang w:val="en-US" w:eastAsia="zh-CN"/>
        </w:rPr>
        <w:t>万元</w:t>
      </w:r>
      <w:r>
        <w:rPr>
          <w:rFonts w:hint="eastAsia" w:ascii="仿宋" w:hAnsi="仿宋" w:eastAsia="仿宋" w:cs="仿宋"/>
          <w:sz w:val="32"/>
          <w:szCs w:val="32"/>
        </w:rPr>
        <w:t>、工会经费8.9</w:t>
      </w:r>
      <w:r>
        <w:rPr>
          <w:rFonts w:hint="eastAsia" w:ascii="仿宋" w:hAnsi="仿宋" w:eastAsia="仿宋" w:cs="仿宋"/>
          <w:sz w:val="32"/>
          <w:szCs w:val="32"/>
          <w:lang w:val="en-US" w:eastAsia="zh-CN"/>
        </w:rPr>
        <w:t>3万元</w:t>
      </w:r>
      <w:r>
        <w:rPr>
          <w:rFonts w:hint="eastAsia" w:ascii="仿宋" w:hAnsi="仿宋" w:eastAsia="仿宋" w:cs="仿宋"/>
          <w:sz w:val="32"/>
          <w:szCs w:val="32"/>
        </w:rPr>
        <w:t>、福利费20.99</w:t>
      </w:r>
      <w:r>
        <w:rPr>
          <w:rFonts w:hint="eastAsia" w:ascii="仿宋" w:hAnsi="仿宋" w:eastAsia="仿宋" w:cs="仿宋"/>
          <w:sz w:val="32"/>
          <w:szCs w:val="32"/>
          <w:lang w:val="en-US" w:eastAsia="zh-CN"/>
        </w:rPr>
        <w:t>万元</w:t>
      </w:r>
      <w:r>
        <w:rPr>
          <w:rFonts w:hint="eastAsia" w:ascii="仿宋" w:hAnsi="仿宋" w:eastAsia="仿宋" w:cs="仿宋"/>
          <w:sz w:val="32"/>
          <w:szCs w:val="32"/>
        </w:rPr>
        <w:t>、其他商品和服务支出8.49</w:t>
      </w:r>
      <w:r>
        <w:rPr>
          <w:rFonts w:hint="eastAsia" w:ascii="仿宋" w:hAnsi="仿宋" w:eastAsia="仿宋" w:cs="仿宋"/>
          <w:sz w:val="32"/>
          <w:szCs w:val="32"/>
          <w:lang w:val="en-US" w:eastAsia="zh-CN"/>
        </w:rPr>
        <w:t>万元</w:t>
      </w:r>
      <w:r>
        <w:rPr>
          <w:rFonts w:hint="eastAsia" w:ascii="仿宋" w:hAnsi="仿宋" w:eastAsia="仿宋" w:cs="仿宋"/>
          <w:sz w:val="32"/>
          <w:szCs w:val="32"/>
        </w:rPr>
        <w:t>支出等。</w:t>
      </w:r>
    </w:p>
    <w:p w14:paraId="37DDD367">
      <w:pPr>
        <w:spacing w:line="600" w:lineRule="exact"/>
        <w:ind w:firstLine="640"/>
        <w:outlineLvl w:val="1"/>
        <w:rPr>
          <w:rStyle w:val="28"/>
          <w:rFonts w:hint="eastAsia" w:ascii="黑体" w:hAnsi="黑体" w:eastAsia="黑体" w:cs="黑体"/>
          <w:b w:val="0"/>
        </w:rPr>
      </w:pPr>
      <w:bookmarkStart w:id="41" w:name="_Toc15377215"/>
      <w:bookmarkStart w:id="42" w:name="_Toc15396609"/>
      <w:r>
        <w:rPr>
          <w:rFonts w:hint="eastAsia" w:ascii="黑体" w:hAnsi="黑体" w:eastAsia="黑体" w:cs="黑体"/>
          <w:sz w:val="32"/>
          <w:szCs w:val="32"/>
        </w:rPr>
        <w:t>七、</w:t>
      </w:r>
      <w:r>
        <w:rPr>
          <w:rStyle w:val="28"/>
          <w:rFonts w:hint="eastAsia" w:ascii="黑体" w:hAnsi="黑体" w:eastAsia="黑体" w:cs="黑体"/>
          <w:b w:val="0"/>
        </w:rPr>
        <w:t>财政拨款</w:t>
      </w:r>
      <w:r>
        <w:rPr>
          <w:rStyle w:val="28"/>
          <w:rFonts w:hint="eastAsia" w:ascii="黑体" w:hAnsi="黑体" w:eastAsia="黑体" w:cs="黑体"/>
        </w:rPr>
        <w:t>“</w:t>
      </w:r>
      <w:r>
        <w:rPr>
          <w:rStyle w:val="28"/>
          <w:rFonts w:hint="eastAsia" w:ascii="黑体" w:hAnsi="黑体" w:eastAsia="黑体" w:cs="黑体"/>
          <w:b w:val="0"/>
        </w:rPr>
        <w:t>三公”经费支出决算情况说明</w:t>
      </w:r>
      <w:bookmarkEnd w:id="41"/>
      <w:bookmarkEnd w:id="42"/>
    </w:p>
    <w:p w14:paraId="4007693B">
      <w:pPr>
        <w:spacing w:line="600" w:lineRule="exact"/>
        <w:ind w:firstLine="640"/>
        <w:outlineLvl w:val="2"/>
        <w:rPr>
          <w:rFonts w:hint="eastAsia" w:ascii="仿宋" w:hAnsi="仿宋" w:eastAsia="仿宋" w:cs="仿宋"/>
          <w:b/>
          <w:sz w:val="32"/>
          <w:szCs w:val="32"/>
        </w:rPr>
      </w:pPr>
      <w:bookmarkStart w:id="43" w:name="_Toc15377216"/>
      <w:r>
        <w:rPr>
          <w:rFonts w:hint="eastAsia" w:ascii="仿宋" w:hAnsi="仿宋" w:eastAsia="仿宋" w:cs="仿宋"/>
          <w:b/>
          <w:sz w:val="32"/>
          <w:szCs w:val="32"/>
        </w:rPr>
        <w:t>（一）“三公”经费财政拨款支出决算总体情况说明</w:t>
      </w:r>
      <w:bookmarkEnd w:id="43"/>
    </w:p>
    <w:p w14:paraId="4BC8D8A0">
      <w:pPr>
        <w:spacing w:line="600" w:lineRule="exact"/>
        <w:ind w:firstLine="640"/>
        <w:rPr>
          <w:rFonts w:hint="eastAsia" w:ascii="仿宋" w:hAnsi="仿宋" w:eastAsia="仿宋" w:cs="仿宋"/>
          <w:b/>
          <w:sz w:val="32"/>
          <w:szCs w:val="32"/>
        </w:rPr>
      </w:pPr>
      <w:r>
        <w:rPr>
          <w:rFonts w:hint="eastAsia" w:ascii="仿宋" w:hAnsi="仿宋" w:eastAsia="仿宋" w:cs="仿宋"/>
          <w:sz w:val="32"/>
          <w:szCs w:val="32"/>
        </w:rPr>
        <w:t>2023年度“三公”经费财政拨款支出决</w:t>
      </w:r>
      <w:r>
        <w:rPr>
          <w:rFonts w:hint="eastAsia" w:ascii="仿宋" w:hAnsi="仿宋" w:eastAsia="仿宋" w:cs="仿宋"/>
          <w:sz w:val="32"/>
          <w:szCs w:val="32"/>
          <w:lang w:val="en-US" w:eastAsia="zh-CN"/>
        </w:rPr>
        <w:t>算为0万元，完成预算0%，与上年一致，决算与预算一致。</w:t>
      </w:r>
    </w:p>
    <w:p w14:paraId="1E6281AE">
      <w:pPr>
        <w:spacing w:line="600" w:lineRule="exact"/>
        <w:ind w:firstLine="640"/>
        <w:outlineLvl w:val="2"/>
        <w:rPr>
          <w:rFonts w:hint="eastAsia" w:ascii="仿宋" w:hAnsi="仿宋" w:eastAsia="仿宋" w:cs="仿宋"/>
          <w:b/>
          <w:sz w:val="32"/>
          <w:szCs w:val="32"/>
        </w:rPr>
      </w:pPr>
      <w:bookmarkStart w:id="44" w:name="_Toc15377217"/>
      <w:r>
        <w:rPr>
          <w:rFonts w:hint="eastAsia" w:ascii="仿宋" w:hAnsi="仿宋" w:eastAsia="仿宋" w:cs="仿宋"/>
          <w:b/>
          <w:sz w:val="32"/>
          <w:szCs w:val="32"/>
        </w:rPr>
        <w:t>（二）“三公”经费财政拨款支出决算具体情况说明</w:t>
      </w:r>
      <w:bookmarkEnd w:id="44"/>
    </w:p>
    <w:p w14:paraId="06B81EAD">
      <w:pPr>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rPr>
        <w:t>2023年度“三公”经费财政拨款支出决算中</w:t>
      </w:r>
      <w:r>
        <w:rPr>
          <w:rFonts w:hint="eastAsia" w:ascii="仿宋" w:hAnsi="仿宋" w:eastAsia="仿宋" w:cs="仿宋"/>
          <w:sz w:val="32"/>
          <w:szCs w:val="32"/>
          <w:highlight w:val="none"/>
        </w:rPr>
        <w:t>，因公出国（境）费支出</w:t>
      </w:r>
      <w:r>
        <w:rPr>
          <w:rFonts w:hint="eastAsia" w:ascii="仿宋" w:hAnsi="仿宋" w:eastAsia="仿宋" w:cs="仿宋"/>
          <w:sz w:val="32"/>
          <w:szCs w:val="32"/>
          <w:lang w:val="en-US" w:eastAsia="zh-CN"/>
        </w:rPr>
        <w:t>决算0万元，占0%；公务用车购置及运行维护费支出决算0万元，占0%；公务接待费支出决算0万元，占0%。具体情况如下：</w:t>
      </w:r>
    </w:p>
    <w:p w14:paraId="51ED5D8A">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080000" cy="2686685"/>
            <wp:effectExtent l="4445" t="4445" r="5715" b="63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1EF9E7">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（图7：“三公”经费财政拨款支出结构）</w:t>
      </w:r>
    </w:p>
    <w:p w14:paraId="0F522261">
      <w:pPr>
        <w:spacing w:line="600" w:lineRule="exact"/>
        <w:ind w:firstLine="640"/>
        <w:rPr>
          <w:rFonts w:hint="eastAsia" w:ascii="仿宋" w:hAnsi="仿宋" w:eastAsia="仿宋" w:cs="仿宋"/>
          <w:color w:val="auto"/>
          <w:sz w:val="32"/>
          <w:szCs w:val="32"/>
          <w:highlight w:val="none"/>
        </w:rPr>
      </w:pPr>
      <w:bookmarkStart w:id="45" w:name="_Toc15396610"/>
      <w:bookmarkStart w:id="46" w:name="_Toc15377218"/>
      <w:r>
        <w:rPr>
          <w:rFonts w:hint="eastAsia" w:ascii="仿宋" w:hAnsi="仿宋" w:eastAsia="仿宋" w:cs="仿宋"/>
          <w:color w:val="auto"/>
          <w:sz w:val="32"/>
          <w:szCs w:val="32"/>
          <w:highlight w:val="none"/>
        </w:rPr>
        <w:t>1.因公出国（境）经费支出0万元，完成预算0%。全年安排因公出国（境）团组0次，出国（境）0人。因公出国（境）支出决算</w:t>
      </w:r>
      <w:r>
        <w:rPr>
          <w:rFonts w:hint="eastAsia" w:ascii="仿宋" w:hAnsi="仿宋" w:eastAsia="仿宋" w:cs="仿宋"/>
          <w:color w:val="auto"/>
          <w:sz w:val="32"/>
          <w:szCs w:val="32"/>
          <w:highlight w:val="none"/>
          <w:lang w:val="en-US" w:eastAsia="zh-CN"/>
        </w:rPr>
        <w:t>与</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一致</w:t>
      </w:r>
      <w:r>
        <w:rPr>
          <w:rFonts w:hint="eastAsia" w:ascii="仿宋" w:hAnsi="仿宋" w:eastAsia="仿宋" w:cs="仿宋"/>
          <w:color w:val="auto"/>
          <w:sz w:val="32"/>
          <w:szCs w:val="32"/>
          <w:highlight w:val="none"/>
        </w:rPr>
        <w:t>。</w:t>
      </w:r>
    </w:p>
    <w:p w14:paraId="5B85289A">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2.公务用车购置及运行维护费支出0万元,完成预算0%。公务用车购置及运行维护费支出决算</w:t>
      </w:r>
      <w:r>
        <w:rPr>
          <w:rFonts w:hint="eastAsia" w:ascii="仿宋" w:hAnsi="仿宋" w:eastAsia="仿宋" w:cs="仿宋"/>
          <w:color w:val="auto"/>
          <w:sz w:val="32"/>
          <w:szCs w:val="32"/>
          <w:highlight w:val="none"/>
          <w:lang w:val="en-US" w:eastAsia="zh-CN"/>
        </w:rPr>
        <w:t>与2022年一致</w:t>
      </w:r>
      <w:r>
        <w:rPr>
          <w:rFonts w:hint="eastAsia" w:ascii="仿宋" w:hAnsi="仿宋" w:eastAsia="仿宋" w:cs="仿宋"/>
          <w:color w:val="auto"/>
          <w:sz w:val="32"/>
          <w:szCs w:val="32"/>
          <w:highlight w:val="none"/>
        </w:rPr>
        <w:t>。</w:t>
      </w:r>
    </w:p>
    <w:p w14:paraId="27DDBFE2">
      <w:pPr>
        <w:spacing w:line="600" w:lineRule="exact"/>
        <w:ind w:firstLine="640"/>
        <w:rPr>
          <w:rFonts w:hint="eastAsia" w:ascii="仿宋" w:hAnsi="仿宋" w:eastAsia="仿宋" w:cs="仿宋"/>
          <w:b/>
          <w:sz w:val="32"/>
          <w:szCs w:val="32"/>
          <w:highlight w:val="yellow"/>
        </w:rPr>
      </w:pPr>
      <w:r>
        <w:rPr>
          <w:rFonts w:hint="eastAsia" w:ascii="仿宋" w:hAnsi="仿宋" w:eastAsia="仿宋" w:cs="仿宋"/>
          <w:color w:val="auto"/>
          <w:sz w:val="32"/>
          <w:szCs w:val="32"/>
          <w:highlight w:val="none"/>
        </w:rPr>
        <w:t>其中：公务用车购置支出0万元。全年按规定更新购置公务用车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辆，其中：轿车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万元，越野车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万元，载客汽车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。截至2023年12月31日，单位共有公务用车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辆，其中：轿车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辆、越野车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辆、载客汽车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w:t>
      </w:r>
    </w:p>
    <w:p w14:paraId="10388B09">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公务用车运行维护费支出0万元。</w:t>
      </w:r>
    </w:p>
    <w:p w14:paraId="5EFC9503">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3.公务接待费支出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万元，完成预算</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%。公务接待费支出决算</w:t>
      </w:r>
      <w:r>
        <w:rPr>
          <w:rFonts w:hint="eastAsia" w:ascii="仿宋" w:hAnsi="仿宋" w:eastAsia="仿宋" w:cs="仿宋"/>
          <w:color w:val="auto"/>
          <w:sz w:val="32"/>
          <w:szCs w:val="32"/>
          <w:highlight w:val="none"/>
          <w:lang w:val="en-US" w:eastAsia="zh-CN"/>
        </w:rPr>
        <w:t>与</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22一致</w:t>
      </w:r>
      <w:r>
        <w:rPr>
          <w:rFonts w:hint="eastAsia" w:ascii="仿宋" w:hAnsi="仿宋" w:eastAsia="仿宋" w:cs="仿宋"/>
          <w:color w:val="auto"/>
          <w:sz w:val="32"/>
          <w:szCs w:val="32"/>
          <w:highlight w:val="none"/>
        </w:rPr>
        <w:t>。其中：</w:t>
      </w:r>
    </w:p>
    <w:p w14:paraId="724D9C13">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国内公务接待支出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万元。国内公务接待</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批次，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人次（不包括陪同人员），共计支出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618C8AB0">
      <w:pPr>
        <w:spacing w:line="600" w:lineRule="exact"/>
        <w:ind w:firstLine="640"/>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外事接待支出0万元。外事接待</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批次，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人次（不包括陪同人员），共计支出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12AF1F17">
      <w:pPr>
        <w:pStyle w:val="2"/>
        <w:rPr>
          <w:rFonts w:hint="eastAsia" w:ascii="仿宋" w:hAnsi="仿宋" w:eastAsia="仿宋" w:cs="仿宋"/>
        </w:rPr>
      </w:pPr>
    </w:p>
    <w:p w14:paraId="146509A0">
      <w:pPr>
        <w:spacing w:line="600" w:lineRule="exact"/>
        <w:ind w:firstLine="640"/>
        <w:outlineLvl w:val="1"/>
        <w:rPr>
          <w:rStyle w:val="28"/>
          <w:rFonts w:hint="eastAsia" w:ascii="黑体" w:hAnsi="黑体" w:eastAsia="黑体" w:cs="黑体"/>
        </w:rPr>
      </w:pPr>
      <w:r>
        <w:rPr>
          <w:rFonts w:hint="eastAsia" w:ascii="黑体" w:hAnsi="黑体" w:eastAsia="黑体" w:cs="黑体"/>
          <w:sz w:val="32"/>
          <w:szCs w:val="32"/>
        </w:rPr>
        <w:t>八、</w:t>
      </w:r>
      <w:r>
        <w:rPr>
          <w:rStyle w:val="28"/>
          <w:rFonts w:hint="eastAsia" w:ascii="黑体" w:hAnsi="黑体" w:eastAsia="黑体" w:cs="黑体"/>
          <w:b w:val="0"/>
        </w:rPr>
        <w:t>政府性基金预算支出决算情况说明</w:t>
      </w:r>
      <w:bookmarkEnd w:id="45"/>
      <w:bookmarkEnd w:id="46"/>
    </w:p>
    <w:p w14:paraId="2868D25C">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2023年度政府性基金预算财政拨款支出</w:t>
      </w:r>
      <w:r>
        <w:rPr>
          <w:rFonts w:hint="eastAsia" w:ascii="仿宋" w:hAnsi="仿宋" w:eastAsia="仿宋" w:cs="仿宋"/>
          <w:b/>
          <w:sz w:val="32"/>
          <w:szCs w:val="32"/>
        </w:rPr>
        <w:t>0</w:t>
      </w:r>
      <w:r>
        <w:rPr>
          <w:rFonts w:hint="eastAsia" w:ascii="仿宋" w:hAnsi="仿宋" w:eastAsia="仿宋" w:cs="仿宋"/>
          <w:sz w:val="32"/>
          <w:szCs w:val="32"/>
        </w:rPr>
        <w:t>万元。</w:t>
      </w:r>
    </w:p>
    <w:p w14:paraId="6F66C50B">
      <w:pPr>
        <w:spacing w:line="600" w:lineRule="exact"/>
        <w:ind w:firstLine="640"/>
        <w:rPr>
          <w:rFonts w:hint="eastAsia" w:ascii="仿宋" w:hAnsi="仿宋" w:eastAsia="仿宋" w:cs="仿宋"/>
          <w:sz w:val="32"/>
          <w:szCs w:val="32"/>
        </w:rPr>
      </w:pPr>
    </w:p>
    <w:p w14:paraId="4BAD8E4C">
      <w:pPr>
        <w:numPr>
          <w:ilvl w:val="0"/>
          <w:numId w:val="3"/>
        </w:numPr>
        <w:spacing w:line="600" w:lineRule="exact"/>
        <w:ind w:firstLine="640"/>
        <w:outlineLvl w:val="1"/>
        <w:rPr>
          <w:rStyle w:val="28"/>
          <w:rFonts w:hint="eastAsia" w:ascii="黑体" w:hAnsi="黑体" w:eastAsia="黑体" w:cs="黑体"/>
          <w:b w:val="0"/>
        </w:rPr>
      </w:pPr>
      <w:bookmarkStart w:id="47" w:name="_Toc15396611"/>
      <w:bookmarkStart w:id="48" w:name="_Toc15377219"/>
      <w:r>
        <w:rPr>
          <w:rStyle w:val="28"/>
          <w:rFonts w:hint="eastAsia" w:ascii="黑体" w:hAnsi="黑体" w:eastAsia="黑体" w:cs="黑体"/>
          <w:b w:val="0"/>
        </w:rPr>
        <w:t>国有资本经营预算支出决算情况说明</w:t>
      </w:r>
      <w:bookmarkEnd w:id="47"/>
      <w:bookmarkEnd w:id="48"/>
    </w:p>
    <w:p w14:paraId="56EF96B5">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2023年度国有资本经营预算财政拨款支出</w:t>
      </w:r>
      <w:r>
        <w:rPr>
          <w:rFonts w:hint="eastAsia" w:ascii="仿宋" w:hAnsi="仿宋" w:eastAsia="仿宋" w:cs="仿宋"/>
          <w:b/>
          <w:sz w:val="32"/>
          <w:szCs w:val="32"/>
        </w:rPr>
        <w:t>0</w:t>
      </w:r>
      <w:r>
        <w:rPr>
          <w:rFonts w:hint="eastAsia" w:ascii="仿宋" w:hAnsi="仿宋" w:eastAsia="仿宋" w:cs="仿宋"/>
          <w:sz w:val="32"/>
          <w:szCs w:val="32"/>
        </w:rPr>
        <w:t>万元。</w:t>
      </w:r>
    </w:p>
    <w:p w14:paraId="4BECD782">
      <w:pPr>
        <w:spacing w:line="580" w:lineRule="exact"/>
        <w:jc w:val="center"/>
        <w:rPr>
          <w:rFonts w:hint="eastAsia" w:ascii="仿宋" w:hAnsi="仿宋" w:eastAsia="仿宋" w:cs="仿宋"/>
          <w:sz w:val="44"/>
          <w:szCs w:val="44"/>
        </w:rPr>
      </w:pPr>
    </w:p>
    <w:p w14:paraId="272B908D">
      <w:pPr>
        <w:numPr>
          <w:ilvl w:val="0"/>
          <w:numId w:val="3"/>
        </w:numPr>
        <w:spacing w:line="600" w:lineRule="exact"/>
        <w:ind w:firstLine="640"/>
        <w:outlineLvl w:val="1"/>
        <w:rPr>
          <w:rStyle w:val="28"/>
          <w:rFonts w:hint="eastAsia" w:ascii="黑体" w:hAnsi="黑体" w:eastAsia="黑体" w:cs="黑体"/>
          <w:b w:val="0"/>
        </w:rPr>
      </w:pPr>
      <w:bookmarkStart w:id="49" w:name="_Toc15396612"/>
      <w:bookmarkStart w:id="50" w:name="_Toc15377221"/>
      <w:r>
        <w:rPr>
          <w:rStyle w:val="28"/>
          <w:rFonts w:hint="eastAsia" w:ascii="黑体" w:hAnsi="黑体" w:eastAsia="黑体" w:cs="黑体"/>
          <w:b w:val="0"/>
        </w:rPr>
        <w:t>其他重要事项的情况说明</w:t>
      </w:r>
      <w:bookmarkEnd w:id="49"/>
      <w:bookmarkEnd w:id="50"/>
    </w:p>
    <w:p w14:paraId="7036C957">
      <w:pPr>
        <w:spacing w:line="600" w:lineRule="exact"/>
        <w:ind w:firstLine="643" w:firstLineChars="200"/>
        <w:outlineLvl w:val="2"/>
        <w:rPr>
          <w:rFonts w:hint="eastAsia" w:ascii="仿宋" w:hAnsi="仿宋" w:eastAsia="仿宋" w:cs="仿宋"/>
          <w:sz w:val="32"/>
          <w:szCs w:val="32"/>
        </w:rPr>
      </w:pPr>
      <w:bookmarkStart w:id="51" w:name="_Toc15377222"/>
      <w:r>
        <w:rPr>
          <w:rFonts w:hint="eastAsia" w:ascii="仿宋" w:hAnsi="仿宋" w:eastAsia="仿宋" w:cs="仿宋"/>
          <w:b/>
          <w:sz w:val="32"/>
          <w:szCs w:val="32"/>
        </w:rPr>
        <w:t>（一）机关运行经费支出情况</w:t>
      </w:r>
      <w:bookmarkEnd w:id="51"/>
    </w:p>
    <w:p w14:paraId="470E6CCB">
      <w:pPr>
        <w:spacing w:line="600" w:lineRule="exact"/>
        <w:ind w:firstLine="640" w:firstLineChars="200"/>
        <w:rPr>
          <w:rFonts w:hint="eastAsia" w:ascii="仿宋" w:hAnsi="仿宋" w:eastAsia="仿宋" w:cs="仿宋"/>
          <w:b/>
          <w:sz w:val="32"/>
          <w:szCs w:val="32"/>
        </w:rPr>
      </w:pPr>
      <w:r>
        <w:rPr>
          <w:rFonts w:hint="eastAsia" w:ascii="仿宋" w:hAnsi="仿宋" w:eastAsia="仿宋" w:cs="仿宋"/>
          <w:color w:val="auto"/>
          <w:sz w:val="32"/>
          <w:szCs w:val="32"/>
        </w:rPr>
        <w:t>我单位为事业单位（学校），执行政府会计制度，无机关运行经费。</w:t>
      </w:r>
    </w:p>
    <w:p w14:paraId="037EA43D">
      <w:pPr>
        <w:spacing w:line="600" w:lineRule="exact"/>
        <w:ind w:firstLine="640" w:firstLineChars="200"/>
        <w:rPr>
          <w:rFonts w:hint="eastAsia" w:ascii="仿宋" w:hAnsi="仿宋" w:eastAsia="仿宋" w:cs="仿宋"/>
          <w:sz w:val="32"/>
          <w:szCs w:val="32"/>
        </w:rPr>
      </w:pPr>
    </w:p>
    <w:p w14:paraId="6A20AEA4">
      <w:pPr>
        <w:autoSpaceDE w:val="0"/>
        <w:autoSpaceDN w:val="0"/>
        <w:adjustRightInd w:val="0"/>
        <w:spacing w:line="600" w:lineRule="exact"/>
        <w:ind w:firstLine="643" w:firstLineChars="200"/>
        <w:jc w:val="left"/>
        <w:outlineLvl w:val="2"/>
        <w:rPr>
          <w:rFonts w:hint="eastAsia" w:ascii="仿宋" w:hAnsi="仿宋" w:eastAsia="仿宋" w:cs="仿宋"/>
          <w:b/>
          <w:sz w:val="32"/>
          <w:szCs w:val="32"/>
        </w:rPr>
      </w:pPr>
      <w:bookmarkStart w:id="52" w:name="_Toc15377223"/>
      <w:r>
        <w:rPr>
          <w:rFonts w:hint="eastAsia" w:ascii="仿宋" w:hAnsi="仿宋" w:eastAsia="仿宋" w:cs="仿宋"/>
          <w:b/>
          <w:sz w:val="32"/>
          <w:szCs w:val="32"/>
        </w:rPr>
        <w:t>（二）政府采购支出情况</w:t>
      </w:r>
      <w:bookmarkEnd w:id="52"/>
    </w:p>
    <w:p w14:paraId="2CE98953">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2023年度，</w:t>
      </w:r>
      <w:r>
        <w:rPr>
          <w:rFonts w:hint="eastAsia" w:ascii="仿宋" w:hAnsi="仿宋" w:eastAsia="仿宋" w:cs="仿宋"/>
          <w:b w:val="0"/>
          <w:bCs/>
          <w:sz w:val="32"/>
          <w:szCs w:val="32"/>
        </w:rPr>
        <w:t>大竹县妈妈镇金鸡学</w:t>
      </w:r>
      <w:r>
        <w:rPr>
          <w:rFonts w:hint="eastAsia" w:ascii="仿宋" w:hAnsi="仿宋" w:eastAsia="仿宋" w:cs="仿宋"/>
          <w:b/>
          <w:sz w:val="32"/>
          <w:szCs w:val="32"/>
        </w:rPr>
        <w:t>校</w:t>
      </w:r>
      <w:r>
        <w:rPr>
          <w:rFonts w:hint="eastAsia" w:ascii="仿宋" w:hAnsi="仿宋" w:eastAsia="仿宋" w:cs="仿宋"/>
          <w:sz w:val="32"/>
          <w:szCs w:val="32"/>
        </w:rPr>
        <w:t>政府采购支出总额</w:t>
      </w:r>
      <w:r>
        <w:rPr>
          <w:rFonts w:hint="eastAsia" w:ascii="仿宋" w:hAnsi="仿宋" w:eastAsia="仿宋" w:cs="仿宋"/>
          <w:b/>
          <w:sz w:val="32"/>
          <w:szCs w:val="32"/>
        </w:rPr>
        <w:t>0</w:t>
      </w:r>
      <w:r>
        <w:rPr>
          <w:rFonts w:hint="eastAsia" w:ascii="仿宋" w:hAnsi="仿宋" w:eastAsia="仿宋" w:cs="仿宋"/>
          <w:sz w:val="32"/>
          <w:szCs w:val="32"/>
        </w:rPr>
        <w:t>万元。</w:t>
      </w:r>
    </w:p>
    <w:p w14:paraId="1AFF5068">
      <w:pPr>
        <w:autoSpaceDE w:val="0"/>
        <w:autoSpaceDN w:val="0"/>
        <w:adjustRightInd w:val="0"/>
        <w:spacing w:line="600" w:lineRule="exact"/>
        <w:ind w:firstLine="643" w:firstLineChars="200"/>
        <w:jc w:val="left"/>
        <w:outlineLvl w:val="2"/>
        <w:rPr>
          <w:rFonts w:hint="eastAsia" w:ascii="仿宋" w:hAnsi="仿宋" w:eastAsia="仿宋" w:cs="仿宋"/>
          <w:b/>
          <w:sz w:val="32"/>
          <w:szCs w:val="32"/>
        </w:rPr>
      </w:pPr>
      <w:bookmarkStart w:id="53" w:name="_Toc15377224"/>
      <w:r>
        <w:rPr>
          <w:rFonts w:hint="eastAsia" w:ascii="仿宋" w:hAnsi="仿宋" w:eastAsia="仿宋" w:cs="仿宋"/>
          <w:b/>
          <w:sz w:val="32"/>
          <w:szCs w:val="32"/>
        </w:rPr>
        <w:t>（三）国有资产占有使用情况</w:t>
      </w:r>
      <w:bookmarkEnd w:id="53"/>
    </w:p>
    <w:p w14:paraId="6635A683">
      <w:pPr>
        <w:autoSpaceDE w:val="0"/>
        <w:autoSpaceDN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截至2023年12月31日，</w:t>
      </w:r>
      <w:r>
        <w:rPr>
          <w:rFonts w:hint="eastAsia" w:ascii="仿宋" w:hAnsi="仿宋" w:eastAsia="仿宋" w:cs="仿宋"/>
          <w:b w:val="0"/>
          <w:bCs/>
          <w:sz w:val="32"/>
          <w:szCs w:val="32"/>
        </w:rPr>
        <w:t>大竹县妈妈镇金鸡学校</w:t>
      </w:r>
      <w:r>
        <w:rPr>
          <w:rFonts w:hint="eastAsia" w:ascii="仿宋" w:hAnsi="仿宋" w:eastAsia="仿宋" w:cs="仿宋"/>
          <w:sz w:val="32"/>
          <w:szCs w:val="32"/>
        </w:rPr>
        <w:t>共有车辆</w:t>
      </w:r>
      <w:r>
        <w:rPr>
          <w:rFonts w:hint="eastAsia" w:ascii="仿宋" w:hAnsi="仿宋" w:eastAsia="仿宋" w:cs="仿宋"/>
          <w:b/>
          <w:sz w:val="32"/>
          <w:szCs w:val="32"/>
        </w:rPr>
        <w:t>0</w:t>
      </w:r>
      <w:r>
        <w:rPr>
          <w:rFonts w:hint="eastAsia" w:ascii="仿宋" w:hAnsi="仿宋" w:eastAsia="仿宋" w:cs="仿宋"/>
          <w:sz w:val="32"/>
          <w:szCs w:val="32"/>
        </w:rPr>
        <w:t>辆。</w:t>
      </w:r>
    </w:p>
    <w:p w14:paraId="1C602DB5">
      <w:pPr>
        <w:autoSpaceDE w:val="0"/>
        <w:autoSpaceDN w:val="0"/>
        <w:adjustRightInd w:val="0"/>
        <w:spacing w:line="600" w:lineRule="exact"/>
        <w:ind w:firstLine="643" w:firstLineChars="200"/>
        <w:jc w:val="left"/>
        <w:outlineLvl w:val="2"/>
        <w:rPr>
          <w:rFonts w:hint="eastAsia" w:ascii="仿宋" w:hAnsi="仿宋" w:eastAsia="仿宋" w:cs="仿宋"/>
          <w:b/>
          <w:sz w:val="32"/>
          <w:szCs w:val="32"/>
        </w:rPr>
      </w:pPr>
      <w:r>
        <w:rPr>
          <w:rFonts w:hint="eastAsia" w:ascii="仿宋" w:hAnsi="仿宋" w:eastAsia="仿宋" w:cs="仿宋"/>
          <w:b/>
          <w:sz w:val="32"/>
          <w:szCs w:val="32"/>
        </w:rPr>
        <w:t>（四）预算绩效管理情况</w:t>
      </w:r>
    </w:p>
    <w:p w14:paraId="0FD5F2DE">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根据预算绩效管理要求，本单位在2023年度预算编制阶段，组织对</w:t>
      </w:r>
      <w:r>
        <w:rPr>
          <w:rFonts w:hint="eastAsia" w:ascii="仿宋" w:hAnsi="仿宋" w:eastAsia="仿宋" w:cs="仿宋"/>
          <w:sz w:val="32"/>
          <w:szCs w:val="32"/>
          <w:lang w:val="en-US" w:eastAsia="zh-CN"/>
        </w:rPr>
        <w:t>营养餐</w:t>
      </w:r>
      <w:r>
        <w:rPr>
          <w:rFonts w:hint="eastAsia" w:ascii="仿宋" w:hAnsi="仿宋" w:eastAsia="仿宋" w:cs="仿宋"/>
          <w:sz w:val="32"/>
          <w:szCs w:val="32"/>
        </w:rPr>
        <w:t>项目</w:t>
      </w:r>
      <w:r>
        <w:rPr>
          <w:rFonts w:hint="eastAsia" w:ascii="仿宋" w:hAnsi="仿宋" w:eastAsia="仿宋" w:cs="仿宋"/>
          <w:sz w:val="32"/>
          <w:szCs w:val="32"/>
          <w:lang w:val="en-US" w:eastAsia="zh-CN"/>
        </w:rPr>
        <w:t>和学前教育设备采购</w:t>
      </w:r>
      <w:r>
        <w:rPr>
          <w:rFonts w:hint="eastAsia" w:ascii="仿宋" w:hAnsi="仿宋" w:eastAsia="仿宋" w:cs="仿宋"/>
          <w:sz w:val="32"/>
          <w:szCs w:val="32"/>
        </w:rPr>
        <w:t>等</w:t>
      </w:r>
      <w:r>
        <w:rPr>
          <w:rFonts w:hint="eastAsia" w:ascii="仿宋" w:hAnsi="仿宋" w:eastAsia="仿宋" w:cs="仿宋"/>
          <w:sz w:val="32"/>
          <w:szCs w:val="32"/>
          <w:lang w:val="en-US" w:eastAsia="zh-CN"/>
        </w:rPr>
        <w:t>2</w:t>
      </w:r>
      <w:r>
        <w:rPr>
          <w:rFonts w:hint="eastAsia" w:ascii="仿宋" w:hAnsi="仿宋" w:eastAsia="仿宋" w:cs="仿宋"/>
          <w:sz w:val="32"/>
          <w:szCs w:val="32"/>
        </w:rPr>
        <w:t>个项目开展了预算事前绩效评估，编制了绩效目标</w:t>
      </w:r>
      <w:r>
        <w:rPr>
          <w:rFonts w:hint="eastAsia" w:ascii="仿宋" w:hAnsi="仿宋" w:eastAsia="仿宋" w:cs="仿宋"/>
          <w:sz w:val="32"/>
          <w:szCs w:val="32"/>
          <w:lang w:val="en-US" w:eastAsia="zh-CN"/>
        </w:rPr>
        <w:t>对</w:t>
      </w:r>
      <w:r>
        <w:rPr>
          <w:rFonts w:hint="eastAsia" w:ascii="仿宋" w:hAnsi="仿宋" w:eastAsia="仿宋" w:cs="仿宋"/>
          <w:sz w:val="32"/>
          <w:szCs w:val="32"/>
        </w:rPr>
        <w:t>开展绩效监控，</w:t>
      </w:r>
      <w:r>
        <w:rPr>
          <w:rFonts w:hint="eastAsia" w:ascii="仿宋" w:hAnsi="仿宋" w:eastAsia="仿宋" w:cs="仿宋"/>
          <w:sz w:val="32"/>
          <w:szCs w:val="32"/>
          <w:lang w:val="en-US" w:eastAsia="zh-CN"/>
        </w:rPr>
        <w:t>和</w:t>
      </w:r>
      <w:r>
        <w:rPr>
          <w:rFonts w:hint="eastAsia" w:ascii="仿宋" w:hAnsi="仿宋" w:eastAsia="仿宋" w:cs="仿宋"/>
          <w:sz w:val="32"/>
          <w:szCs w:val="32"/>
        </w:rPr>
        <w:t>绩效自评，绩效自评表详见第四部分附件。</w:t>
      </w:r>
    </w:p>
    <w:p w14:paraId="1A5D109C">
      <w:pPr>
        <w:pStyle w:val="2"/>
        <w:rPr>
          <w:rFonts w:hint="eastAsia" w:ascii="仿宋" w:hAnsi="仿宋" w:eastAsia="仿宋" w:cs="仿宋"/>
          <w:sz w:val="32"/>
          <w:szCs w:val="32"/>
        </w:rPr>
      </w:pPr>
    </w:p>
    <w:p w14:paraId="44831BD9">
      <w:pPr>
        <w:rPr>
          <w:rFonts w:hint="eastAsia" w:ascii="仿宋" w:hAnsi="仿宋" w:eastAsia="仿宋" w:cs="仿宋"/>
          <w:sz w:val="32"/>
          <w:szCs w:val="32"/>
        </w:rPr>
      </w:pPr>
    </w:p>
    <w:p w14:paraId="5730232B">
      <w:pPr>
        <w:pStyle w:val="2"/>
        <w:rPr>
          <w:rFonts w:hint="eastAsia" w:ascii="宋体" w:hAnsi="宋体" w:eastAsia="宋体" w:cs="宋体"/>
          <w:sz w:val="32"/>
          <w:szCs w:val="32"/>
        </w:rPr>
      </w:pPr>
    </w:p>
    <w:p w14:paraId="2B4BAE7E">
      <w:pPr>
        <w:rPr>
          <w:rFonts w:hint="eastAsia" w:ascii="宋体" w:hAnsi="宋体" w:eastAsia="宋体" w:cs="宋体"/>
          <w:sz w:val="32"/>
          <w:szCs w:val="32"/>
        </w:rPr>
      </w:pPr>
    </w:p>
    <w:p w14:paraId="42269777">
      <w:pPr>
        <w:pStyle w:val="2"/>
        <w:rPr>
          <w:rFonts w:hint="eastAsia" w:ascii="宋体" w:hAnsi="宋体" w:eastAsia="宋体" w:cs="宋体"/>
          <w:sz w:val="32"/>
          <w:szCs w:val="32"/>
        </w:rPr>
      </w:pPr>
    </w:p>
    <w:p w14:paraId="19B1D8DC">
      <w:pPr>
        <w:rPr>
          <w:rFonts w:hint="eastAsia"/>
        </w:rPr>
      </w:pPr>
    </w:p>
    <w:p w14:paraId="271BE144">
      <w:pPr>
        <w:numPr>
          <w:ilvl w:val="0"/>
          <w:numId w:val="4"/>
        </w:numPr>
        <w:spacing w:line="240" w:lineRule="auto"/>
        <w:ind w:firstLine="0" w:firstLineChars="0"/>
        <w:jc w:val="center"/>
        <w:outlineLvl w:val="0"/>
        <w:rPr>
          <w:rStyle w:val="27"/>
          <w:rFonts w:hint="eastAsia" w:ascii="黑体" w:hAnsi="黑体" w:eastAsia="黑体" w:cs="黑体"/>
          <w:b w:val="0"/>
        </w:rPr>
      </w:pPr>
      <w:bookmarkStart w:id="54" w:name="_Toc15377225"/>
      <w:bookmarkStart w:id="55" w:name="_Toc15396613"/>
      <w:r>
        <w:rPr>
          <w:rFonts w:hint="eastAsia" w:ascii="黑体" w:hAnsi="黑体" w:eastAsia="黑体" w:cs="黑体"/>
          <w:sz w:val="44"/>
          <w:szCs w:val="44"/>
        </w:rPr>
        <w:t>名</w:t>
      </w:r>
      <w:r>
        <w:rPr>
          <w:rStyle w:val="27"/>
          <w:rFonts w:hint="eastAsia" w:ascii="黑体" w:hAnsi="黑体" w:eastAsia="黑体" w:cs="黑体"/>
          <w:b w:val="0"/>
        </w:rPr>
        <w:t>词解释</w:t>
      </w:r>
      <w:bookmarkEnd w:id="54"/>
      <w:bookmarkEnd w:id="55"/>
    </w:p>
    <w:p w14:paraId="66A375DF">
      <w:pPr>
        <w:spacing w:line="600" w:lineRule="exact"/>
        <w:jc w:val="left"/>
        <w:rPr>
          <w:rFonts w:hint="eastAsia" w:ascii="宋体" w:hAnsi="宋体" w:eastAsia="宋体" w:cs="宋体"/>
          <w:b/>
          <w:sz w:val="44"/>
          <w:szCs w:val="44"/>
        </w:rPr>
      </w:pPr>
    </w:p>
    <w:p w14:paraId="6962F3D8">
      <w:pPr>
        <w:pStyle w:val="25"/>
        <w:spacing w:line="560" w:lineRule="exact"/>
        <w:ind w:firstLine="640" w:firstLineChars="200"/>
        <w:rPr>
          <w:rFonts w:ascii="仿宋_GB2312" w:eastAsia="仿宋_GB2312"/>
          <w:color w:val="auto"/>
          <w:sz w:val="32"/>
          <w:szCs w:val="32"/>
        </w:rPr>
      </w:pPr>
      <w:bookmarkStart w:id="56"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1ADC28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01D3988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47FEBA2">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48D26E7">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5.年末结转和结余：指单位按有关规定结转到下年或以后年度继续使用的资金。</w:t>
      </w:r>
    </w:p>
    <w:p w14:paraId="0DBDC87D">
      <w:pPr>
        <w:ind w:firstLine="640" w:firstLineChars="200"/>
      </w:pPr>
      <w:r>
        <w:rPr>
          <w:rFonts w:hint="eastAsia" w:ascii="仿宋_GB2312" w:hAnsi="Calibri" w:eastAsia="仿宋_GB2312" w:cs="仿宋"/>
          <w:kern w:val="0"/>
          <w:sz w:val="32"/>
          <w:szCs w:val="32"/>
        </w:rPr>
        <w:t>6.教育（205）基础教育（02）学前教育（01）：反映各部门举办的学前教育支出。政府各部门对社会组织等举办的幼儿园的资助，如捐赠、补贴等，也在本科目中反映。</w:t>
      </w:r>
    </w:p>
    <w:p w14:paraId="72172E8D">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7.教育（205）基础教育（02）小学教育（02）：反映各部门举办的小学教育支出。政府各部门对社会组织等举办的小学的资助，如捐赠、补贴等，也在本科目中反映。</w:t>
      </w:r>
    </w:p>
    <w:p w14:paraId="74A2B76C">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8.教育（205）基础教育（02）初中教育（03）：反映各部门举办的初中教育支出。政府各部门对社会组织等举办的初中的资助，如捐赠、补贴等，也在本科目中反映。</w:t>
      </w:r>
    </w:p>
    <w:p w14:paraId="4C1598BD">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9. 社会保障和就业（208）行政事业单位养老支出（05）事业单位离退休（02）：反映事业单位的离退休经费。</w:t>
      </w:r>
    </w:p>
    <w:p w14:paraId="0FF30A9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10. 社会保障和就业（208）行政事业单位养老支出（05）机关事业单位基本养老保险缴费支出（05）：反映机关事业单位实施养老保险制度由单位缴纳的基本养老保险费支出。</w:t>
      </w:r>
    </w:p>
    <w:p w14:paraId="71DD379E">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11. 社会保障和就业（208）行政事业单位养老支出（05）机关事业单位职业年金缴费支出（06）：反映机关事业单位实施养老保险制度由单位缴纳的职业年金支出。</w:t>
      </w:r>
    </w:p>
    <w:p w14:paraId="05C8EFBD">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12. 社会保障和就业（208）行政事业单位养老支出（05）其他行政事业单位养老支出（99）：反映除上述项目以外其他用于行政事业单位养老方面的支出。</w:t>
      </w:r>
    </w:p>
    <w:p w14:paraId="5ED3DE82">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13. 社会保障和就业（208）抚恤（08）死亡抚恤（01）：反映按规定用于烈士和牺牲、病故人员家属的一次性和定期抚恤金以及丧葬补助费。</w:t>
      </w:r>
    </w:p>
    <w:p w14:paraId="4F6F1F37">
      <w:pPr>
        <w:ind w:firstLine="640" w:firstLineChars="200"/>
      </w:pPr>
      <w:r>
        <w:rPr>
          <w:rFonts w:hint="eastAsia" w:ascii="仿宋_GB2312" w:hAnsi="Calibri" w:eastAsia="仿宋_GB2312" w:cs="仿宋"/>
          <w:kern w:val="0"/>
          <w:sz w:val="32"/>
          <w:szCs w:val="32"/>
        </w:rPr>
        <w:t xml:space="preserve">14. </w:t>
      </w:r>
      <w:r>
        <w:rPr>
          <w:rFonts w:hint="eastAsia" w:ascii="仿宋" w:hAnsi="仿宋" w:eastAsia="仿宋"/>
          <w:sz w:val="32"/>
          <w:szCs w:val="32"/>
        </w:rPr>
        <w:t>卫生健康支出（210）行政事业单位医疗（11）事业单位医疗（02）</w:t>
      </w:r>
      <w:r>
        <w:rPr>
          <w:rFonts w:hint="eastAsia" w:ascii="仿宋_GB2312" w:hAnsi="Calibri" w:eastAsia="仿宋_GB2312" w:cs="仿宋"/>
          <w:kern w:val="0"/>
          <w:sz w:val="32"/>
          <w:szCs w:val="32"/>
        </w:rPr>
        <w:t>：反映财政部门安排的事业单位基本医疗保险缴费经费，未参加医疗保险的事业单位的公费医疗经费，按国家规定享受离休人员待遇的医疗经费。</w:t>
      </w:r>
    </w:p>
    <w:p w14:paraId="15FD2D99">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15. 住房保障支出（221）住房改革支出（02）住房公积金（01）：反映行政事业单位按人力资源和社会保障部、财政部规定的基本工资和津贴补贴以及规定比例为职工缴纳的住房公积金。</w:t>
      </w:r>
    </w:p>
    <w:p w14:paraId="787EC119">
      <w:pPr>
        <w:ind w:firstLine="640" w:firstLineChars="200"/>
        <w:rPr>
          <w:rFonts w:ascii="仿宋_GB2312" w:eastAsia="仿宋_GB2312"/>
          <w:sz w:val="32"/>
          <w:szCs w:val="32"/>
        </w:rPr>
      </w:pPr>
      <w:r>
        <w:rPr>
          <w:rFonts w:hint="eastAsia" w:ascii="仿宋_GB2312" w:hAnsi="Calibri" w:eastAsia="仿宋_GB2312" w:cs="仿宋"/>
          <w:kern w:val="0"/>
          <w:sz w:val="32"/>
          <w:szCs w:val="32"/>
        </w:rPr>
        <w:t>16.基本支出：指为保障机构正常运转、完成日常工作任务而发生的人员支出和公用支出。</w:t>
      </w:r>
    </w:p>
    <w:p w14:paraId="6D6E809B">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97ABC7E">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B82006A">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C07EF5">
      <w:pPr>
        <w:spacing w:line="600" w:lineRule="exact"/>
        <w:jc w:val="center"/>
        <w:outlineLvl w:val="0"/>
        <w:rPr>
          <w:rFonts w:hint="eastAsia" w:ascii="宋体" w:hAnsi="宋体" w:eastAsia="宋体" w:cs="宋体"/>
          <w:b/>
          <w:sz w:val="44"/>
          <w:szCs w:val="44"/>
        </w:rPr>
      </w:pPr>
    </w:p>
    <w:p w14:paraId="614A076D">
      <w:pPr>
        <w:spacing w:line="600" w:lineRule="exact"/>
        <w:jc w:val="center"/>
        <w:outlineLvl w:val="0"/>
        <w:rPr>
          <w:rFonts w:hint="eastAsia" w:ascii="宋体" w:hAnsi="宋体" w:eastAsia="宋体" w:cs="宋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1F94CF04">
      <w:pPr>
        <w:spacing w:line="600" w:lineRule="exact"/>
        <w:jc w:val="center"/>
        <w:outlineLvl w:val="0"/>
        <w:rPr>
          <w:rStyle w:val="27"/>
          <w:rFonts w:hint="eastAsia" w:ascii="黑体" w:hAnsi="黑体" w:eastAsia="黑体" w:cs="黑体"/>
          <w:b w:val="0"/>
          <w:lang w:val="en-US" w:eastAsia="zh-CN"/>
        </w:rPr>
      </w:pPr>
      <w:bookmarkStart w:id="57" w:name="_Toc15396614"/>
      <w:r>
        <w:rPr>
          <w:rFonts w:hint="eastAsia" w:ascii="黑体" w:hAnsi="黑体" w:eastAsia="黑体" w:cs="黑体"/>
          <w:sz w:val="44"/>
          <w:szCs w:val="44"/>
        </w:rPr>
        <w:t>第</w:t>
      </w:r>
      <w:r>
        <w:rPr>
          <w:rStyle w:val="27"/>
          <w:rFonts w:hint="eastAsia" w:ascii="黑体" w:hAnsi="黑体" w:eastAsia="黑体" w:cs="黑体"/>
          <w:b w:val="0"/>
        </w:rPr>
        <w:t>四部分 附件</w:t>
      </w:r>
      <w:bookmarkEnd w:id="57"/>
    </w:p>
    <w:tbl>
      <w:tblPr>
        <w:tblStyle w:val="15"/>
        <w:tblW w:w="14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845"/>
        <w:gridCol w:w="1846"/>
        <w:gridCol w:w="2830"/>
        <w:gridCol w:w="1477"/>
        <w:gridCol w:w="1723"/>
        <w:gridCol w:w="1108"/>
        <w:gridCol w:w="862"/>
        <w:gridCol w:w="900"/>
      </w:tblGrid>
      <w:tr w14:paraId="219C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9" w:hRule="atLeast"/>
        </w:trPr>
        <w:tc>
          <w:tcPr>
            <w:tcW w:w="14058" w:type="dxa"/>
            <w:gridSpan w:val="9"/>
            <w:tcBorders>
              <w:top w:val="nil"/>
              <w:left w:val="nil"/>
              <w:bottom w:val="nil"/>
              <w:right w:val="nil"/>
            </w:tcBorders>
            <w:shd w:val="clear" w:color="auto" w:fill="auto"/>
            <w:vAlign w:val="center"/>
          </w:tcPr>
          <w:p w14:paraId="01339A63">
            <w:pPr>
              <w:keepNext w:val="0"/>
              <w:keepLines w:val="0"/>
              <w:widowControl/>
              <w:suppressLineNumbers w:val="0"/>
              <w:jc w:val="center"/>
              <w:textAlignment w:val="center"/>
              <w:rPr>
                <w:rFonts w:hint="default" w:ascii="黑体" w:hAnsi="宋体" w:eastAsia="黑体" w:cs="黑体"/>
                <w:i w:val="0"/>
                <w:iCs w:val="0"/>
                <w:color w:val="000000"/>
                <w:sz w:val="30"/>
                <w:szCs w:val="30"/>
                <w:u w:val="none"/>
                <w:lang w:val="en-US"/>
              </w:rPr>
            </w:pPr>
            <w:bookmarkStart w:id="58" w:name="_Toc15396618"/>
            <w:r>
              <w:rPr>
                <w:rFonts w:hint="eastAsia" w:ascii="黑体" w:hAnsi="宋体" w:eastAsia="黑体" w:cs="黑体"/>
                <w:i w:val="0"/>
                <w:iCs w:val="0"/>
                <w:color w:val="000000"/>
                <w:kern w:val="0"/>
                <w:sz w:val="30"/>
                <w:szCs w:val="30"/>
                <w:u w:val="none"/>
                <w:lang w:val="en-US" w:eastAsia="zh-CN" w:bidi="ar"/>
              </w:rPr>
              <w:t>部门整体支出绩效目标表完成情况自评表</w:t>
            </w:r>
          </w:p>
        </w:tc>
      </w:tr>
      <w:tr w14:paraId="271A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058" w:type="dxa"/>
            <w:gridSpan w:val="9"/>
            <w:tcBorders>
              <w:top w:val="nil"/>
              <w:left w:val="nil"/>
              <w:bottom w:val="nil"/>
              <w:right w:val="nil"/>
            </w:tcBorders>
            <w:shd w:val="clear" w:color="auto" w:fill="auto"/>
            <w:vAlign w:val="center"/>
          </w:tcPr>
          <w:p w14:paraId="092EB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0FA0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058" w:type="dxa"/>
            <w:gridSpan w:val="9"/>
            <w:tcBorders>
              <w:top w:val="nil"/>
              <w:left w:val="nil"/>
              <w:bottom w:val="nil"/>
              <w:right w:val="nil"/>
            </w:tcBorders>
            <w:shd w:val="clear" w:color="auto" w:fill="auto"/>
            <w:vAlign w:val="center"/>
          </w:tcPr>
          <w:p w14:paraId="4F0A154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2EF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15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832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大竹县妈妈镇金鸡学校部门</w:t>
            </w:r>
          </w:p>
        </w:tc>
      </w:tr>
      <w:tr w14:paraId="6E82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18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9F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B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C55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7F31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F4DA">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15DF9">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724.26</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62385">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724.26</w:t>
            </w:r>
          </w:p>
        </w:tc>
        <w:tc>
          <w:tcPr>
            <w:tcW w:w="4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901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0741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25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72FB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目标1：贯彻落实上级关于教育工作的法律、法规，拟订全校教育改革与发展战略和规划，并组织实施。</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目标2：指导各部门的教育教学改革，负责教育基本信息的统计、分析和发布。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目标3：负责推进义务教育均衡发展和促进教育公平，全面实施素质教育。</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目标4：归口管理全县的学历教育及其考试工作。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目标5：组织、指导全校教育督导工作。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目标6：统筹管理全校语言文字工作。</w:t>
            </w:r>
          </w:p>
        </w:tc>
      </w:tr>
      <w:tr w14:paraId="1A90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8F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16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705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57AB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6E497">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7DA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增强学生知识素养</w:t>
            </w:r>
          </w:p>
        </w:tc>
        <w:tc>
          <w:tcPr>
            <w:tcW w:w="8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B751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全面提高学生知识面，在德智体美劳等方面全面发展</w:t>
            </w:r>
          </w:p>
        </w:tc>
      </w:tr>
      <w:tr w14:paraId="2F50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B20D">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131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保障大竹县妈妈镇金鸡学校职工正常工作、教书育人</w:t>
            </w:r>
          </w:p>
        </w:tc>
        <w:tc>
          <w:tcPr>
            <w:tcW w:w="8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9523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全体教职工正常完成教学工作</w:t>
            </w:r>
          </w:p>
        </w:tc>
      </w:tr>
      <w:tr w14:paraId="09CE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E776">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057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把教育教学质量放在首位，提高教学水平，办人民满意教育</w:t>
            </w:r>
          </w:p>
        </w:tc>
        <w:tc>
          <w:tcPr>
            <w:tcW w:w="8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0CA8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六、九年级学生毕业、升学，取得较好成绩</w:t>
            </w:r>
          </w:p>
        </w:tc>
      </w:tr>
      <w:tr w14:paraId="2AE6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7798">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CA6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保障大竹县妈妈镇金鸡学校学生正常到校、学习生活</w:t>
            </w:r>
          </w:p>
        </w:tc>
        <w:tc>
          <w:tcPr>
            <w:tcW w:w="8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3F57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全体学生正常到校学习，健康成长</w:t>
            </w:r>
          </w:p>
        </w:tc>
      </w:tr>
      <w:tr w14:paraId="6769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E7C12">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6ED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节能减排</w:t>
            </w:r>
          </w:p>
        </w:tc>
        <w:tc>
          <w:tcPr>
            <w:tcW w:w="8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02BA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厉行节约、做到人走灯灭。节水、节电等</w:t>
            </w:r>
          </w:p>
        </w:tc>
      </w:tr>
      <w:tr w14:paraId="59E0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7127B">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7CC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提升教师队伍素质</w:t>
            </w:r>
          </w:p>
        </w:tc>
        <w:tc>
          <w:tcPr>
            <w:tcW w:w="89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792F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通过培训，不断提升教师队伍德整体教育教学水平</w:t>
            </w:r>
          </w:p>
        </w:tc>
      </w:tr>
      <w:tr w14:paraId="49F6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07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1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D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6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8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8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F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p>
        </w:tc>
      </w:tr>
      <w:tr w14:paraId="7D9D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F223D">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3C9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62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7D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对学生进行爱国主义教育</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1F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02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9D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89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1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14:paraId="7917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C11E1">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C5ED9">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F2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ED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在教科局期末抽考中优秀成绩学生</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D6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88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DE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1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2D3C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518C">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F41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B2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D0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学生整体素质的提高</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7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FE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93E3">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2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7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r>
      <w:tr w14:paraId="2010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81EE">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9667">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DC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6C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教学质量稳步提升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51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AC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A85">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89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D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r>
      <w:tr w14:paraId="5945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55E8">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8F6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666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17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教职工对学校发展和管理满意度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8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ED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91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17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B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14:paraId="7043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8B6B3">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599D2">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145F">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89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学生家长、社会对学校教育、教学质量满意度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0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35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24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7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8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r>
    </w:tbl>
    <w:p w14:paraId="2FD63A64">
      <w:pPr>
        <w:pStyle w:val="6"/>
        <w:spacing w:before="93"/>
        <w:rPr>
          <w:rFonts w:hint="eastAsia" w:ascii="宋体" w:hAnsi="宋体" w:eastAsia="宋体" w:cs="宋体"/>
          <w:sz w:val="32"/>
          <w:szCs w:val="32"/>
        </w:rPr>
      </w:pPr>
    </w:p>
    <w:p w14:paraId="12A229A6">
      <w:pPr>
        <w:pStyle w:val="6"/>
        <w:spacing w:before="93"/>
        <w:rPr>
          <w:rFonts w:hint="eastAsia" w:ascii="宋体" w:hAnsi="宋体" w:eastAsia="宋体" w:cs="宋体"/>
          <w:sz w:val="32"/>
          <w:szCs w:val="32"/>
        </w:rPr>
      </w:pPr>
    </w:p>
    <w:tbl>
      <w:tblPr>
        <w:tblStyle w:val="15"/>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2049"/>
        <w:gridCol w:w="1765"/>
        <w:gridCol w:w="2258"/>
        <w:gridCol w:w="524"/>
        <w:gridCol w:w="1675"/>
        <w:gridCol w:w="524"/>
        <w:gridCol w:w="1094"/>
        <w:gridCol w:w="510"/>
        <w:gridCol w:w="486"/>
        <w:gridCol w:w="2541"/>
      </w:tblGrid>
      <w:tr w14:paraId="7537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D69A7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84F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3F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B225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51172422T000005649709-幼儿园活动用费及设施设备采购（存量））</w:t>
            </w:r>
          </w:p>
        </w:tc>
      </w:tr>
      <w:tr w14:paraId="7F51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408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6383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大竹县妈妈镇金鸡学校部门</w:t>
            </w:r>
          </w:p>
        </w:tc>
        <w:tc>
          <w:tcPr>
            <w:tcW w:w="1095" w:type="dxa"/>
            <w:tcBorders>
              <w:top w:val="nil"/>
              <w:left w:val="nil"/>
              <w:bottom w:val="nil"/>
              <w:right w:val="nil"/>
            </w:tcBorders>
            <w:shd w:val="clear" w:color="auto" w:fill="auto"/>
            <w:vAlign w:val="center"/>
          </w:tcPr>
          <w:p w14:paraId="7FDC1AF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0E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大竹县妈妈镇金鸡学校</w:t>
            </w:r>
          </w:p>
        </w:tc>
      </w:tr>
      <w:tr w14:paraId="4CF9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91B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113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C0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2C1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86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9B36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5ECB">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1F45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为发展幼儿教育，建设幼儿园教学楼，为幼儿教育营造良好的教育教学环境。</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D0E0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为发展幼儿教育，建设幼儿园教学楼，为幼儿教育营造良好的教育教学环境。</w:t>
            </w:r>
          </w:p>
        </w:tc>
      </w:tr>
      <w:tr w14:paraId="407D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CE49F">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2C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3001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为发展幼儿教育，建设幼儿园教学楼，为幼儿教育营造良好的教育教学环境。</w:t>
            </w:r>
          </w:p>
        </w:tc>
      </w:tr>
      <w:tr w14:paraId="1E83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DD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1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A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F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81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1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0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1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7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3F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0CE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6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9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7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F5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D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C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2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D36C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项目资金指标追加</w:t>
            </w:r>
          </w:p>
        </w:tc>
      </w:tr>
      <w:tr w14:paraId="4406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897C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5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D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A7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6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91E7">
            <w:pPr>
              <w:rPr>
                <w:rFonts w:hint="eastAsia" w:ascii="黑体" w:hAnsi="黑体" w:eastAsia="黑体" w:cs="黑体"/>
                <w:i/>
                <w:iCs/>
                <w:color w:val="000000"/>
                <w:sz w:val="18"/>
                <w:szCs w:val="18"/>
                <w:u w:val="none"/>
              </w:rPr>
            </w:pPr>
          </w:p>
        </w:tc>
      </w:tr>
      <w:tr w14:paraId="598E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E867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8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8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5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5A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E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D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6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F100">
            <w:pPr>
              <w:rPr>
                <w:rFonts w:hint="eastAsia" w:ascii="黑体" w:hAnsi="黑体" w:eastAsia="黑体" w:cs="黑体"/>
                <w:i/>
                <w:iCs/>
                <w:color w:val="000000"/>
                <w:sz w:val="18"/>
                <w:szCs w:val="18"/>
                <w:u w:val="none"/>
              </w:rPr>
            </w:pPr>
          </w:p>
        </w:tc>
      </w:tr>
      <w:tr w14:paraId="1D4C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38D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0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0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F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B1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F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B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006E6">
            <w:pPr>
              <w:rPr>
                <w:rFonts w:hint="eastAsia" w:ascii="黑体" w:hAnsi="黑体" w:eastAsia="黑体" w:cs="黑体"/>
                <w:i/>
                <w:iCs/>
                <w:color w:val="000000"/>
                <w:sz w:val="18"/>
                <w:szCs w:val="18"/>
                <w:u w:val="none"/>
              </w:rPr>
            </w:pPr>
          </w:p>
        </w:tc>
      </w:tr>
      <w:tr w14:paraId="48D2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9423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C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E88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2F86">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81CFB">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293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4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1AEB9">
            <w:pPr>
              <w:rPr>
                <w:rFonts w:hint="eastAsia" w:ascii="黑体" w:hAnsi="黑体" w:eastAsia="黑体" w:cs="黑体"/>
                <w:i/>
                <w:iCs/>
                <w:color w:val="000000"/>
                <w:sz w:val="18"/>
                <w:szCs w:val="18"/>
                <w:u w:val="none"/>
              </w:rPr>
            </w:pPr>
          </w:p>
        </w:tc>
      </w:tr>
      <w:tr w14:paraId="2005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CC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4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4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B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C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3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A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9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1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1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578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91C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8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F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6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建设教学楼，经相关部门验收合格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C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B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2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4F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A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9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E91C">
            <w:pPr>
              <w:jc w:val="center"/>
              <w:rPr>
                <w:rFonts w:hint="eastAsia" w:ascii="微软雅黑" w:hAnsi="微软雅黑" w:eastAsia="微软雅黑" w:cs="微软雅黑"/>
                <w:i/>
                <w:iCs/>
                <w:color w:val="000000"/>
                <w:sz w:val="16"/>
                <w:szCs w:val="16"/>
                <w:u w:val="none"/>
              </w:rPr>
            </w:pPr>
          </w:p>
        </w:tc>
      </w:tr>
      <w:tr w14:paraId="2331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687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F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4956">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5A1B">
            <w:pPr>
              <w:rPr>
                <w:rFonts w:hint="eastAsia" w:ascii="宋体" w:hAnsi="宋体" w:eastAsia="宋体" w:cs="宋体"/>
                <w:i w:val="0"/>
                <w:iCs w:val="0"/>
                <w:color w:val="000000"/>
                <w:sz w:val="18"/>
                <w:szCs w:val="18"/>
                <w:u w:val="none"/>
              </w:rPr>
            </w:pPr>
          </w:p>
        </w:tc>
      </w:tr>
      <w:tr w14:paraId="3AB5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1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5857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6410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A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7DB804">
            <w:pPr>
              <w:rPr>
                <w:rFonts w:hint="eastAsia" w:ascii="微软雅黑" w:hAnsi="微软雅黑" w:eastAsia="微软雅黑" w:cs="微软雅黑"/>
                <w:i/>
                <w:iCs/>
                <w:color w:val="000000"/>
                <w:sz w:val="16"/>
                <w:szCs w:val="16"/>
                <w:u w:val="none"/>
              </w:rPr>
            </w:pPr>
          </w:p>
        </w:tc>
      </w:tr>
      <w:tr w14:paraId="22F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2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D491D7">
            <w:pPr>
              <w:rPr>
                <w:rFonts w:hint="eastAsia" w:ascii="微软雅黑" w:hAnsi="微软雅黑" w:eastAsia="微软雅黑" w:cs="微软雅黑"/>
                <w:i/>
                <w:iCs/>
                <w:color w:val="000000"/>
                <w:sz w:val="16"/>
                <w:szCs w:val="16"/>
                <w:u w:val="none"/>
              </w:rPr>
            </w:pPr>
          </w:p>
        </w:tc>
      </w:tr>
      <w:tr w14:paraId="2FF0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0456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项目负责人：黄晓波</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9000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财务负责人：钟和平</w:t>
            </w:r>
          </w:p>
        </w:tc>
      </w:tr>
      <w:tr w14:paraId="43A2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02E69AF">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A605F5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4A633F3">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1334F90">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2D6370C">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DB9445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D2D381E">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8E7D258">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01FC68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83ADFDF">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65BD8DA">
            <w:pPr>
              <w:rPr>
                <w:rFonts w:hint="eastAsia" w:ascii="宋体" w:hAnsi="宋体" w:eastAsia="宋体" w:cs="宋体"/>
                <w:i w:val="0"/>
                <w:iCs w:val="0"/>
                <w:color w:val="000000"/>
                <w:sz w:val="18"/>
                <w:szCs w:val="18"/>
                <w:u w:val="none"/>
              </w:rPr>
            </w:pPr>
          </w:p>
        </w:tc>
      </w:tr>
      <w:tr w14:paraId="7462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3841B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A8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1F6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53BF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51172422T000005708497-营养餐</w:t>
            </w:r>
          </w:p>
        </w:tc>
      </w:tr>
      <w:tr w14:paraId="323B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99E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1BA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大竹县妈妈镇金鸡学校部门</w:t>
            </w:r>
          </w:p>
        </w:tc>
        <w:tc>
          <w:tcPr>
            <w:tcW w:w="1095" w:type="dxa"/>
            <w:tcBorders>
              <w:top w:val="nil"/>
              <w:left w:val="nil"/>
              <w:bottom w:val="nil"/>
              <w:right w:val="nil"/>
            </w:tcBorders>
            <w:shd w:val="clear" w:color="auto" w:fill="auto"/>
            <w:vAlign w:val="center"/>
          </w:tcPr>
          <w:p w14:paraId="01E6BB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24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大竹县妈妈镇金鸡学校</w:t>
            </w:r>
          </w:p>
        </w:tc>
      </w:tr>
      <w:tr w14:paraId="744B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916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0E1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A2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BCB1E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B79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2C4E">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A51D6">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CB9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严格执行相关政策，保障营养餐费用及时、足额拨付，预算编制科学合理，减少结余资金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72A1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严格执行相关政策，保障营养餐费用及时、足额拨付，预算编制科学合理，减少结余资金</w:t>
            </w:r>
          </w:p>
        </w:tc>
      </w:tr>
      <w:tr w14:paraId="4974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54F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4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5869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严格执行相关政策，保障营养餐费用及时、足额拨付，预算编制科学合理，减少结余资金</w:t>
            </w:r>
          </w:p>
        </w:tc>
      </w:tr>
      <w:tr w14:paraId="395E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F6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B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F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9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3A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D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8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A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4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9B5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9D2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2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E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FB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6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5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C15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8B5F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项目资金指标追加</w:t>
            </w:r>
          </w:p>
        </w:tc>
      </w:tr>
      <w:tr w14:paraId="598A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0BE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F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F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6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DA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3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6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B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0F480">
            <w:pPr>
              <w:rPr>
                <w:rFonts w:hint="eastAsia" w:ascii="黑体" w:hAnsi="黑体" w:eastAsia="黑体" w:cs="黑体"/>
                <w:i/>
                <w:iCs/>
                <w:color w:val="000000"/>
                <w:sz w:val="18"/>
                <w:szCs w:val="18"/>
                <w:u w:val="none"/>
              </w:rPr>
            </w:pPr>
          </w:p>
        </w:tc>
      </w:tr>
      <w:tr w14:paraId="5AF1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119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D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5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7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AB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9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1AFE">
            <w:pPr>
              <w:rPr>
                <w:rFonts w:hint="eastAsia" w:ascii="黑体" w:hAnsi="黑体" w:eastAsia="黑体" w:cs="黑体"/>
                <w:i/>
                <w:iCs/>
                <w:color w:val="000000"/>
                <w:sz w:val="18"/>
                <w:szCs w:val="18"/>
                <w:u w:val="none"/>
              </w:rPr>
            </w:pPr>
          </w:p>
        </w:tc>
      </w:tr>
      <w:tr w14:paraId="388F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C89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B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B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1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2F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9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3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C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813E">
            <w:pPr>
              <w:rPr>
                <w:rFonts w:hint="eastAsia" w:ascii="黑体" w:hAnsi="黑体" w:eastAsia="黑体" w:cs="黑体"/>
                <w:i/>
                <w:iCs/>
                <w:color w:val="000000"/>
                <w:sz w:val="18"/>
                <w:szCs w:val="18"/>
                <w:u w:val="none"/>
              </w:rPr>
            </w:pPr>
          </w:p>
        </w:tc>
      </w:tr>
      <w:tr w14:paraId="543E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7B2F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2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0FB0">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253F">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BA259">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66F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0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4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AF3D1">
            <w:pPr>
              <w:rPr>
                <w:rFonts w:hint="eastAsia" w:ascii="黑体" w:hAnsi="黑体" w:eastAsia="黑体" w:cs="黑体"/>
                <w:i/>
                <w:iCs/>
                <w:color w:val="000000"/>
                <w:sz w:val="18"/>
                <w:szCs w:val="18"/>
                <w:u w:val="none"/>
              </w:rPr>
            </w:pPr>
          </w:p>
        </w:tc>
      </w:tr>
      <w:tr w14:paraId="6A41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3E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D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F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5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2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3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E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E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4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D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D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036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3060C">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A7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E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D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9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1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4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3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1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F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F311">
            <w:pPr>
              <w:jc w:val="center"/>
              <w:rPr>
                <w:rFonts w:hint="eastAsia" w:ascii="宋体" w:hAnsi="宋体" w:eastAsia="宋体" w:cs="宋体"/>
                <w:i w:val="0"/>
                <w:iCs w:val="0"/>
                <w:color w:val="000000"/>
                <w:sz w:val="18"/>
                <w:szCs w:val="18"/>
                <w:u w:val="none"/>
              </w:rPr>
            </w:pPr>
          </w:p>
        </w:tc>
      </w:tr>
      <w:tr w14:paraId="3974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48D8">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A1047">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F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A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营养餐符合标准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D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B242">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506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6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9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D7FC">
            <w:pPr>
              <w:jc w:val="center"/>
              <w:rPr>
                <w:rFonts w:hint="eastAsia" w:ascii="宋体" w:hAnsi="宋体" w:eastAsia="宋体" w:cs="宋体"/>
                <w:i w:val="0"/>
                <w:iCs w:val="0"/>
                <w:color w:val="000000"/>
                <w:sz w:val="18"/>
                <w:szCs w:val="18"/>
                <w:u w:val="none"/>
              </w:rPr>
            </w:pPr>
          </w:p>
        </w:tc>
      </w:tr>
      <w:tr w14:paraId="3F03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7729">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A6A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9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C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项目实施时限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E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B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A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19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1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F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86DB">
            <w:pPr>
              <w:jc w:val="center"/>
              <w:rPr>
                <w:rFonts w:hint="eastAsia" w:ascii="宋体" w:hAnsi="宋体" w:eastAsia="宋体" w:cs="宋体"/>
                <w:i w:val="0"/>
                <w:iCs w:val="0"/>
                <w:color w:val="000000"/>
                <w:sz w:val="18"/>
                <w:szCs w:val="18"/>
                <w:u w:val="none"/>
              </w:rPr>
            </w:pPr>
          </w:p>
        </w:tc>
      </w:tr>
      <w:tr w14:paraId="2772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5129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4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E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A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保障学生健康成长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3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D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CE9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DFD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5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3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FAE8">
            <w:pPr>
              <w:jc w:val="center"/>
              <w:rPr>
                <w:rFonts w:hint="eastAsia" w:ascii="宋体" w:hAnsi="宋体" w:eastAsia="宋体" w:cs="宋体"/>
                <w:i w:val="0"/>
                <w:iCs w:val="0"/>
                <w:color w:val="000000"/>
                <w:sz w:val="18"/>
                <w:szCs w:val="18"/>
                <w:u w:val="none"/>
              </w:rPr>
            </w:pPr>
          </w:p>
        </w:tc>
      </w:tr>
      <w:tr w14:paraId="0B4E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B68F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A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4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5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学生、家长、社会满意度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6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6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A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9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2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14F">
            <w:pPr>
              <w:jc w:val="center"/>
              <w:rPr>
                <w:rFonts w:hint="eastAsia" w:ascii="宋体" w:hAnsi="宋体" w:eastAsia="宋体" w:cs="宋体"/>
                <w:i w:val="0"/>
                <w:iCs w:val="0"/>
                <w:color w:val="000000"/>
                <w:sz w:val="18"/>
                <w:szCs w:val="18"/>
                <w:u w:val="none"/>
              </w:rPr>
            </w:pPr>
          </w:p>
        </w:tc>
      </w:tr>
      <w:tr w14:paraId="0301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907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5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304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7CA3">
            <w:pPr>
              <w:rPr>
                <w:rFonts w:hint="eastAsia" w:ascii="宋体" w:hAnsi="宋体" w:eastAsia="宋体" w:cs="宋体"/>
                <w:i w:val="0"/>
                <w:iCs w:val="0"/>
                <w:color w:val="000000"/>
                <w:sz w:val="18"/>
                <w:szCs w:val="18"/>
                <w:u w:val="none"/>
              </w:rPr>
            </w:pPr>
          </w:p>
        </w:tc>
      </w:tr>
      <w:tr w14:paraId="45F3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C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F3C5E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5C57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5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841D8E">
            <w:pPr>
              <w:rPr>
                <w:rFonts w:hint="eastAsia" w:ascii="微软雅黑" w:hAnsi="微软雅黑" w:eastAsia="微软雅黑" w:cs="微软雅黑"/>
                <w:i/>
                <w:iCs/>
                <w:color w:val="000000"/>
                <w:sz w:val="16"/>
                <w:szCs w:val="16"/>
                <w:u w:val="none"/>
              </w:rPr>
            </w:pPr>
          </w:p>
        </w:tc>
      </w:tr>
      <w:tr w14:paraId="2CDA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C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E941F9">
            <w:pPr>
              <w:rPr>
                <w:rFonts w:hint="eastAsia" w:ascii="微软雅黑" w:hAnsi="微软雅黑" w:eastAsia="微软雅黑" w:cs="微软雅黑"/>
                <w:i/>
                <w:iCs/>
                <w:color w:val="000000"/>
                <w:sz w:val="16"/>
                <w:szCs w:val="16"/>
                <w:u w:val="none"/>
              </w:rPr>
            </w:pPr>
          </w:p>
        </w:tc>
      </w:tr>
      <w:tr w14:paraId="5C5F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FA3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项目负责人：黄晓波</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BD30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财务负责人：钟和平</w:t>
            </w:r>
          </w:p>
        </w:tc>
      </w:tr>
    </w:tbl>
    <w:p w14:paraId="31A7127D">
      <w:pPr>
        <w:rPr>
          <w:rFonts w:hint="eastAsia" w:ascii="宋体" w:hAnsi="宋体" w:eastAsia="宋体" w:cs="宋体"/>
          <w:sz w:val="32"/>
          <w:szCs w:val="32"/>
        </w:rPr>
        <w:sectPr>
          <w:pgSz w:w="16838" w:h="11906" w:orient="landscape"/>
          <w:pgMar w:top="1800" w:right="1440" w:bottom="1800" w:left="1440" w:header="851" w:footer="992" w:gutter="0"/>
          <w:cols w:space="425" w:num="1"/>
          <w:titlePg/>
          <w:docGrid w:type="lines" w:linePitch="312" w:charSpace="0"/>
        </w:sectPr>
      </w:pPr>
      <w:r>
        <w:rPr>
          <w:rFonts w:hint="eastAsia" w:ascii="宋体" w:hAnsi="宋体" w:eastAsia="宋体" w:cs="宋体"/>
          <w:sz w:val="32"/>
          <w:szCs w:val="32"/>
        </w:rPr>
        <w:br w:type="page"/>
      </w:r>
    </w:p>
    <w:p w14:paraId="2EE24850">
      <w:pPr>
        <w:spacing w:line="600" w:lineRule="exact"/>
        <w:jc w:val="center"/>
        <w:outlineLvl w:val="0"/>
        <w:rPr>
          <w:rFonts w:hint="eastAsia" w:ascii="宋体" w:hAnsi="宋体" w:eastAsia="宋体" w:cs="宋体"/>
        </w:rPr>
      </w:pPr>
      <w:r>
        <w:rPr>
          <w:rFonts w:hint="eastAsia" w:ascii="黑体" w:hAnsi="黑体" w:eastAsia="黑体" w:cs="黑体"/>
          <w:sz w:val="44"/>
          <w:szCs w:val="44"/>
        </w:rPr>
        <w:t>第</w:t>
      </w:r>
      <w:r>
        <w:rPr>
          <w:rStyle w:val="27"/>
          <w:rFonts w:hint="eastAsia" w:ascii="黑体" w:hAnsi="黑体" w:eastAsia="黑体" w:cs="黑体"/>
          <w:b w:val="0"/>
        </w:rPr>
        <w:t>五部分 附表</w:t>
      </w:r>
      <w:bookmarkEnd w:id="56"/>
      <w:bookmarkEnd w:id="58"/>
      <w:bookmarkStart w:id="59" w:name="_Toc15396619"/>
    </w:p>
    <w:p w14:paraId="366F2625">
      <w:pPr>
        <w:pStyle w:val="4"/>
        <w:rPr>
          <w:rFonts w:hint="eastAsia" w:ascii="仿宋" w:hAnsi="仿宋" w:eastAsia="仿宋" w:cs="仿宋"/>
        </w:rPr>
      </w:pPr>
      <w:r>
        <w:rPr>
          <w:rFonts w:hint="eastAsia" w:ascii="仿宋" w:hAnsi="仿宋" w:eastAsia="仿宋" w:cs="仿宋"/>
          <w:b w:val="0"/>
        </w:rPr>
        <w:t>一、收</w:t>
      </w:r>
      <w:r>
        <w:rPr>
          <w:rStyle w:val="28"/>
          <w:rFonts w:hint="eastAsia" w:ascii="仿宋" w:hAnsi="仿宋" w:eastAsia="仿宋" w:cs="仿宋"/>
          <w:b w:val="0"/>
          <w:bCs w:val="0"/>
        </w:rPr>
        <w:t>入支出决算总表</w:t>
      </w:r>
      <w:bookmarkEnd w:id="59"/>
    </w:p>
    <w:p w14:paraId="3B42B5DD">
      <w:pPr>
        <w:pStyle w:val="4"/>
        <w:rPr>
          <w:rFonts w:hint="eastAsia" w:ascii="仿宋" w:hAnsi="仿宋" w:eastAsia="仿宋" w:cs="仿宋"/>
        </w:rPr>
      </w:pPr>
      <w:bookmarkStart w:id="60" w:name="_Toc15396620"/>
      <w:r>
        <w:rPr>
          <w:rFonts w:hint="eastAsia" w:ascii="仿宋" w:hAnsi="仿宋" w:eastAsia="仿宋" w:cs="仿宋"/>
          <w:b w:val="0"/>
        </w:rPr>
        <w:t>二、收</w:t>
      </w:r>
      <w:r>
        <w:rPr>
          <w:rStyle w:val="28"/>
          <w:rFonts w:hint="eastAsia" w:ascii="仿宋" w:hAnsi="仿宋" w:eastAsia="仿宋" w:cs="仿宋"/>
          <w:b w:val="0"/>
          <w:bCs w:val="0"/>
        </w:rPr>
        <w:t>入决算表</w:t>
      </w:r>
      <w:bookmarkEnd w:id="60"/>
    </w:p>
    <w:p w14:paraId="0522E779">
      <w:pPr>
        <w:pStyle w:val="4"/>
        <w:rPr>
          <w:rFonts w:hint="eastAsia" w:ascii="仿宋" w:hAnsi="仿宋" w:eastAsia="仿宋" w:cs="仿宋"/>
        </w:rPr>
      </w:pPr>
      <w:bookmarkStart w:id="61" w:name="_Toc15396621"/>
      <w:r>
        <w:rPr>
          <w:rStyle w:val="28"/>
          <w:rFonts w:hint="eastAsia" w:ascii="仿宋" w:hAnsi="仿宋" w:eastAsia="仿宋" w:cs="仿宋"/>
          <w:b w:val="0"/>
          <w:bCs w:val="0"/>
        </w:rPr>
        <w:t>三、</w:t>
      </w:r>
      <w:r>
        <w:rPr>
          <w:rFonts w:hint="eastAsia" w:ascii="仿宋" w:hAnsi="仿宋" w:eastAsia="仿宋" w:cs="仿宋"/>
          <w:b w:val="0"/>
        </w:rPr>
        <w:t>支</w:t>
      </w:r>
      <w:r>
        <w:rPr>
          <w:rStyle w:val="28"/>
          <w:rFonts w:hint="eastAsia" w:ascii="仿宋" w:hAnsi="仿宋" w:eastAsia="仿宋" w:cs="仿宋"/>
          <w:b w:val="0"/>
          <w:bCs w:val="0"/>
        </w:rPr>
        <w:t>出决算表</w:t>
      </w:r>
      <w:bookmarkEnd w:id="61"/>
    </w:p>
    <w:p w14:paraId="4D2A7C93">
      <w:pPr>
        <w:pStyle w:val="4"/>
        <w:rPr>
          <w:rFonts w:hint="eastAsia" w:ascii="仿宋" w:hAnsi="仿宋" w:eastAsia="仿宋" w:cs="仿宋"/>
          <w:b w:val="0"/>
        </w:rPr>
      </w:pPr>
      <w:bookmarkStart w:id="62" w:name="_Toc15396622"/>
      <w:r>
        <w:rPr>
          <w:rStyle w:val="28"/>
          <w:rFonts w:hint="eastAsia" w:ascii="仿宋" w:hAnsi="仿宋" w:eastAsia="仿宋" w:cs="仿宋"/>
          <w:b w:val="0"/>
          <w:bCs w:val="0"/>
        </w:rPr>
        <w:t>四、</w:t>
      </w:r>
      <w:r>
        <w:rPr>
          <w:rFonts w:hint="eastAsia" w:ascii="仿宋" w:hAnsi="仿宋" w:eastAsia="仿宋" w:cs="仿宋"/>
          <w:b w:val="0"/>
        </w:rPr>
        <w:t>财</w:t>
      </w:r>
      <w:r>
        <w:rPr>
          <w:rStyle w:val="28"/>
          <w:rFonts w:hint="eastAsia" w:ascii="仿宋" w:hAnsi="仿宋" w:eastAsia="仿宋" w:cs="仿宋"/>
          <w:b w:val="0"/>
          <w:bCs w:val="0"/>
        </w:rPr>
        <w:t>政拨款收入支出决算总表</w:t>
      </w:r>
      <w:bookmarkEnd w:id="62"/>
    </w:p>
    <w:p w14:paraId="2F0530C4">
      <w:pPr>
        <w:pStyle w:val="4"/>
        <w:rPr>
          <w:rStyle w:val="28"/>
          <w:rFonts w:hint="eastAsia" w:ascii="仿宋" w:hAnsi="仿宋" w:eastAsia="仿宋" w:cs="仿宋"/>
          <w:b w:val="0"/>
          <w:bCs w:val="0"/>
        </w:rPr>
      </w:pPr>
      <w:bookmarkStart w:id="63" w:name="_Toc15396623"/>
      <w:r>
        <w:rPr>
          <w:rStyle w:val="28"/>
          <w:rFonts w:hint="eastAsia" w:ascii="仿宋" w:hAnsi="仿宋" w:eastAsia="仿宋" w:cs="仿宋"/>
          <w:b w:val="0"/>
          <w:bCs w:val="0"/>
        </w:rPr>
        <w:t>五、</w:t>
      </w:r>
      <w:r>
        <w:rPr>
          <w:rFonts w:hint="eastAsia" w:ascii="仿宋" w:hAnsi="仿宋" w:eastAsia="仿宋" w:cs="仿宋"/>
          <w:b w:val="0"/>
        </w:rPr>
        <w:t>财</w:t>
      </w:r>
      <w:r>
        <w:rPr>
          <w:rStyle w:val="28"/>
          <w:rFonts w:hint="eastAsia" w:ascii="仿宋" w:hAnsi="仿宋" w:eastAsia="仿宋" w:cs="仿宋"/>
          <w:b w:val="0"/>
          <w:bCs w:val="0"/>
        </w:rPr>
        <w:t>政拨款支出决算明细表</w:t>
      </w:r>
      <w:bookmarkEnd w:id="63"/>
      <w:bookmarkStart w:id="64" w:name="_Toc15396624"/>
    </w:p>
    <w:p w14:paraId="5571B2B6">
      <w:pPr>
        <w:pStyle w:val="4"/>
        <w:rPr>
          <w:rFonts w:hint="eastAsia" w:ascii="仿宋" w:hAnsi="仿宋" w:eastAsia="仿宋" w:cs="仿宋"/>
        </w:rPr>
      </w:pPr>
      <w:r>
        <w:rPr>
          <w:rStyle w:val="28"/>
          <w:rFonts w:hint="eastAsia" w:ascii="仿宋" w:hAnsi="仿宋" w:eastAsia="仿宋" w:cs="仿宋"/>
          <w:b w:val="0"/>
          <w:bCs w:val="0"/>
        </w:rPr>
        <w:t>六、</w:t>
      </w:r>
      <w:r>
        <w:rPr>
          <w:rFonts w:hint="eastAsia" w:ascii="仿宋" w:hAnsi="仿宋" w:eastAsia="仿宋" w:cs="仿宋"/>
          <w:b w:val="0"/>
        </w:rPr>
        <w:t>一</w:t>
      </w:r>
      <w:r>
        <w:rPr>
          <w:rStyle w:val="28"/>
          <w:rFonts w:hint="eastAsia" w:ascii="仿宋" w:hAnsi="仿宋" w:eastAsia="仿宋" w:cs="仿宋"/>
          <w:b w:val="0"/>
          <w:bCs w:val="0"/>
        </w:rPr>
        <w:t>般公共预算财政拨款支出决算表</w:t>
      </w:r>
      <w:bookmarkEnd w:id="64"/>
    </w:p>
    <w:p w14:paraId="7D375728">
      <w:pPr>
        <w:pStyle w:val="4"/>
        <w:rPr>
          <w:rFonts w:hint="eastAsia" w:ascii="仿宋" w:hAnsi="仿宋" w:eastAsia="仿宋" w:cs="仿宋"/>
        </w:rPr>
      </w:pPr>
      <w:bookmarkStart w:id="65" w:name="_Toc15396625"/>
      <w:r>
        <w:rPr>
          <w:rStyle w:val="28"/>
          <w:rFonts w:hint="eastAsia" w:ascii="仿宋" w:hAnsi="仿宋" w:eastAsia="仿宋" w:cs="仿宋"/>
          <w:b w:val="0"/>
          <w:bCs w:val="0"/>
        </w:rPr>
        <w:t>七、</w:t>
      </w:r>
      <w:r>
        <w:rPr>
          <w:rFonts w:hint="eastAsia" w:ascii="仿宋" w:hAnsi="仿宋" w:eastAsia="仿宋" w:cs="仿宋"/>
          <w:b w:val="0"/>
        </w:rPr>
        <w:t>一</w:t>
      </w:r>
      <w:r>
        <w:rPr>
          <w:rStyle w:val="28"/>
          <w:rFonts w:hint="eastAsia" w:ascii="仿宋" w:hAnsi="仿宋" w:eastAsia="仿宋" w:cs="仿宋"/>
          <w:b w:val="0"/>
          <w:bCs w:val="0"/>
        </w:rPr>
        <w:t>般公共预算财政拨款支出决算明细表</w:t>
      </w:r>
      <w:bookmarkEnd w:id="65"/>
    </w:p>
    <w:p w14:paraId="179908E8">
      <w:pPr>
        <w:pStyle w:val="4"/>
        <w:rPr>
          <w:rFonts w:hint="eastAsia" w:ascii="仿宋" w:hAnsi="仿宋" w:eastAsia="仿宋" w:cs="仿宋"/>
        </w:rPr>
      </w:pPr>
      <w:bookmarkStart w:id="66" w:name="_Toc15396626"/>
      <w:r>
        <w:rPr>
          <w:rStyle w:val="28"/>
          <w:rFonts w:hint="eastAsia" w:ascii="仿宋" w:hAnsi="仿宋" w:eastAsia="仿宋" w:cs="仿宋"/>
          <w:b w:val="0"/>
          <w:bCs w:val="0"/>
        </w:rPr>
        <w:t>八、</w:t>
      </w:r>
      <w:r>
        <w:rPr>
          <w:rFonts w:hint="eastAsia" w:ascii="仿宋" w:hAnsi="仿宋" w:eastAsia="仿宋" w:cs="仿宋"/>
          <w:b w:val="0"/>
        </w:rPr>
        <w:t>一</w:t>
      </w:r>
      <w:r>
        <w:rPr>
          <w:rStyle w:val="28"/>
          <w:rFonts w:hint="eastAsia" w:ascii="仿宋" w:hAnsi="仿宋" w:eastAsia="仿宋" w:cs="仿宋"/>
          <w:b w:val="0"/>
          <w:bCs w:val="0"/>
        </w:rPr>
        <w:t>般公共预算财政拨款基本支出决算表</w:t>
      </w:r>
      <w:bookmarkEnd w:id="66"/>
    </w:p>
    <w:p w14:paraId="03C2AA5F">
      <w:pPr>
        <w:pStyle w:val="4"/>
        <w:rPr>
          <w:rFonts w:hint="eastAsia" w:ascii="仿宋" w:hAnsi="仿宋" w:eastAsia="仿宋" w:cs="仿宋"/>
        </w:rPr>
      </w:pPr>
      <w:bookmarkStart w:id="67" w:name="_Toc15396627"/>
      <w:r>
        <w:rPr>
          <w:rStyle w:val="28"/>
          <w:rFonts w:hint="eastAsia" w:ascii="仿宋" w:hAnsi="仿宋" w:eastAsia="仿宋" w:cs="仿宋"/>
          <w:b w:val="0"/>
          <w:bCs w:val="0"/>
        </w:rPr>
        <w:t>九、</w:t>
      </w:r>
      <w:r>
        <w:rPr>
          <w:rFonts w:hint="eastAsia" w:ascii="仿宋" w:hAnsi="仿宋" w:eastAsia="仿宋" w:cs="仿宋"/>
          <w:b w:val="0"/>
        </w:rPr>
        <w:t>一</w:t>
      </w:r>
      <w:r>
        <w:rPr>
          <w:rStyle w:val="28"/>
          <w:rFonts w:hint="eastAsia" w:ascii="仿宋" w:hAnsi="仿宋" w:eastAsia="仿宋" w:cs="仿宋"/>
          <w:b w:val="0"/>
          <w:bCs w:val="0"/>
        </w:rPr>
        <w:t>般公共预算财政拨款项目支出决算表</w:t>
      </w:r>
      <w:bookmarkEnd w:id="67"/>
    </w:p>
    <w:p w14:paraId="590F40B1">
      <w:pPr>
        <w:pStyle w:val="4"/>
        <w:rPr>
          <w:rFonts w:hint="eastAsia" w:ascii="仿宋" w:hAnsi="仿宋" w:eastAsia="仿宋" w:cs="仿宋"/>
        </w:rPr>
      </w:pPr>
      <w:bookmarkStart w:id="68" w:name="_Toc15396628"/>
      <w:r>
        <w:rPr>
          <w:rStyle w:val="28"/>
          <w:rFonts w:hint="eastAsia" w:ascii="仿宋" w:hAnsi="仿宋" w:eastAsia="仿宋" w:cs="仿宋"/>
          <w:b w:val="0"/>
          <w:bCs w:val="0"/>
        </w:rPr>
        <w:t>十、</w:t>
      </w:r>
      <w:bookmarkEnd w:id="68"/>
      <w:r>
        <w:rPr>
          <w:rFonts w:hint="eastAsia" w:ascii="仿宋" w:hAnsi="仿宋" w:eastAsia="仿宋" w:cs="仿宋"/>
          <w:b w:val="0"/>
        </w:rPr>
        <w:t>政</w:t>
      </w:r>
      <w:r>
        <w:rPr>
          <w:rStyle w:val="28"/>
          <w:rFonts w:hint="eastAsia" w:ascii="仿宋" w:hAnsi="仿宋" w:eastAsia="仿宋" w:cs="仿宋"/>
          <w:b w:val="0"/>
          <w:bCs w:val="0"/>
        </w:rPr>
        <w:t>府性基金预算财政拨款收入支出决算表</w:t>
      </w:r>
    </w:p>
    <w:p w14:paraId="2285C538">
      <w:pPr>
        <w:pStyle w:val="4"/>
        <w:rPr>
          <w:rFonts w:hint="eastAsia" w:ascii="仿宋" w:hAnsi="仿宋" w:eastAsia="仿宋" w:cs="仿宋"/>
        </w:rPr>
      </w:pPr>
      <w:bookmarkStart w:id="69" w:name="_Toc15396629"/>
      <w:r>
        <w:rPr>
          <w:rStyle w:val="28"/>
          <w:rFonts w:hint="eastAsia" w:ascii="仿宋" w:hAnsi="仿宋" w:eastAsia="仿宋" w:cs="仿宋"/>
          <w:b w:val="0"/>
          <w:bCs w:val="0"/>
        </w:rPr>
        <w:t>十一、</w:t>
      </w:r>
      <w:bookmarkEnd w:id="69"/>
      <w:r>
        <w:rPr>
          <w:rFonts w:hint="eastAsia" w:ascii="仿宋" w:hAnsi="仿宋" w:eastAsia="仿宋" w:cs="仿宋"/>
          <w:b w:val="0"/>
        </w:rPr>
        <w:t>国</w:t>
      </w:r>
      <w:r>
        <w:rPr>
          <w:rStyle w:val="28"/>
          <w:rFonts w:hint="eastAsia" w:ascii="仿宋" w:hAnsi="仿宋" w:eastAsia="仿宋" w:cs="仿宋"/>
          <w:b w:val="0"/>
          <w:bCs w:val="0"/>
        </w:rPr>
        <w:t>有资本经营预算财政拨款收入支出决算表</w:t>
      </w:r>
    </w:p>
    <w:p w14:paraId="085C9200">
      <w:pPr>
        <w:pStyle w:val="4"/>
        <w:rPr>
          <w:rFonts w:hint="eastAsia" w:ascii="仿宋" w:hAnsi="仿宋" w:eastAsia="仿宋" w:cs="仿宋"/>
        </w:rPr>
      </w:pPr>
      <w:bookmarkStart w:id="70" w:name="_Toc15396630"/>
      <w:r>
        <w:rPr>
          <w:rStyle w:val="28"/>
          <w:rFonts w:hint="eastAsia" w:ascii="仿宋" w:hAnsi="仿宋" w:eastAsia="仿宋" w:cs="仿宋"/>
          <w:b w:val="0"/>
          <w:bCs w:val="0"/>
        </w:rPr>
        <w:t>十二、</w:t>
      </w:r>
      <w:bookmarkEnd w:id="70"/>
      <w:r>
        <w:rPr>
          <w:rStyle w:val="28"/>
          <w:rFonts w:hint="eastAsia" w:ascii="仿宋" w:hAnsi="仿宋" w:eastAsia="仿宋" w:cs="仿宋"/>
          <w:b w:val="0"/>
          <w:bCs w:val="0"/>
        </w:rPr>
        <w:t>国有资本经营预算财政拨款支出决算表</w:t>
      </w:r>
    </w:p>
    <w:p w14:paraId="26D9D880">
      <w:pPr>
        <w:pStyle w:val="4"/>
        <w:rPr>
          <w:rFonts w:hint="eastAsia" w:ascii="仿宋" w:hAnsi="仿宋" w:eastAsia="仿宋" w:cs="仿宋"/>
        </w:rPr>
      </w:pPr>
      <w:bookmarkStart w:id="71" w:name="_Toc15396631"/>
      <w:r>
        <w:rPr>
          <w:rStyle w:val="28"/>
          <w:rFonts w:hint="eastAsia" w:ascii="仿宋" w:hAnsi="仿宋" w:eastAsia="仿宋" w:cs="仿宋"/>
          <w:b w:val="0"/>
          <w:bCs w:val="0"/>
        </w:rPr>
        <w:t>十三、</w:t>
      </w:r>
      <w:bookmarkEnd w:id="71"/>
      <w:r>
        <w:rPr>
          <w:rStyle w:val="28"/>
          <w:rFonts w:hint="eastAsia" w:ascii="仿宋" w:hAnsi="仿宋" w:eastAsia="仿宋" w:cs="仿宋"/>
          <w:b w:val="0"/>
          <w:bCs w:val="0"/>
        </w:rPr>
        <w:t>财政拨款“三公”经费支出决算表</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945609C">
        <w:pPr>
          <w:pStyle w:val="10"/>
          <w:jc w:val="center"/>
        </w:pPr>
        <w:r>
          <w:fldChar w:fldCharType="begin"/>
        </w:r>
        <w:r>
          <w:instrText xml:space="preserve">PAGE   \* MERGEFORMAT</w:instrText>
        </w:r>
        <w:r>
          <w:fldChar w:fldCharType="separate"/>
        </w:r>
        <w:r>
          <w:rPr>
            <w:lang w:val="zh-CN"/>
          </w:rPr>
          <w:t>15</w:t>
        </w:r>
        <w:r>
          <w:fldChar w:fldCharType="end"/>
        </w:r>
      </w:p>
    </w:sdtContent>
  </w:sdt>
  <w:p w14:paraId="002B2D3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5171">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260D2">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EF260D2">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05B9D06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A67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70A3A4D"/>
    <w:rsid w:val="0770608F"/>
    <w:rsid w:val="081B5E94"/>
    <w:rsid w:val="0A2032A3"/>
    <w:rsid w:val="0B8A37D8"/>
    <w:rsid w:val="0C091244"/>
    <w:rsid w:val="0F5FFB2F"/>
    <w:rsid w:val="0FFFCF60"/>
    <w:rsid w:val="10C055FF"/>
    <w:rsid w:val="118107EC"/>
    <w:rsid w:val="11DD6519"/>
    <w:rsid w:val="16BB723D"/>
    <w:rsid w:val="18015F3F"/>
    <w:rsid w:val="1BE8440E"/>
    <w:rsid w:val="1D155CEE"/>
    <w:rsid w:val="1FDBBF84"/>
    <w:rsid w:val="20F57F95"/>
    <w:rsid w:val="240371BF"/>
    <w:rsid w:val="25711CC6"/>
    <w:rsid w:val="25C741E6"/>
    <w:rsid w:val="25FB5021"/>
    <w:rsid w:val="276F80C0"/>
    <w:rsid w:val="27842671"/>
    <w:rsid w:val="29FD04D3"/>
    <w:rsid w:val="2ABE7A3E"/>
    <w:rsid w:val="2AFF09B6"/>
    <w:rsid w:val="2CA234A8"/>
    <w:rsid w:val="2D8B4EEE"/>
    <w:rsid w:val="2EFA178C"/>
    <w:rsid w:val="2EFDF86C"/>
    <w:rsid w:val="2F9D17E1"/>
    <w:rsid w:val="30B46D73"/>
    <w:rsid w:val="319F7F4E"/>
    <w:rsid w:val="356A28F1"/>
    <w:rsid w:val="357C035A"/>
    <w:rsid w:val="363078C2"/>
    <w:rsid w:val="368E000D"/>
    <w:rsid w:val="37E16564"/>
    <w:rsid w:val="383D272C"/>
    <w:rsid w:val="39AE70AB"/>
    <w:rsid w:val="3A4DCE41"/>
    <w:rsid w:val="3BCB56FA"/>
    <w:rsid w:val="3C0C0783"/>
    <w:rsid w:val="3CE87BFD"/>
    <w:rsid w:val="3DC40D30"/>
    <w:rsid w:val="3EE7C2F4"/>
    <w:rsid w:val="3F371B56"/>
    <w:rsid w:val="3F792ED8"/>
    <w:rsid w:val="3F9F3A96"/>
    <w:rsid w:val="3FECA4B2"/>
    <w:rsid w:val="3FF58C48"/>
    <w:rsid w:val="42FF6694"/>
    <w:rsid w:val="48BF60AB"/>
    <w:rsid w:val="493C27E9"/>
    <w:rsid w:val="496F39ED"/>
    <w:rsid w:val="49FF41D3"/>
    <w:rsid w:val="4AA55F83"/>
    <w:rsid w:val="4BE068DB"/>
    <w:rsid w:val="4BF6002B"/>
    <w:rsid w:val="4BFFC6BE"/>
    <w:rsid w:val="4ECE2238"/>
    <w:rsid w:val="51DB4B86"/>
    <w:rsid w:val="51F64DB0"/>
    <w:rsid w:val="55333C3E"/>
    <w:rsid w:val="5D4E513F"/>
    <w:rsid w:val="5F67802D"/>
    <w:rsid w:val="5F7DC4F2"/>
    <w:rsid w:val="5FB36814"/>
    <w:rsid w:val="5FBB8E56"/>
    <w:rsid w:val="5FFB5535"/>
    <w:rsid w:val="64CA39A1"/>
    <w:rsid w:val="69630ADE"/>
    <w:rsid w:val="69BD5F13"/>
    <w:rsid w:val="69FB0B4B"/>
    <w:rsid w:val="6BFFE1FB"/>
    <w:rsid w:val="6C4A05C8"/>
    <w:rsid w:val="6CD1020C"/>
    <w:rsid w:val="6D3B1A89"/>
    <w:rsid w:val="6D4734AD"/>
    <w:rsid w:val="6D64019E"/>
    <w:rsid w:val="6DB7D8A3"/>
    <w:rsid w:val="6EC78701"/>
    <w:rsid w:val="6F7A5481"/>
    <w:rsid w:val="6FFE07A9"/>
    <w:rsid w:val="71BF4EC2"/>
    <w:rsid w:val="72734D90"/>
    <w:rsid w:val="73E75B71"/>
    <w:rsid w:val="74037884"/>
    <w:rsid w:val="7412278C"/>
    <w:rsid w:val="75DDCDA9"/>
    <w:rsid w:val="75FF44B1"/>
    <w:rsid w:val="76397933"/>
    <w:rsid w:val="77670518"/>
    <w:rsid w:val="777FA627"/>
    <w:rsid w:val="77DF1B5F"/>
    <w:rsid w:val="77EF2D9D"/>
    <w:rsid w:val="78DE33E9"/>
    <w:rsid w:val="79B61237"/>
    <w:rsid w:val="79E7B28D"/>
    <w:rsid w:val="7ACFF0C2"/>
    <w:rsid w:val="7AFB9108"/>
    <w:rsid w:val="7BD5340C"/>
    <w:rsid w:val="7BFB19D2"/>
    <w:rsid w:val="7BFD1750"/>
    <w:rsid w:val="7BFDAA1B"/>
    <w:rsid w:val="7CDF9A82"/>
    <w:rsid w:val="7CFC66FB"/>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695.02</c:v>
                </c:pt>
                <c:pt idx="1">
                  <c:v>695.02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724.26</c:v>
                </c:pt>
                <c:pt idx="1">
                  <c:v>724.26</c:v>
                </c:pt>
              </c:numCache>
            </c:numRef>
          </c:val>
        </c:ser>
        <c:dLbls>
          <c:showLegendKey val="0"/>
          <c:showVal val="1"/>
          <c:showCatName val="0"/>
          <c:showSerName val="0"/>
          <c:showPercent val="0"/>
          <c:showBubbleSize val="0"/>
        </c:dLbls>
        <c:gapWidth val="219"/>
        <c:overlap val="-27"/>
        <c:axId val="960063612"/>
        <c:axId val="55651896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收入（万元）</c:v>
                      </c:pt>
                      <c:pt idx="1">
                        <c:v>支出（万元）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600636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518963"/>
        <c:crosses val="autoZero"/>
        <c:auto val="1"/>
        <c:lblAlgn val="ctr"/>
        <c:lblOffset val="100"/>
        <c:noMultiLvlLbl val="0"/>
      </c:catAx>
      <c:valAx>
        <c:axId val="5565189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0636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ccce9fb-c6a6-488c-bbb0-d30f09d0c1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7038413878563"/>
          <c:y val="0.00926211793763507"/>
        </c:manualLayout>
      </c:layout>
      <c:overlay val="0"/>
      <c:spPr>
        <a:noFill/>
        <a:ln>
          <a:noFill/>
        </a:ln>
        <a:effectLst/>
      </c:spPr>
      <c:txPr>
        <a:bodyPr rot="0" spcFirstLastPara="0" vertOverflow="ellipsis" vert="horz" wrap="square" anchor="ctr" anchorCtr="1"/>
        <a:lstStyle/>
        <a:p>
          <a:pPr>
            <a:defRPr lang="zh-CN" sz="1600" b="1" i="0" u="none" strike="noStrike" kern="1200" spc="0" normalizeH="0" baseline="0">
              <a:solidFill>
                <a:schemeClr val="dk1">
                  <a:lumMod val="50000"/>
                  <a:lumOff val="50000"/>
                </a:schemeClr>
              </a:solidFill>
              <a:latin typeface="+mj-lt"/>
              <a:ea typeface="+mj-ea"/>
              <a:cs typeface="+mj-cs"/>
            </a:defRPr>
          </a:pPr>
        </a:p>
      </c:txPr>
    </c:title>
    <c:autoTitleDeleted val="0"/>
    <c:plotArea>
      <c:layout/>
      <c:pieChart>
        <c:varyColors val="1"/>
        <c:ser>
          <c:idx val="0"/>
          <c:order val="0"/>
          <c:tx>
            <c:strRef>
              <c:f>Sheet1!$B$1</c:f>
              <c:strCache>
                <c:ptCount val="1"/>
                <c:pt idx="0">
                  <c:v>本年收入（万元）</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634.88</a:t>
                    </a:r>
                    <a:endParaRPr altLang="en-US"/>
                  </a:p>
                  <a:p>
                    <a:pPr defTabSz="914400">
                      <a:defRPr lang="zh-CN" sz="900" b="0" i="0" u="none" strike="noStrike" kern="1200" baseline="0">
                        <a:solidFill>
                          <a:schemeClr val="dk1">
                            <a:lumMod val="75000"/>
                            <a:lumOff val="25000"/>
                          </a:schemeClr>
                        </a:solidFill>
                        <a:latin typeface="+mn-lt"/>
                        <a:ea typeface="+mn-ea"/>
                        <a:cs typeface="+mn-cs"/>
                      </a:defRPr>
                    </a:pPr>
                    <a:r>
                      <a:t>100%</a:t>
                    </a:r>
                  </a:p>
                </c:rich>
              </c:tx>
              <c:dLblPos val="ctr"/>
              <c:showLegendKey val="0"/>
              <c:showVal val="0"/>
              <c:showCatName val="0"/>
              <c:showSerName val="0"/>
              <c:showPercent val="1"/>
              <c:showBubbleSize val="0"/>
              <c:extLst>
                <c:ext xmlns:c15="http://schemas.microsoft.com/office/drawing/2012/chart" uri="{CE6537A1-D6FC-4f65-9D91-7224C49458BB}">
                  <c15:layout>
                    <c:manualLayout>
                      <c:w val="0.186183395291202"/>
                      <c:h val="0.239153439153439"/>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一般公共预算财政收入</c:v>
                </c:pt>
              </c:strCache>
            </c:strRef>
          </c:cat>
          <c:val>
            <c:numRef>
              <c:f>Sheet1!$B$2</c:f>
              <c:numCache>
                <c:formatCode>General</c:formatCode>
                <c:ptCount val="1"/>
                <c:pt idx="0">
                  <c:v>634.88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82e52070-4161-4d08-a988-534b31a0282e}"/>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2625"/>
          <c:y val="0.018348623853211"/>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本年支出（万元）</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manualLayout>
                  <c:x val="0.061875"/>
                  <c:y val="-0.0321100917431193"/>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647.73</a:t>
                    </a:r>
                  </a:p>
                  <a:p>
                    <a:pPr defTabSz="914400">
                      <a:defRPr lang="zh-CN" sz="1000" b="1" i="0" u="none" strike="noStrike" kern="1200" spc="0" baseline="0">
                        <a:solidFill>
                          <a:schemeClr val="accent1"/>
                        </a:solidFill>
                        <a:latin typeface="+mn-lt"/>
                        <a:ea typeface="+mn-ea"/>
                        <a:cs typeface="+mn-cs"/>
                      </a:defRPr>
                    </a:pPr>
                    <a:r>
                      <a:t>89.43%</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30625"/>
                      <c:h val="0.167889908256881"/>
                    </c:manualLayout>
                  </c15:layout>
                </c:ext>
              </c:extLst>
            </c:dLbl>
            <c:dLbl>
              <c:idx val="1"/>
              <c:layout>
                <c:manualLayout>
                  <c:x val="-0.0075"/>
                  <c:y val="0.0412844036697248"/>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76.53</a:t>
                    </a:r>
                  </a:p>
                  <a:p>
                    <a:pPr defTabSz="914400">
                      <a:defRPr lang="zh-CN" sz="1000" b="1" i="0" u="none" strike="noStrike" kern="1200" spc="0" baseline="0">
                        <a:solidFill>
                          <a:schemeClr val="accent2"/>
                        </a:solidFill>
                        <a:latin typeface="+mn-lt"/>
                        <a:ea typeface="+mn-ea"/>
                        <a:cs typeface="+mn-cs"/>
                      </a:defRPr>
                    </a:pPr>
                    <a:r>
                      <a:t>10.5</a:t>
                    </a:r>
                    <a:r>
                      <a:rPr lang="en-US" altLang="zh-CN"/>
                      <a:t>7</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1875"/>
                      <c:h val="0.166360856269113"/>
                    </c:manualLayout>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647.73</c:v>
                </c:pt>
                <c:pt idx="1">
                  <c:v>76.53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09319d3-ded1-41c2-8d4a-5bbe4d6d2e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075"/>
          <c:y val="0.0507788161993769"/>
          <c:w val="0.905175"/>
          <c:h val="0.72006230529595"/>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695.02</c:v>
                </c:pt>
                <c:pt idx="1">
                  <c:v>695.02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724.26</c:v>
                </c:pt>
                <c:pt idx="1">
                  <c:v>724.26</c:v>
                </c:pt>
              </c:numCache>
            </c:numRef>
          </c:val>
        </c:ser>
        <c:dLbls>
          <c:showLegendKey val="0"/>
          <c:showVal val="1"/>
          <c:showCatName val="0"/>
          <c:showSerName val="0"/>
          <c:showPercent val="0"/>
          <c:showBubbleSize val="0"/>
        </c:dLbls>
        <c:gapWidth val="219"/>
        <c:overlap val="-27"/>
        <c:axId val="681700799"/>
        <c:axId val="91455950"/>
      </c:barChart>
      <c:catAx>
        <c:axId val="6817007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55950"/>
        <c:crosses val="autoZero"/>
        <c:auto val="1"/>
        <c:lblAlgn val="ctr"/>
        <c:lblOffset val="100"/>
        <c:noMultiLvlLbl val="0"/>
      </c:catAx>
      <c:valAx>
        <c:axId val="914559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17007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893ae2d-ee81-4cc6-b22f-e82bfe2f94c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8575"/>
          <c:y val="0.154024170737979"/>
          <c:w val="0.927925"/>
          <c:h val="0.716482386217537"/>
        </c:manualLayout>
      </c:layout>
      <c:barChart>
        <c:barDir val="col"/>
        <c:grouping val="clustered"/>
        <c:varyColors val="0"/>
        <c:ser>
          <c:idx val="0"/>
          <c:order val="0"/>
          <c:tx>
            <c:strRef>
              <c:f>Sheet1!$A$2</c:f>
              <c:strCache>
                <c:ptCount val="1"/>
                <c:pt idx="0">
                  <c:v>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2022年</c:v>
                </c:pt>
                <c:pt idx="1">
                  <c:v>2023年</c:v>
                </c:pt>
              </c:strCache>
            </c:strRef>
          </c:cat>
          <c:val>
            <c:numRef>
              <c:f>Sheet1!$B$2:$C$2</c:f>
              <c:numCache>
                <c:formatCode>General</c:formatCode>
                <c:ptCount val="2"/>
                <c:pt idx="0">
                  <c:v>695.02</c:v>
                </c:pt>
                <c:pt idx="1">
                  <c:v>724.26</c:v>
                </c:pt>
              </c:numCache>
            </c:numRef>
          </c:val>
        </c:ser>
        <c:dLbls>
          <c:showLegendKey val="0"/>
          <c:showVal val="1"/>
          <c:showCatName val="0"/>
          <c:showSerName val="0"/>
          <c:showPercent val="0"/>
          <c:showBubbleSize val="0"/>
        </c:dLbls>
        <c:gapWidth val="219"/>
        <c:overlap val="-27"/>
        <c:axId val="925905272"/>
        <c:axId val="192931041"/>
      </c:barChart>
      <c:catAx>
        <c:axId val="925905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931041"/>
        <c:crosses val="autoZero"/>
        <c:auto val="1"/>
        <c:lblAlgn val="ctr"/>
        <c:lblOffset val="100"/>
        <c:noMultiLvlLbl val="0"/>
      </c:catAx>
      <c:valAx>
        <c:axId val="1929310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905272"/>
        <c:crosses val="autoZero"/>
        <c:crossBetween val="between"/>
      </c:valAx>
      <c:spPr>
        <a:noFill/>
        <a:ln>
          <a:noFill/>
        </a:ln>
        <a:effectLst/>
      </c:spPr>
    </c:plotArea>
    <c:plotVisOnly val="1"/>
    <c:dispBlanksAs val="gap"/>
    <c:showDLblsOverMax val="0"/>
    <c:extLst>
      <c:ext uri="{0b15fc19-7d7d-44ad-8c2d-2c3a37ce22c3}">
        <chartProps xmlns="https://web.wps.cn/et/2018/main" chartId="{8568f6b5-0e66-4087-88d8-95d6f28e503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847781569966"/>
          <c:y val="0.129859343603483"/>
          <c:w val="0.305867576791809"/>
          <c:h val="0.75032819825854"/>
        </c:manualLayout>
      </c:layout>
      <c:pieChart>
        <c:varyColors val="1"/>
        <c:ser>
          <c:idx val="0"/>
          <c:order val="0"/>
          <c:tx>
            <c:strRef>
              <c:f>Sheet1!$B$1</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c:v>
                </c:pt>
                <c:pt idx="2">
                  <c:v>卫生健康</c:v>
                </c:pt>
                <c:pt idx="3">
                  <c:v>住房保障</c:v>
                </c:pt>
              </c:strCache>
            </c:strRef>
          </c:cat>
          <c:val>
            <c:numRef>
              <c:f>Sheet1!$B$2:$B$5</c:f>
              <c:numCache>
                <c:formatCode>General</c:formatCode>
                <c:ptCount val="4"/>
                <c:pt idx="0">
                  <c:v>516.41</c:v>
                </c:pt>
                <c:pt idx="1">
                  <c:v>136.89</c:v>
                </c:pt>
                <c:pt idx="2">
                  <c:v>34.67</c:v>
                </c:pt>
                <c:pt idx="3">
                  <c:v>36.29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6458abd-6277-446b-aa05-cfa2559ba48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c:v>
                </c:pt>
                <c:pt idx="1">
                  <c:v>公务用车购置及运行维护费</c:v>
                </c:pt>
                <c:pt idx="2">
                  <c:v>因公出国（境）</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525cdc-2574-462f-962e-3ab9abfac7ee}"/>
      </c:ext>
    </c:extLst>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715</Words>
  <Characters>746</Characters>
  <Lines>54</Lines>
  <Paragraphs>15</Paragraphs>
  <TotalTime>27</TotalTime>
  <ScaleCrop>false</ScaleCrop>
  <LinksUpToDate>false</LinksUpToDate>
  <CharactersWithSpaces>789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Nancy</cp:lastModifiedBy>
  <cp:lastPrinted>2023-08-03T02:35:00Z</cp:lastPrinted>
  <dcterms:modified xsi:type="dcterms:W3CDTF">2024-10-27T01:07:26Z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8050D1D3535447B99FB621DEAEA5F292_13</vt:lpwstr>
  </property>
</Properties>
</file>