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rPr>
          <w:rFonts w:eastAsia="方正小标宋_GBK"/>
          <w:bCs/>
          <w:color w:val="auto"/>
          <w:sz w:val="62"/>
          <w:szCs w:val="62"/>
        </w:rPr>
      </w:pPr>
      <w:r>
        <w:rPr>
          <w:rFonts w:eastAsia="方正小标宋_GBK"/>
          <w:bCs/>
          <w:color w:val="auto"/>
          <w:sz w:val="62"/>
          <w:szCs w:val="62"/>
        </w:rPr>
        <w:t>建设项目环境影响</w:t>
      </w:r>
      <w:bookmarkStart w:id="0" w:name="_Hlk71368628"/>
      <w:r>
        <w:rPr>
          <w:rFonts w:eastAsia="方正小标宋_GBK"/>
          <w:bCs/>
          <w:color w:val="auto"/>
          <w:sz w:val="62"/>
          <w:szCs w:val="62"/>
        </w:rPr>
        <w:t>报告</w:t>
      </w:r>
      <w:bookmarkEnd w:id="0"/>
      <w:r>
        <w:rPr>
          <w:rFonts w:eastAsia="方正小标宋_GBK"/>
          <w:bCs/>
          <w:color w:val="auto"/>
          <w:sz w:val="62"/>
          <w:szCs w:val="62"/>
        </w:rPr>
        <w:t>表</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w:t>
      </w:r>
      <w:r>
        <w:rPr>
          <w:rFonts w:hint="eastAsia" w:eastAsia="楷体_GB2312"/>
          <w:bCs/>
          <w:color w:val="auto"/>
          <w:sz w:val="48"/>
          <w:szCs w:val="48"/>
          <w:lang w:val="en-US" w:eastAsia="zh-CN"/>
        </w:rPr>
        <w:t>送审</w:t>
      </w:r>
      <w:r>
        <w:rPr>
          <w:rFonts w:eastAsia="楷体_GB2312"/>
          <w:bCs/>
          <w:color w:val="auto"/>
          <w:sz w:val="48"/>
          <w:szCs w:val="48"/>
        </w:rPr>
        <w:t>本）</w:t>
      </w:r>
    </w:p>
    <w:p>
      <w:pPr>
        <w:jc w:val="center"/>
        <w:rPr>
          <w:color w:val="auto"/>
          <w:sz w:val="52"/>
          <w:szCs w:val="52"/>
        </w:rPr>
      </w:pPr>
    </w:p>
    <w:p>
      <w:pPr>
        <w:jc w:val="center"/>
        <w:rPr>
          <w:color w:val="auto"/>
          <w:sz w:val="52"/>
          <w:szCs w:val="52"/>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52"/>
          <w:szCs w:val="52"/>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jc w:val="left"/>
        <w:textAlignment w:val="auto"/>
        <w:rPr>
          <w:rFonts w:hint="eastAsia"/>
          <w:color w:val="auto"/>
          <w:sz w:val="32"/>
          <w:szCs w:val="32"/>
          <w:u w:val="single"/>
          <w:lang w:val="en-US" w:eastAsia="zh-CN"/>
        </w:rPr>
      </w:pPr>
      <w:bookmarkStart w:id="1" w:name="_Hlk123852129"/>
      <w:bookmarkStart w:id="2" w:name="_Hlk57884087"/>
      <w:r>
        <w:rPr>
          <w:color w:val="auto"/>
          <w:sz w:val="32"/>
          <w:szCs w:val="32"/>
        </w:rPr>
        <w:t>项目名称：</w:t>
      </w:r>
      <w:r>
        <w:rPr>
          <w:rFonts w:hint="eastAsia"/>
          <w:color w:val="auto"/>
          <w:sz w:val="32"/>
          <w:szCs w:val="32"/>
          <w:u w:val="single"/>
          <w:lang w:val="en-US" w:eastAsia="zh-CN"/>
        </w:rPr>
        <w:t xml:space="preserve">         </w:t>
      </w:r>
      <w:r>
        <w:rPr>
          <w:rFonts w:hint="eastAsia"/>
          <w:color w:val="auto"/>
          <w:sz w:val="32"/>
          <w:szCs w:val="32"/>
          <w:u w:val="single"/>
        </w:rPr>
        <w:t>乌木滩水库原水深度处理工程</w:t>
      </w:r>
      <w:r>
        <w:rPr>
          <w:rFonts w:hint="eastAsia"/>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宋体"/>
          <w:color w:val="auto"/>
          <w:sz w:val="32"/>
          <w:szCs w:val="32"/>
          <w:lang w:val="en-US" w:eastAsia="zh-CN"/>
        </w:rPr>
      </w:pPr>
      <w:r>
        <w:rPr>
          <w:rFonts w:hint="eastAsia"/>
          <w:color w:val="auto"/>
          <w:sz w:val="32"/>
          <w:szCs w:val="32"/>
          <w:u w:val="single"/>
          <w:lang w:val="en-US" w:eastAsia="zh-CN"/>
        </w:rPr>
        <w:t xml:space="preserve">    </w:t>
      </w:r>
      <w:r>
        <w:rPr>
          <w:rFonts w:hint="eastAsia"/>
          <w:color w:val="auto"/>
          <w:sz w:val="32"/>
          <w:szCs w:val="32"/>
          <w:u w:val="single"/>
        </w:rPr>
        <w:t>（输水、排水、加压系统配套设施建设工程部分)</w:t>
      </w:r>
      <w:r>
        <w:rPr>
          <w:rFonts w:hint="eastAsia"/>
          <w:color w:val="auto"/>
          <w:sz w:val="32"/>
          <w:szCs w:val="32"/>
          <w:u w:val="single"/>
          <w:lang w:val="en-US" w:eastAsia="zh-CN"/>
        </w:rPr>
        <w:t xml:space="preserve">    </w:t>
      </w:r>
    </w:p>
    <w:p>
      <w:pPr>
        <w:spacing w:line="360" w:lineRule="auto"/>
        <w:rPr>
          <w:color w:val="auto"/>
          <w:sz w:val="32"/>
          <w:szCs w:val="32"/>
        </w:rPr>
      </w:pPr>
      <w:r>
        <w:rPr>
          <w:color w:val="auto"/>
          <w:sz w:val="32"/>
          <w:szCs w:val="32"/>
        </w:rPr>
        <w:t>建设单位（盖章）：</w:t>
      </w:r>
      <w:r>
        <w:rPr>
          <w:color w:val="auto"/>
          <w:sz w:val="32"/>
          <w:szCs w:val="32"/>
          <w:u w:val="single"/>
        </w:rPr>
        <w:t xml:space="preserve"> </w:t>
      </w:r>
      <w:r>
        <w:rPr>
          <w:rFonts w:hint="eastAsia"/>
          <w:color w:val="auto"/>
          <w:sz w:val="32"/>
          <w:szCs w:val="32"/>
          <w:u w:val="single"/>
          <w:lang w:val="en-US" w:eastAsia="zh-CN"/>
        </w:rPr>
        <w:t xml:space="preserve">  大竹县盛洁城乡供排水有限公司     </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left"/>
        <w:textAlignment w:val="auto"/>
        <w:rPr>
          <w:color w:val="auto"/>
          <w:sz w:val="28"/>
          <w:szCs w:val="28"/>
        </w:rPr>
      </w:pPr>
      <w:r>
        <w:rPr>
          <w:color w:val="auto"/>
          <w:sz w:val="32"/>
          <w:szCs w:val="32"/>
        </w:rPr>
        <w:t>编制日期：</w:t>
      </w:r>
      <w:r>
        <w:rPr>
          <w:rFonts w:hint="eastAsia"/>
          <w:color w:val="auto"/>
          <w:sz w:val="32"/>
          <w:szCs w:val="32"/>
          <w:u w:val="single"/>
          <w:lang w:val="en-US" w:eastAsia="zh-CN"/>
        </w:rPr>
        <w:t xml:space="preserve">                 2024年8月                  </w:t>
      </w:r>
      <w:bookmarkEnd w:id="1"/>
    </w:p>
    <w:p>
      <w:pPr>
        <w:adjustRightInd w:val="0"/>
        <w:snapToGrid w:val="0"/>
        <w:spacing w:line="288" w:lineRule="auto"/>
        <w:ind w:firstLine="1040"/>
        <w:rPr>
          <w:rFonts w:eastAsia="仿宋_GB2312"/>
          <w:color w:val="auto"/>
          <w:sz w:val="36"/>
          <w:szCs w:val="36"/>
        </w:rPr>
      </w:pPr>
    </w:p>
    <w:p>
      <w:pPr>
        <w:pStyle w:val="38"/>
        <w:rPr>
          <w:rFonts w:ascii="Times New Roman"/>
          <w:color w:val="auto"/>
        </w:rPr>
      </w:pPr>
    </w:p>
    <w:p>
      <w:pPr>
        <w:pStyle w:val="38"/>
        <w:rPr>
          <w:rFonts w:ascii="Times New Roman"/>
          <w:color w:val="auto"/>
        </w:rPr>
      </w:pPr>
    </w:p>
    <w:p>
      <w:pPr>
        <w:pStyle w:val="11"/>
        <w:rPr>
          <w:color w:val="auto"/>
        </w:rPr>
      </w:pPr>
    </w:p>
    <w:bookmarkEnd w:id="2"/>
    <w:p>
      <w:pPr>
        <w:adjustRightInd w:val="0"/>
        <w:snapToGrid w:val="0"/>
        <w:spacing w:line="288" w:lineRule="auto"/>
        <w:jc w:val="center"/>
        <w:rPr>
          <w:rFonts w:eastAsia="楷体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auto"/>
          <w:sz w:val="36"/>
          <w:szCs w:val="36"/>
        </w:rPr>
        <w:t>中华人民共和国生态环境部制</w:t>
      </w:r>
    </w:p>
    <w:p>
      <w:pPr>
        <w:adjustRightInd w:val="0"/>
        <w:snapToGrid w:val="0"/>
        <w:spacing w:line="288" w:lineRule="auto"/>
        <w:jc w:val="center"/>
        <w:rPr>
          <w:b/>
          <w:bCs/>
          <w:color w:val="auto"/>
          <w:sz w:val="32"/>
          <w:szCs w:val="32"/>
        </w:rPr>
      </w:pPr>
      <w:r>
        <w:rPr>
          <w:b/>
          <w:bCs/>
          <w:color w:val="auto"/>
          <w:sz w:val="32"/>
          <w:szCs w:val="32"/>
        </w:rPr>
        <w:t>目  录</w:t>
      </w:r>
    </w:p>
    <w:p>
      <w:pPr>
        <w:pStyle w:val="49"/>
        <w:tabs>
          <w:tab w:val="right" w:leader="dot" w:pos="8834"/>
        </w:tabs>
        <w:spacing w:line="360" w:lineRule="auto"/>
        <w:rPr>
          <w:color w:val="auto"/>
          <w:sz w:val="24"/>
        </w:rPr>
      </w:pPr>
      <w:r>
        <w:rPr>
          <w:color w:val="auto"/>
          <w:sz w:val="24"/>
        </w:rPr>
        <w:fldChar w:fldCharType="begin"/>
      </w:r>
      <w:r>
        <w:rPr>
          <w:color w:val="auto"/>
          <w:sz w:val="24"/>
        </w:rPr>
        <w:instrText xml:space="preserve"> TOC \o "1-1" \h \z \u </w:instrText>
      </w:r>
      <w:r>
        <w:rPr>
          <w:color w:val="auto"/>
          <w:sz w:val="24"/>
        </w:rPr>
        <w:fldChar w:fldCharType="separate"/>
      </w:r>
      <w:r>
        <w:rPr>
          <w:color w:val="auto"/>
        </w:rPr>
        <w:fldChar w:fldCharType="begin"/>
      </w:r>
      <w:r>
        <w:rPr>
          <w:color w:val="auto"/>
        </w:rPr>
        <w:instrText xml:space="preserve"> HYPERLINK \l "_Toc68596104" </w:instrText>
      </w:r>
      <w:r>
        <w:rPr>
          <w:color w:val="auto"/>
        </w:rPr>
        <w:fldChar w:fldCharType="separate"/>
      </w:r>
      <w:r>
        <w:rPr>
          <w:rStyle w:val="36"/>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_Toc68596104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"_Toc68596105" </w:instrText>
      </w:r>
      <w:r>
        <w:rPr>
          <w:color w:val="auto"/>
        </w:rPr>
        <w:fldChar w:fldCharType="separate"/>
      </w:r>
      <w:r>
        <w:rPr>
          <w:rStyle w:val="36"/>
          <w:snapToGrid w:val="0"/>
          <w:color w:val="auto"/>
          <w:sz w:val="24"/>
        </w:rPr>
        <w:t>二、建设项目工程分析</w:t>
      </w:r>
      <w:r>
        <w:rPr>
          <w:color w:val="auto"/>
          <w:sz w:val="24"/>
        </w:rPr>
        <w:tab/>
      </w:r>
      <w:r>
        <w:rPr>
          <w:color w:val="auto"/>
          <w:sz w:val="24"/>
        </w:rPr>
        <w:fldChar w:fldCharType="begin"/>
      </w:r>
      <w:r>
        <w:rPr>
          <w:color w:val="auto"/>
          <w:sz w:val="24"/>
        </w:rPr>
        <w:instrText xml:space="preserve"> PAGEREF _Toc68596105 \h </w:instrText>
      </w:r>
      <w:r>
        <w:rPr>
          <w:color w:val="auto"/>
          <w:sz w:val="24"/>
        </w:rPr>
        <w:fldChar w:fldCharType="separate"/>
      </w:r>
      <w:r>
        <w:rPr>
          <w:color w:val="auto"/>
          <w:sz w:val="24"/>
        </w:rPr>
        <w:t>28</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"_Toc68596106" </w:instrText>
      </w:r>
      <w:r>
        <w:rPr>
          <w:color w:val="auto"/>
        </w:rPr>
        <w:fldChar w:fldCharType="separate"/>
      </w:r>
      <w:r>
        <w:rPr>
          <w:rStyle w:val="36"/>
          <w:snapToGrid w:val="0"/>
          <w:color w:val="auto"/>
          <w:sz w:val="24"/>
        </w:rPr>
        <w:t>三、区域环境质量现状、环境保护目标及评价标准</w:t>
      </w:r>
      <w:r>
        <w:rPr>
          <w:color w:val="auto"/>
          <w:sz w:val="24"/>
        </w:rPr>
        <w:tab/>
      </w:r>
      <w:r>
        <w:rPr>
          <w:color w:val="auto"/>
          <w:sz w:val="24"/>
        </w:rPr>
        <w:fldChar w:fldCharType="begin"/>
      </w:r>
      <w:r>
        <w:rPr>
          <w:color w:val="auto"/>
          <w:sz w:val="24"/>
        </w:rPr>
        <w:instrText xml:space="preserve"> PAGEREF _Toc68596106 \h </w:instrText>
      </w:r>
      <w:r>
        <w:rPr>
          <w:color w:val="auto"/>
          <w:sz w:val="24"/>
        </w:rPr>
        <w:fldChar w:fldCharType="separate"/>
      </w:r>
      <w:r>
        <w:rPr>
          <w:color w:val="auto"/>
          <w:sz w:val="24"/>
        </w:rPr>
        <w:t>42</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"_Toc68596107" </w:instrText>
      </w:r>
      <w:r>
        <w:rPr>
          <w:color w:val="auto"/>
        </w:rPr>
        <w:fldChar w:fldCharType="separate"/>
      </w:r>
      <w:r>
        <w:rPr>
          <w:rStyle w:val="36"/>
          <w:snapToGrid w:val="0"/>
          <w:color w:val="auto"/>
          <w:sz w:val="24"/>
        </w:rPr>
        <w:t>四、主要环境影响和保护措施</w:t>
      </w:r>
      <w:r>
        <w:rPr>
          <w:color w:val="auto"/>
          <w:sz w:val="24"/>
        </w:rPr>
        <w:tab/>
      </w:r>
      <w:r>
        <w:rPr>
          <w:color w:val="auto"/>
          <w:sz w:val="24"/>
        </w:rPr>
        <w:fldChar w:fldCharType="begin"/>
      </w:r>
      <w:r>
        <w:rPr>
          <w:color w:val="auto"/>
          <w:sz w:val="24"/>
        </w:rPr>
        <w:instrText xml:space="preserve"> PAGEREF _Toc68596107 \h </w:instrText>
      </w:r>
      <w:r>
        <w:rPr>
          <w:color w:val="auto"/>
          <w:sz w:val="24"/>
        </w:rPr>
        <w:fldChar w:fldCharType="separate"/>
      </w:r>
      <w:r>
        <w:rPr>
          <w:color w:val="auto"/>
          <w:sz w:val="24"/>
        </w:rPr>
        <w:t>54</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"_Toc68596108" </w:instrText>
      </w:r>
      <w:r>
        <w:rPr>
          <w:color w:val="auto"/>
        </w:rPr>
        <w:fldChar w:fldCharType="separate"/>
      </w:r>
      <w:r>
        <w:rPr>
          <w:rStyle w:val="36"/>
          <w:snapToGrid w:val="0"/>
          <w:color w:val="auto"/>
          <w:sz w:val="24"/>
        </w:rPr>
        <w:t>五、环境保护措施监督检查清单</w:t>
      </w:r>
      <w:r>
        <w:rPr>
          <w:color w:val="auto"/>
          <w:sz w:val="24"/>
        </w:rPr>
        <w:tab/>
      </w:r>
      <w:r>
        <w:rPr>
          <w:color w:val="auto"/>
          <w:sz w:val="24"/>
        </w:rPr>
        <w:fldChar w:fldCharType="begin"/>
      </w:r>
      <w:r>
        <w:rPr>
          <w:color w:val="auto"/>
          <w:sz w:val="24"/>
        </w:rPr>
        <w:instrText xml:space="preserve"> PAGEREF _Toc68596108 \h </w:instrText>
      </w:r>
      <w:r>
        <w:rPr>
          <w:color w:val="auto"/>
          <w:sz w:val="24"/>
        </w:rPr>
        <w:fldChar w:fldCharType="separate"/>
      </w:r>
      <w:r>
        <w:rPr>
          <w:color w:val="auto"/>
          <w:sz w:val="24"/>
        </w:rPr>
        <w:t>73</w:t>
      </w:r>
      <w:r>
        <w:rPr>
          <w:color w:val="auto"/>
          <w:sz w:val="24"/>
        </w:rPr>
        <w:fldChar w:fldCharType="end"/>
      </w:r>
      <w:r>
        <w:rPr>
          <w:color w:val="auto"/>
          <w:sz w:val="24"/>
        </w:rPr>
        <w:fldChar w:fldCharType="end"/>
      </w:r>
    </w:p>
    <w:p>
      <w:pPr>
        <w:pStyle w:val="49"/>
        <w:tabs>
          <w:tab w:val="right" w:leader="dot" w:pos="8834"/>
        </w:tabs>
        <w:spacing w:line="360" w:lineRule="auto"/>
        <w:rPr>
          <w:color w:val="auto"/>
          <w:sz w:val="24"/>
        </w:rPr>
      </w:pPr>
      <w:r>
        <w:rPr>
          <w:color w:val="auto"/>
        </w:rPr>
        <w:fldChar w:fldCharType="begin"/>
      </w:r>
      <w:r>
        <w:rPr>
          <w:color w:val="auto"/>
        </w:rPr>
        <w:instrText xml:space="preserve"> HYPERLINK \l "_Toc68596109" </w:instrText>
      </w:r>
      <w:r>
        <w:rPr>
          <w:color w:val="auto"/>
        </w:rPr>
        <w:fldChar w:fldCharType="separate"/>
      </w:r>
      <w:r>
        <w:rPr>
          <w:rStyle w:val="36"/>
          <w:snapToGrid w:val="0"/>
          <w:color w:val="auto"/>
          <w:sz w:val="24"/>
        </w:rPr>
        <w:t>六、结论</w:t>
      </w:r>
      <w:r>
        <w:rPr>
          <w:color w:val="auto"/>
          <w:sz w:val="24"/>
        </w:rPr>
        <w:tab/>
      </w:r>
      <w:r>
        <w:rPr>
          <w:color w:val="auto"/>
          <w:sz w:val="24"/>
        </w:rPr>
        <w:fldChar w:fldCharType="begin"/>
      </w:r>
      <w:r>
        <w:rPr>
          <w:color w:val="auto"/>
          <w:sz w:val="24"/>
        </w:rPr>
        <w:instrText xml:space="preserve"> PAGEREF _Toc68596109 \h </w:instrText>
      </w:r>
      <w:r>
        <w:rPr>
          <w:color w:val="auto"/>
          <w:sz w:val="24"/>
        </w:rPr>
        <w:fldChar w:fldCharType="separate"/>
      </w:r>
      <w:r>
        <w:rPr>
          <w:color w:val="auto"/>
          <w:sz w:val="24"/>
        </w:rPr>
        <w:t>74</w:t>
      </w:r>
      <w:r>
        <w:rPr>
          <w:color w:val="auto"/>
          <w:sz w:val="24"/>
        </w:rPr>
        <w:fldChar w:fldCharType="end"/>
      </w:r>
      <w:r>
        <w:rPr>
          <w:color w:val="auto"/>
          <w:sz w:val="24"/>
        </w:rPr>
        <w:fldChar w:fldCharType="end"/>
      </w:r>
    </w:p>
    <w:p>
      <w:pPr>
        <w:adjustRightInd w:val="0"/>
        <w:spacing w:line="360" w:lineRule="auto"/>
        <w:ind w:firstLine="480" w:firstLineChars="200"/>
        <w:rPr>
          <w:b/>
          <w:bCs/>
          <w:color w:val="auto"/>
          <w:sz w:val="24"/>
        </w:rPr>
      </w:pPr>
      <w:r>
        <w:rPr>
          <w:color w:val="auto"/>
          <w:sz w:val="24"/>
        </w:rPr>
        <w:fldChar w:fldCharType="end"/>
      </w:r>
      <w:r>
        <w:rPr>
          <w:b/>
          <w:bCs/>
          <w:color w:val="auto"/>
          <w:sz w:val="24"/>
        </w:rPr>
        <w:t>附图</w:t>
      </w:r>
    </w:p>
    <w:p>
      <w:pPr>
        <w:adjustRightInd w:val="0"/>
        <w:spacing w:line="360" w:lineRule="auto"/>
        <w:ind w:firstLine="480" w:firstLineChars="200"/>
        <w:rPr>
          <w:color w:val="auto"/>
          <w:sz w:val="24"/>
        </w:rPr>
      </w:pPr>
      <w:r>
        <w:rPr>
          <w:color w:val="auto"/>
          <w:sz w:val="24"/>
        </w:rPr>
        <w:t>附图1 项目地理位置图</w:t>
      </w:r>
    </w:p>
    <w:p>
      <w:pPr>
        <w:adjustRightInd w:val="0"/>
        <w:spacing w:line="360" w:lineRule="auto"/>
        <w:ind w:firstLine="480" w:firstLineChars="200"/>
        <w:rPr>
          <w:color w:val="auto"/>
          <w:sz w:val="24"/>
        </w:rPr>
      </w:pPr>
      <w:r>
        <w:rPr>
          <w:color w:val="auto"/>
          <w:sz w:val="24"/>
        </w:rPr>
        <w:t>附图2 项目总平面布置图</w:t>
      </w:r>
    </w:p>
    <w:p>
      <w:pPr>
        <w:adjustRightInd w:val="0"/>
        <w:spacing w:line="360" w:lineRule="auto"/>
        <w:ind w:firstLine="480" w:firstLineChars="200"/>
        <w:rPr>
          <w:color w:val="auto"/>
          <w:sz w:val="24"/>
        </w:rPr>
      </w:pPr>
      <w:r>
        <w:rPr>
          <w:color w:val="auto"/>
          <w:sz w:val="24"/>
        </w:rPr>
        <w:t>附图</w:t>
      </w:r>
      <w:r>
        <w:rPr>
          <w:rFonts w:hint="eastAsia"/>
          <w:color w:val="auto"/>
          <w:sz w:val="24"/>
          <w:lang w:val="en-US" w:eastAsia="zh-CN"/>
        </w:rPr>
        <w:t>3</w:t>
      </w:r>
      <w:r>
        <w:rPr>
          <w:color w:val="auto"/>
          <w:sz w:val="24"/>
        </w:rPr>
        <w:t xml:space="preserve"> 项目监测布点图</w:t>
      </w:r>
    </w:p>
    <w:p>
      <w:pPr>
        <w:adjustRightInd w:val="0"/>
        <w:spacing w:line="360" w:lineRule="auto"/>
        <w:ind w:firstLine="480" w:firstLineChars="200"/>
        <w:rPr>
          <w:color w:val="auto"/>
          <w:sz w:val="24"/>
        </w:rPr>
      </w:pPr>
      <w:r>
        <w:rPr>
          <w:color w:val="auto"/>
          <w:sz w:val="24"/>
        </w:rPr>
        <w:t>附图</w:t>
      </w:r>
      <w:r>
        <w:rPr>
          <w:rFonts w:hint="eastAsia"/>
          <w:color w:val="auto"/>
          <w:sz w:val="24"/>
          <w:lang w:val="en-US" w:eastAsia="zh-CN"/>
        </w:rPr>
        <w:t>4</w:t>
      </w:r>
      <w:r>
        <w:rPr>
          <w:color w:val="auto"/>
          <w:sz w:val="24"/>
        </w:rPr>
        <w:t xml:space="preserve"> 外环境关系图</w:t>
      </w:r>
    </w:p>
    <w:p>
      <w:pPr>
        <w:adjustRightInd w:val="0"/>
        <w:spacing w:line="360" w:lineRule="auto"/>
        <w:ind w:firstLine="480" w:firstLineChars="200"/>
        <w:rPr>
          <w:color w:val="auto"/>
          <w:sz w:val="24"/>
        </w:rPr>
      </w:pPr>
      <w:r>
        <w:rPr>
          <w:color w:val="auto"/>
          <w:sz w:val="24"/>
        </w:rPr>
        <w:t>附图</w:t>
      </w:r>
      <w:r>
        <w:rPr>
          <w:rFonts w:hint="eastAsia"/>
          <w:color w:val="auto"/>
          <w:sz w:val="24"/>
          <w:lang w:val="en-US" w:eastAsia="zh-CN"/>
        </w:rPr>
        <w:t>5</w:t>
      </w:r>
      <w:r>
        <w:rPr>
          <w:color w:val="auto"/>
          <w:sz w:val="24"/>
        </w:rPr>
        <w:t xml:space="preserve"> </w:t>
      </w:r>
      <w:r>
        <w:rPr>
          <w:rFonts w:hint="eastAsia"/>
          <w:color w:val="auto"/>
          <w:sz w:val="24"/>
          <w:lang w:val="en-US" w:eastAsia="zh-CN"/>
        </w:rPr>
        <w:t>项目所在区域</w:t>
      </w:r>
      <w:r>
        <w:rPr>
          <w:color w:val="auto"/>
          <w:sz w:val="24"/>
        </w:rPr>
        <w:t>水系图</w:t>
      </w:r>
    </w:p>
    <w:p>
      <w:pPr>
        <w:adjustRightInd w:val="0"/>
        <w:spacing w:line="360" w:lineRule="auto"/>
        <w:ind w:firstLine="482" w:firstLineChars="200"/>
        <w:rPr>
          <w:b/>
          <w:bCs/>
          <w:color w:val="auto"/>
          <w:sz w:val="24"/>
        </w:rPr>
      </w:pPr>
      <w:r>
        <w:rPr>
          <w:b/>
          <w:bCs/>
          <w:color w:val="auto"/>
          <w:sz w:val="24"/>
        </w:rPr>
        <w:t>附件</w:t>
      </w:r>
    </w:p>
    <w:p>
      <w:pPr>
        <w:adjustRightInd w:val="0"/>
        <w:spacing w:line="360" w:lineRule="auto"/>
        <w:ind w:firstLine="480" w:firstLineChars="200"/>
        <w:rPr>
          <w:color w:val="auto"/>
          <w:sz w:val="24"/>
          <w:highlight w:val="none"/>
        </w:rPr>
      </w:pPr>
      <w:r>
        <w:rPr>
          <w:color w:val="auto"/>
          <w:sz w:val="24"/>
          <w:highlight w:val="none"/>
        </w:rPr>
        <w:t xml:space="preserve">附件1 </w:t>
      </w:r>
      <w:r>
        <w:rPr>
          <w:rFonts w:hint="eastAsia"/>
          <w:color w:val="auto"/>
          <w:sz w:val="24"/>
          <w:highlight w:val="none"/>
          <w:lang w:val="en-US" w:eastAsia="zh-CN"/>
        </w:rPr>
        <w:t>环评</w:t>
      </w:r>
      <w:r>
        <w:rPr>
          <w:color w:val="auto"/>
          <w:sz w:val="24"/>
          <w:highlight w:val="none"/>
        </w:rPr>
        <w:t>委托书</w:t>
      </w:r>
    </w:p>
    <w:p>
      <w:pPr>
        <w:adjustRightInd w:val="0"/>
        <w:spacing w:line="360" w:lineRule="auto"/>
        <w:ind w:firstLine="480" w:firstLineChars="200"/>
        <w:rPr>
          <w:rFonts w:hint="default" w:eastAsia="宋体"/>
          <w:color w:val="auto"/>
          <w:sz w:val="24"/>
          <w:highlight w:val="none"/>
          <w:lang w:val="en-US" w:eastAsia="zh-CN"/>
        </w:rPr>
      </w:pPr>
      <w:r>
        <w:rPr>
          <w:color w:val="auto"/>
          <w:sz w:val="24"/>
          <w:highlight w:val="none"/>
        </w:rPr>
        <w:t xml:space="preserve">附件2 </w:t>
      </w:r>
      <w:r>
        <w:rPr>
          <w:rFonts w:hint="eastAsia"/>
          <w:color w:val="auto"/>
          <w:sz w:val="24"/>
          <w:highlight w:val="none"/>
          <w:lang w:val="en-US" w:eastAsia="zh-CN"/>
        </w:rPr>
        <w:t>大竹县人民政府同意将本项目纳入抢险救灾工程的通知（竹府定字</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202</w:t>
      </w:r>
      <w:r>
        <w:rPr>
          <w:rFonts w:hint="eastAsia"/>
          <w:bCs/>
          <w:color w:val="auto"/>
          <w:kern w:val="0"/>
          <w:sz w:val="24"/>
          <w:szCs w:val="24"/>
          <w:lang w:val="en-US" w:eastAsia="zh-CN"/>
        </w:rPr>
        <w:t>3</w:t>
      </w:r>
      <w:r>
        <w:rPr>
          <w:rFonts w:hint="eastAsia" w:eastAsia="宋体"/>
          <w:bCs/>
          <w:color w:val="auto"/>
          <w:kern w:val="0"/>
          <w:sz w:val="24"/>
          <w:szCs w:val="24"/>
          <w:lang w:val="en-US" w:eastAsia="zh-CN"/>
        </w:rPr>
        <w:t>〕</w:t>
      </w:r>
      <w:r>
        <w:rPr>
          <w:rFonts w:hint="eastAsia"/>
          <w:color w:val="auto"/>
          <w:sz w:val="24"/>
          <w:highlight w:val="none"/>
          <w:lang w:val="en-US" w:eastAsia="zh-CN"/>
        </w:rPr>
        <w:t>40号）</w:t>
      </w:r>
    </w:p>
    <w:p>
      <w:pPr>
        <w:adjustRightInd w:val="0"/>
        <w:spacing w:line="360" w:lineRule="auto"/>
        <w:ind w:firstLine="480" w:firstLineChars="200"/>
        <w:rPr>
          <w:rFonts w:hint="default"/>
          <w:color w:val="auto"/>
          <w:sz w:val="24"/>
          <w:highlight w:val="none"/>
          <w:lang w:val="en-US" w:eastAsia="zh-CN"/>
        </w:rPr>
      </w:pPr>
      <w:r>
        <w:rPr>
          <w:color w:val="auto"/>
          <w:sz w:val="24"/>
          <w:highlight w:val="none"/>
        </w:rPr>
        <w:t>附件</w:t>
      </w:r>
      <w:r>
        <w:rPr>
          <w:rFonts w:hint="eastAsia"/>
          <w:color w:val="auto"/>
          <w:sz w:val="24"/>
          <w:highlight w:val="none"/>
          <w:lang w:val="en-US" w:eastAsia="zh-CN"/>
        </w:rPr>
        <w:t>3 建设单位营业执照</w:t>
      </w:r>
    </w:p>
    <w:p>
      <w:pPr>
        <w:adjustRightIn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 xml:space="preserve">附件4 </w:t>
      </w:r>
      <w:r>
        <w:rPr>
          <w:rFonts w:hint="eastAsia" w:eastAsia="宋体"/>
          <w:bCs/>
          <w:color w:val="auto"/>
          <w:kern w:val="0"/>
          <w:sz w:val="24"/>
          <w:szCs w:val="24"/>
          <w:lang w:val="en-US" w:eastAsia="zh-CN"/>
        </w:rPr>
        <w:t>大竹县人民政府关于</w:t>
      </w:r>
      <w:r>
        <w:rPr>
          <w:rFonts w:hint="default" w:eastAsia="宋体"/>
          <w:bCs/>
          <w:color w:val="auto"/>
          <w:kern w:val="0"/>
          <w:sz w:val="24"/>
          <w:szCs w:val="24"/>
          <w:lang w:val="en-US" w:eastAsia="zh-CN"/>
        </w:rPr>
        <w:t>DZG329</w:t>
      </w:r>
      <w:r>
        <w:rPr>
          <w:rFonts w:hint="eastAsia" w:eastAsia="宋体"/>
          <w:bCs/>
          <w:color w:val="auto"/>
          <w:kern w:val="0"/>
          <w:sz w:val="24"/>
          <w:szCs w:val="24"/>
          <w:lang w:val="en-US" w:eastAsia="zh-CN"/>
        </w:rPr>
        <w:t>号地块规划调整方案的批复竹府函〔</w:t>
      </w:r>
      <w:r>
        <w:rPr>
          <w:rFonts w:hint="default" w:eastAsia="宋体"/>
          <w:bCs/>
          <w:color w:val="auto"/>
          <w:kern w:val="0"/>
          <w:sz w:val="24"/>
          <w:szCs w:val="24"/>
          <w:lang w:val="en-US" w:eastAsia="zh-CN"/>
        </w:rPr>
        <w:t>2021</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26</w:t>
      </w:r>
      <w:r>
        <w:rPr>
          <w:rFonts w:hint="eastAsia" w:eastAsia="宋体"/>
          <w:bCs/>
          <w:color w:val="auto"/>
          <w:kern w:val="0"/>
          <w:sz w:val="24"/>
          <w:szCs w:val="24"/>
          <w:lang w:val="en-US" w:eastAsia="zh-CN"/>
        </w:rPr>
        <w:t>号</w:t>
      </w:r>
    </w:p>
    <w:p>
      <w:pPr>
        <w:adjustRightInd w:val="0"/>
        <w:spacing w:line="360" w:lineRule="auto"/>
        <w:ind w:firstLine="480" w:firstLineChars="200"/>
        <w:rPr>
          <w:color w:val="auto"/>
          <w:sz w:val="24"/>
          <w:highlight w:val="none"/>
        </w:rPr>
      </w:pPr>
      <w:r>
        <w:rPr>
          <w:color w:val="auto"/>
          <w:sz w:val="24"/>
          <w:highlight w:val="none"/>
        </w:rPr>
        <w:t>附件</w:t>
      </w:r>
      <w:r>
        <w:rPr>
          <w:rFonts w:hint="eastAsia"/>
          <w:color w:val="auto"/>
          <w:sz w:val="24"/>
          <w:highlight w:val="none"/>
          <w:lang w:val="en-US" w:eastAsia="zh-CN"/>
        </w:rPr>
        <w:t>5</w:t>
      </w:r>
      <w:r>
        <w:rPr>
          <w:color w:val="auto"/>
          <w:sz w:val="24"/>
          <w:highlight w:val="none"/>
        </w:rPr>
        <w:t xml:space="preserve"> 监测报告</w:t>
      </w:r>
    </w:p>
    <w:p>
      <w:pPr>
        <w:adjustRightInd w:val="0"/>
        <w:spacing w:line="360" w:lineRule="auto"/>
        <w:ind w:firstLine="480" w:firstLineChars="200"/>
        <w:rPr>
          <w:rFonts w:hint="eastAsia"/>
          <w:color w:val="auto"/>
          <w:sz w:val="24"/>
          <w:highlight w:val="none"/>
          <w:lang w:val="en-US" w:eastAsia="zh-CN"/>
        </w:rPr>
      </w:pPr>
      <w:r>
        <w:rPr>
          <w:color w:val="auto"/>
          <w:sz w:val="24"/>
          <w:highlight w:val="none"/>
        </w:rPr>
        <w:t>附件</w:t>
      </w:r>
      <w:r>
        <w:rPr>
          <w:rFonts w:hint="eastAsia"/>
          <w:color w:val="auto"/>
          <w:sz w:val="24"/>
          <w:highlight w:val="none"/>
          <w:lang w:val="en-US" w:eastAsia="zh-CN"/>
        </w:rPr>
        <w:t>6</w:t>
      </w:r>
      <w:r>
        <w:rPr>
          <w:color w:val="auto"/>
          <w:sz w:val="24"/>
          <w:highlight w:val="none"/>
        </w:rPr>
        <w:t xml:space="preserve"> </w:t>
      </w:r>
      <w:r>
        <w:rPr>
          <w:rFonts w:hint="eastAsia"/>
          <w:color w:val="auto"/>
          <w:sz w:val="24"/>
          <w:highlight w:val="none"/>
          <w:lang w:val="en-US" w:eastAsia="zh-CN"/>
        </w:rPr>
        <w:t>乌木滩水库饮用水水源保护区划定批复</w:t>
      </w:r>
    </w:p>
    <w:p>
      <w:pPr>
        <w:adjustRightIn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 xml:space="preserve">附件7 </w:t>
      </w:r>
      <w:r>
        <w:rPr>
          <w:rFonts w:hint="eastAsia" w:ascii="Times New Roman" w:hAnsi="Times New Roman" w:eastAsia="宋体" w:cs="Times New Roman"/>
          <w:color w:val="auto"/>
          <w:sz w:val="24"/>
          <w:lang w:val="en-US" w:eastAsia="zh-CN"/>
        </w:rPr>
        <w:t>大竹县饮用水安全保供专项工作领导小组会议纪要（2023年1月9日）</w:t>
      </w:r>
    </w:p>
    <w:p>
      <w:pPr>
        <w:adjustRightInd w:val="0"/>
        <w:spacing w:line="360" w:lineRule="auto"/>
        <w:ind w:firstLine="480" w:firstLineChars="200"/>
        <w:rPr>
          <w:rFonts w:hint="eastAsia"/>
          <w:color w:val="auto"/>
          <w:sz w:val="24"/>
          <w:highlight w:val="none"/>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bookmarkStart w:id="3" w:name="_Toc68596104"/>
      <w:r>
        <w:rPr>
          <w:rFonts w:ascii="Times New Roman" w:hAnsi="Times New Roman" w:eastAsia="黑体"/>
          <w:snapToGrid w:val="0"/>
          <w:color w:val="auto"/>
          <w:sz w:val="30"/>
          <w:szCs w:val="30"/>
        </w:rPr>
        <w:t>一、建设项目基本情况</w:t>
      </w:r>
      <w:bookmarkEnd w:id="3"/>
    </w:p>
    <w:tbl>
      <w:tblPr>
        <w:tblStyle w:val="28"/>
        <w:tblW w:w="1003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982"/>
        <w:gridCol w:w="2750"/>
        <w:gridCol w:w="2102"/>
        <w:gridCol w:w="4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362"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bookmarkStart w:id="4" w:name="_Hlk104251656"/>
            <w:r>
              <w:rPr>
                <w:color w:val="auto"/>
                <w:sz w:val="21"/>
                <w:szCs w:val="21"/>
              </w:rPr>
              <w:t>建设项目名称</w:t>
            </w:r>
          </w:p>
        </w:tc>
        <w:tc>
          <w:tcPr>
            <w:tcW w:w="9054" w:type="dxa"/>
            <w:gridSpan w:val="3"/>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乌木滩水库原水深度处理工程（输水、排水、加压系统配套设施建设工程部分)</w:t>
            </w:r>
          </w:p>
        </w:tc>
      </w:tr>
      <w:bookmarkEnd w:id="4"/>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55"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项目代码</w:t>
            </w:r>
          </w:p>
        </w:tc>
        <w:tc>
          <w:tcPr>
            <w:tcW w:w="9054" w:type="dxa"/>
            <w:gridSpan w:val="3"/>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2"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建设单位联系人</w:t>
            </w:r>
          </w:p>
        </w:tc>
        <w:tc>
          <w:tcPr>
            <w:tcW w:w="2750" w:type="dxa"/>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王任谦</w:t>
            </w:r>
          </w:p>
        </w:tc>
        <w:tc>
          <w:tcPr>
            <w:tcW w:w="2102"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4202" w:type="dxa"/>
            <w:vAlign w:val="center"/>
          </w:tcPr>
          <w:p>
            <w:pPr>
              <w:adjustRightInd w:val="0"/>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15183597552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2" w:hRule="atLeast"/>
          <w:jc w:val="center"/>
        </w:trPr>
        <w:tc>
          <w:tcPr>
            <w:tcW w:w="982"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建设地点</w:t>
            </w:r>
          </w:p>
        </w:tc>
        <w:tc>
          <w:tcPr>
            <w:tcW w:w="9054" w:type="dxa"/>
            <w:gridSpan w:val="3"/>
            <w:vAlign w:val="center"/>
          </w:tcPr>
          <w:p>
            <w:pPr>
              <w:adjustRightInd w:val="0"/>
              <w:snapToGrid w:val="0"/>
              <w:jc w:val="center"/>
              <w:rPr>
                <w:rFonts w:hint="default"/>
                <w:color w:val="auto"/>
                <w:highlight w:val="none"/>
                <w:lang w:val="en-US" w:eastAsia="zh-CN"/>
              </w:rPr>
            </w:pPr>
            <w:bookmarkStart w:id="5" w:name="_Hlk104252866"/>
            <w:r>
              <w:rPr>
                <w:color w:val="auto"/>
                <w:sz w:val="21"/>
                <w:szCs w:val="21"/>
                <w:highlight w:val="none"/>
                <w:u w:val="single"/>
              </w:rPr>
              <w:t>四川</w:t>
            </w:r>
            <w:r>
              <w:rPr>
                <w:color w:val="auto"/>
                <w:sz w:val="21"/>
                <w:szCs w:val="21"/>
                <w:highlight w:val="none"/>
              </w:rPr>
              <w:t>省</w:t>
            </w:r>
            <w:r>
              <w:rPr>
                <w:color w:val="auto"/>
                <w:sz w:val="21"/>
                <w:szCs w:val="21"/>
                <w:highlight w:val="none"/>
                <w:u w:val="single"/>
              </w:rPr>
              <w:t>达州</w:t>
            </w:r>
            <w:r>
              <w:rPr>
                <w:color w:val="auto"/>
                <w:sz w:val="21"/>
                <w:szCs w:val="21"/>
                <w:highlight w:val="none"/>
              </w:rPr>
              <w:t>市</w:t>
            </w:r>
            <w:bookmarkEnd w:id="5"/>
            <w:r>
              <w:rPr>
                <w:color w:val="auto"/>
                <w:sz w:val="21"/>
                <w:szCs w:val="21"/>
                <w:highlight w:val="none"/>
                <w:u w:val="single"/>
              </w:rPr>
              <w:t>大竹</w:t>
            </w:r>
            <w:r>
              <w:rPr>
                <w:color w:val="auto"/>
                <w:sz w:val="21"/>
                <w:szCs w:val="21"/>
                <w:highlight w:val="none"/>
              </w:rPr>
              <w:t>县</w:t>
            </w:r>
            <w:r>
              <w:rPr>
                <w:rFonts w:hint="eastAsia"/>
                <w:color w:val="auto"/>
                <w:sz w:val="21"/>
                <w:szCs w:val="21"/>
                <w:highlight w:val="none"/>
                <w:u w:val="single"/>
                <w:lang w:val="en-US" w:eastAsia="zh-CN"/>
              </w:rPr>
              <w:t>大竹经济开发区经开大道、乌木镇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90" w:hRule="atLeast"/>
          <w:jc w:val="center"/>
        </w:trPr>
        <w:tc>
          <w:tcPr>
            <w:tcW w:w="982"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地理坐标</w:t>
            </w:r>
          </w:p>
        </w:tc>
        <w:tc>
          <w:tcPr>
            <w:tcW w:w="9054" w:type="dxa"/>
            <w:gridSpan w:val="3"/>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厂内工程中心点坐标：</w:t>
            </w:r>
            <w:r>
              <w:rPr>
                <w:rFonts w:hint="default" w:ascii="Times New Roman" w:hAnsi="Times New Roman" w:cs="Times New Roman"/>
                <w:color w:val="auto"/>
                <w:sz w:val="21"/>
                <w:szCs w:val="21"/>
                <w:highlight w:val="none"/>
                <w:lang w:val="en-US" w:eastAsia="zh-CN"/>
              </w:rPr>
              <w:t>经度</w:t>
            </w:r>
            <w:r>
              <w:rPr>
                <w:rFonts w:hint="default" w:ascii="Times New Roman" w:hAnsi="Times New Roman" w:cs="Times New Roman"/>
                <w:color w:val="auto"/>
                <w:sz w:val="21"/>
                <w:szCs w:val="21"/>
                <w:highlight w:val="none"/>
              </w:rPr>
              <w:t>107°15'15.81</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纬度</w:t>
            </w:r>
            <w:r>
              <w:rPr>
                <w:rFonts w:hint="default" w:ascii="Times New Roman" w:hAnsi="Times New Roman" w:cs="Times New Roman"/>
                <w:color w:val="auto"/>
                <w:sz w:val="21"/>
                <w:szCs w:val="21"/>
                <w:highlight w:val="none"/>
              </w:rPr>
              <w:t>30°44'12.350"</w:t>
            </w:r>
          </w:p>
          <w:p>
            <w:pPr>
              <w:pStyle w:val="22"/>
              <w:ind w:left="0" w:leftChars="0" w:firstLine="0" w:firstLineChars="0"/>
              <w:jc w:val="center"/>
              <w:rPr>
                <w:rFonts w:hint="eastAsia"/>
                <w:color w:val="auto"/>
                <w:lang w:val="en-US" w:eastAsia="zh-CN"/>
              </w:rPr>
            </w:pPr>
            <w:r>
              <w:rPr>
                <w:rFonts w:hint="eastAsia"/>
                <w:color w:val="auto"/>
                <w:lang w:val="en-US" w:eastAsia="zh-CN"/>
              </w:rPr>
              <w:t>厂外工程（泵站—东柳二水厂管网）：</w:t>
            </w:r>
          </w:p>
          <w:p>
            <w:pPr>
              <w:pStyle w:val="22"/>
              <w:ind w:left="0" w:leftChars="0" w:firstLine="0" w:firstLineChars="0"/>
              <w:jc w:val="center"/>
              <w:rPr>
                <w:rFonts w:hint="eastAsia"/>
                <w:color w:val="auto"/>
                <w:lang w:val="en-US" w:eastAsia="zh-CN"/>
              </w:rPr>
            </w:pPr>
            <w:r>
              <w:rPr>
                <w:rFonts w:hint="eastAsia"/>
                <w:color w:val="auto"/>
                <w:lang w:val="en-US" w:eastAsia="zh-CN"/>
              </w:rPr>
              <w:t>起点：经度107°15'14.22"纬度30°44'15.09"；</w:t>
            </w:r>
          </w:p>
          <w:p>
            <w:pPr>
              <w:pStyle w:val="22"/>
              <w:ind w:left="0" w:leftChars="0" w:firstLine="0" w:firstLineChars="0"/>
              <w:jc w:val="center"/>
              <w:rPr>
                <w:rFonts w:hint="default" w:eastAsia="宋体"/>
                <w:color w:val="auto"/>
                <w:lang w:val="en-US" w:eastAsia="zh-CN"/>
              </w:rPr>
            </w:pPr>
            <w:r>
              <w:rPr>
                <w:rFonts w:hint="eastAsia"/>
                <w:color w:val="auto"/>
                <w:lang w:val="en-US" w:eastAsia="zh-CN"/>
              </w:rPr>
              <w:t>终点：经度107°16'18.1164"，纬度30°43'23.8836"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713"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国民经济行业类别</w:t>
            </w:r>
          </w:p>
        </w:tc>
        <w:tc>
          <w:tcPr>
            <w:tcW w:w="2750" w:type="dxa"/>
            <w:vAlign w:val="center"/>
          </w:tcPr>
          <w:p>
            <w:pPr>
              <w:adjustRightInd w:val="0"/>
              <w:snapToGrid w:val="0"/>
              <w:jc w:val="center"/>
              <w:rPr>
                <w:color w:val="auto"/>
                <w:sz w:val="21"/>
                <w:szCs w:val="21"/>
              </w:rPr>
            </w:pPr>
            <w:r>
              <w:rPr>
                <w:color w:val="auto"/>
                <w:sz w:val="21"/>
                <w:szCs w:val="21"/>
              </w:rPr>
              <w:t>D4610自来水生产和供应</w:t>
            </w:r>
          </w:p>
        </w:tc>
        <w:tc>
          <w:tcPr>
            <w:tcW w:w="2102" w:type="dxa"/>
            <w:vAlign w:val="center"/>
          </w:tcPr>
          <w:p>
            <w:pPr>
              <w:adjustRightInd w:val="0"/>
              <w:snapToGrid w:val="0"/>
              <w:jc w:val="center"/>
              <w:rPr>
                <w:color w:val="auto"/>
                <w:sz w:val="21"/>
                <w:szCs w:val="21"/>
              </w:rPr>
            </w:pPr>
            <w:r>
              <w:rPr>
                <w:color w:val="auto"/>
                <w:sz w:val="21"/>
                <w:szCs w:val="21"/>
              </w:rPr>
              <w:t>建设项目</w:t>
            </w:r>
          </w:p>
          <w:p>
            <w:pPr>
              <w:adjustRightInd w:val="0"/>
              <w:snapToGrid w:val="0"/>
              <w:jc w:val="center"/>
              <w:rPr>
                <w:color w:val="auto"/>
                <w:sz w:val="21"/>
                <w:szCs w:val="21"/>
              </w:rPr>
            </w:pPr>
            <w:r>
              <w:rPr>
                <w:color w:val="auto"/>
                <w:sz w:val="21"/>
                <w:szCs w:val="21"/>
              </w:rPr>
              <w:t>行业类别</w:t>
            </w:r>
          </w:p>
        </w:tc>
        <w:tc>
          <w:tcPr>
            <w:tcW w:w="4202" w:type="dxa"/>
            <w:vAlign w:val="center"/>
          </w:tcPr>
          <w:p>
            <w:pPr>
              <w:adjustRightInd w:val="0"/>
              <w:snapToGrid w:val="0"/>
              <w:rPr>
                <w:color w:val="auto"/>
                <w:sz w:val="21"/>
                <w:szCs w:val="21"/>
                <w:vertAlign w:val="superscript"/>
              </w:rPr>
            </w:pPr>
            <w:r>
              <w:rPr>
                <w:color w:val="auto"/>
                <w:sz w:val="21"/>
                <w:szCs w:val="21"/>
              </w:rPr>
              <w:t>四十三，水的生产和供应业--94 自来水生产和供应461（不含供应工程；不含村庄供应工程）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104"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建设性质</w:t>
            </w:r>
          </w:p>
        </w:tc>
        <w:tc>
          <w:tcPr>
            <w:tcW w:w="2750" w:type="dxa"/>
            <w:vAlign w:val="center"/>
          </w:tcPr>
          <w:p>
            <w:pPr>
              <w:adjustRightInd w:val="0"/>
              <w:snapToGrid w:val="0"/>
              <w:jc w:val="left"/>
              <w:rPr>
                <w:color w:val="auto"/>
                <w:sz w:val="21"/>
                <w:szCs w:val="21"/>
              </w:rPr>
            </w:pPr>
            <w:r>
              <w:rPr>
                <w:color w:val="auto"/>
                <w:sz w:val="21"/>
                <w:szCs w:val="21"/>
              </w:rPr>
              <w:sym w:font="Wingdings 2" w:char="0052"/>
            </w:r>
            <w:r>
              <w:rPr>
                <w:color w:val="auto"/>
                <w:sz w:val="21"/>
                <w:szCs w:val="21"/>
              </w:rPr>
              <w:t>新建（迁建）</w:t>
            </w:r>
          </w:p>
          <w:p>
            <w:pPr>
              <w:adjustRightInd w:val="0"/>
              <w:snapToGrid w:val="0"/>
              <w:jc w:val="left"/>
              <w:rPr>
                <w:color w:val="auto"/>
                <w:sz w:val="21"/>
                <w:szCs w:val="21"/>
              </w:rPr>
            </w:pPr>
            <w:r>
              <w:rPr>
                <w:color w:val="auto"/>
                <w:sz w:val="21"/>
                <w:szCs w:val="21"/>
              </w:rPr>
              <w:t>□改建</w:t>
            </w:r>
          </w:p>
          <w:p>
            <w:pPr>
              <w:adjustRightInd w:val="0"/>
              <w:snapToGrid w:val="0"/>
              <w:jc w:val="left"/>
              <w:rPr>
                <w:color w:val="auto"/>
                <w:sz w:val="21"/>
                <w:szCs w:val="21"/>
              </w:rPr>
            </w:pPr>
            <w:r>
              <w:rPr>
                <w:color w:val="auto"/>
                <w:sz w:val="21"/>
                <w:szCs w:val="21"/>
              </w:rPr>
              <w:t>□扩建</w:t>
            </w:r>
          </w:p>
          <w:p>
            <w:pPr>
              <w:adjustRightInd w:val="0"/>
              <w:snapToGrid w:val="0"/>
              <w:jc w:val="left"/>
              <w:rPr>
                <w:color w:val="auto"/>
                <w:sz w:val="21"/>
                <w:szCs w:val="21"/>
              </w:rPr>
            </w:pPr>
            <w:r>
              <w:rPr>
                <w:color w:val="auto"/>
                <w:sz w:val="21"/>
                <w:szCs w:val="21"/>
              </w:rPr>
              <w:t>□技术改造</w:t>
            </w:r>
          </w:p>
        </w:tc>
        <w:tc>
          <w:tcPr>
            <w:tcW w:w="2102" w:type="dxa"/>
            <w:vAlign w:val="center"/>
          </w:tcPr>
          <w:p>
            <w:pPr>
              <w:adjustRightInd w:val="0"/>
              <w:snapToGrid w:val="0"/>
              <w:jc w:val="center"/>
              <w:rPr>
                <w:color w:val="auto"/>
                <w:sz w:val="21"/>
                <w:szCs w:val="21"/>
              </w:rPr>
            </w:pPr>
            <w:r>
              <w:rPr>
                <w:color w:val="auto"/>
                <w:sz w:val="21"/>
                <w:szCs w:val="21"/>
              </w:rPr>
              <w:t>建设项目</w:t>
            </w:r>
          </w:p>
          <w:p>
            <w:pPr>
              <w:adjustRightInd w:val="0"/>
              <w:snapToGrid w:val="0"/>
              <w:jc w:val="center"/>
              <w:rPr>
                <w:color w:val="auto"/>
                <w:sz w:val="21"/>
                <w:szCs w:val="21"/>
              </w:rPr>
            </w:pPr>
            <w:r>
              <w:rPr>
                <w:color w:val="auto"/>
                <w:sz w:val="21"/>
                <w:szCs w:val="21"/>
              </w:rPr>
              <w:t>申报情形</w:t>
            </w:r>
          </w:p>
        </w:tc>
        <w:tc>
          <w:tcPr>
            <w:tcW w:w="4202" w:type="dxa"/>
            <w:vAlign w:val="center"/>
          </w:tcPr>
          <w:p>
            <w:pPr>
              <w:adjustRightInd w:val="0"/>
              <w:snapToGrid w:val="0"/>
              <w:jc w:val="left"/>
              <w:rPr>
                <w:color w:val="auto"/>
                <w:sz w:val="21"/>
                <w:szCs w:val="21"/>
              </w:rPr>
            </w:pPr>
            <w:r>
              <w:rPr>
                <w:color w:val="auto"/>
                <w:sz w:val="21"/>
                <w:szCs w:val="21"/>
              </w:rPr>
              <w:sym w:font="Wingdings 2" w:char="0052"/>
            </w:r>
            <w:r>
              <w:rPr>
                <w:color w:val="auto"/>
                <w:sz w:val="21"/>
                <w:szCs w:val="21"/>
              </w:rPr>
              <w:t>首次申报项目</w:t>
            </w:r>
          </w:p>
          <w:p>
            <w:pPr>
              <w:adjustRightInd w:val="0"/>
              <w:snapToGrid w:val="0"/>
              <w:jc w:val="left"/>
              <w:rPr>
                <w:color w:val="auto"/>
                <w:sz w:val="21"/>
                <w:szCs w:val="21"/>
              </w:rPr>
            </w:pPr>
            <w:r>
              <w:rPr>
                <w:color w:val="auto"/>
                <w:sz w:val="21"/>
                <w:szCs w:val="21"/>
              </w:rPr>
              <w:t>□不予批准后再次申报项目</w:t>
            </w:r>
          </w:p>
          <w:p>
            <w:pPr>
              <w:adjustRightInd w:val="0"/>
              <w:snapToGrid w:val="0"/>
              <w:jc w:val="left"/>
              <w:rPr>
                <w:color w:val="auto"/>
                <w:sz w:val="21"/>
                <w:szCs w:val="21"/>
              </w:rPr>
            </w:pPr>
            <w:r>
              <w:rPr>
                <w:color w:val="auto"/>
                <w:sz w:val="21"/>
                <w:szCs w:val="21"/>
              </w:rPr>
              <w:t>□超五年重新审核项目</w:t>
            </w:r>
          </w:p>
          <w:p>
            <w:pPr>
              <w:adjustRightInd w:val="0"/>
              <w:snapToGrid w:val="0"/>
              <w:rPr>
                <w:color w:val="auto"/>
                <w:sz w:val="21"/>
                <w:szCs w:val="21"/>
              </w:rPr>
            </w:pPr>
            <w:r>
              <w:rPr>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576"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项目审批（核准/备案）部门（选填）</w:t>
            </w:r>
          </w:p>
        </w:tc>
        <w:tc>
          <w:tcPr>
            <w:tcW w:w="2750" w:type="dxa"/>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2102" w:type="dxa"/>
            <w:vAlign w:val="center"/>
          </w:tcPr>
          <w:p>
            <w:pPr>
              <w:adjustRightInd w:val="0"/>
              <w:snapToGrid w:val="0"/>
              <w:jc w:val="center"/>
              <w:rPr>
                <w:color w:val="auto"/>
                <w:sz w:val="21"/>
                <w:szCs w:val="21"/>
              </w:rPr>
            </w:pPr>
            <w:r>
              <w:rPr>
                <w:color w:val="auto"/>
                <w:sz w:val="21"/>
                <w:szCs w:val="21"/>
              </w:rPr>
              <w:t>项目审批（核准/</w:t>
            </w:r>
          </w:p>
          <w:p>
            <w:pPr>
              <w:adjustRightInd w:val="0"/>
              <w:snapToGrid w:val="0"/>
              <w:jc w:val="center"/>
              <w:rPr>
                <w:color w:val="auto"/>
                <w:sz w:val="21"/>
                <w:szCs w:val="21"/>
              </w:rPr>
            </w:pPr>
            <w:r>
              <w:rPr>
                <w:color w:val="auto"/>
                <w:sz w:val="21"/>
                <w:szCs w:val="21"/>
              </w:rPr>
              <w:t>备案）文号（选填）</w:t>
            </w:r>
          </w:p>
        </w:tc>
        <w:tc>
          <w:tcPr>
            <w:tcW w:w="4202" w:type="dxa"/>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55" w:hRule="atLeast"/>
          <w:jc w:val="center"/>
        </w:trPr>
        <w:tc>
          <w:tcPr>
            <w:tcW w:w="982"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总投资（万元）</w:t>
            </w:r>
          </w:p>
        </w:tc>
        <w:tc>
          <w:tcPr>
            <w:tcW w:w="2750" w:type="dxa"/>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679.67</w:t>
            </w:r>
          </w:p>
        </w:tc>
        <w:tc>
          <w:tcPr>
            <w:tcW w:w="2102"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环保投资（万元）</w:t>
            </w:r>
          </w:p>
        </w:tc>
        <w:tc>
          <w:tcPr>
            <w:tcW w:w="4202" w:type="dxa"/>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4" w:hRule="atLeast"/>
          <w:jc w:val="center"/>
        </w:trPr>
        <w:tc>
          <w:tcPr>
            <w:tcW w:w="982"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环保投资占比（%）</w:t>
            </w:r>
          </w:p>
        </w:tc>
        <w:tc>
          <w:tcPr>
            <w:tcW w:w="2750" w:type="dxa"/>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5.08</w:t>
            </w:r>
          </w:p>
        </w:tc>
        <w:tc>
          <w:tcPr>
            <w:tcW w:w="2102" w:type="dxa"/>
            <w:tcMar>
              <w:top w:w="16" w:type="dxa"/>
              <w:left w:w="16" w:type="dxa"/>
              <w:right w:w="16" w:type="dxa"/>
            </w:tcMar>
            <w:vAlign w:val="center"/>
          </w:tcPr>
          <w:p>
            <w:pPr>
              <w:adjustRightInd w:val="0"/>
              <w:snapToGrid w:val="0"/>
              <w:jc w:val="center"/>
              <w:rPr>
                <w:color w:val="auto"/>
                <w:sz w:val="21"/>
                <w:szCs w:val="21"/>
                <w:highlight w:val="none"/>
              </w:rPr>
            </w:pPr>
            <w:r>
              <w:rPr>
                <w:color w:val="auto"/>
                <w:sz w:val="21"/>
                <w:szCs w:val="21"/>
                <w:highlight w:val="none"/>
              </w:rPr>
              <w:t>施工工期</w:t>
            </w:r>
          </w:p>
        </w:tc>
        <w:tc>
          <w:tcPr>
            <w:tcW w:w="4202" w:type="dxa"/>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64"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是否开工建设</w:t>
            </w:r>
          </w:p>
        </w:tc>
        <w:tc>
          <w:tcPr>
            <w:tcW w:w="2750" w:type="dxa"/>
            <w:vAlign w:val="center"/>
          </w:tcPr>
          <w:p>
            <w:pPr>
              <w:adjustRightInd w:val="0"/>
              <w:snapToGrid w:val="0"/>
              <w:rPr>
                <w:color w:val="auto"/>
                <w:sz w:val="21"/>
                <w:szCs w:val="21"/>
              </w:rPr>
            </w:pPr>
            <w:r>
              <w:rPr>
                <w:color w:val="auto"/>
                <w:sz w:val="21"/>
                <w:szCs w:val="21"/>
              </w:rPr>
              <w:sym w:font="Wingdings 2" w:char="00A3"/>
            </w:r>
            <w:r>
              <w:rPr>
                <w:color w:val="auto"/>
                <w:sz w:val="21"/>
                <w:szCs w:val="21"/>
              </w:rPr>
              <w:t>否</w:t>
            </w:r>
          </w:p>
          <w:p>
            <w:pPr>
              <w:adjustRightInd w:val="0"/>
              <w:snapToGrid w:val="0"/>
              <w:rPr>
                <w:color w:val="auto"/>
                <w:sz w:val="21"/>
                <w:szCs w:val="21"/>
              </w:rPr>
            </w:pPr>
            <w:r>
              <w:rPr>
                <w:color w:val="auto"/>
                <w:sz w:val="21"/>
                <w:szCs w:val="21"/>
              </w:rPr>
              <w:sym w:font="Wingdings 2" w:char="0052"/>
            </w:r>
            <w:r>
              <w:rPr>
                <w:color w:val="auto"/>
                <w:sz w:val="21"/>
                <w:szCs w:val="21"/>
              </w:rPr>
              <w:t>是</w:t>
            </w:r>
            <w:r>
              <w:rPr>
                <w:rFonts w:hint="eastAsia"/>
                <w:color w:val="auto"/>
                <w:sz w:val="21"/>
                <w:szCs w:val="21"/>
                <w:lang w:eastAsia="zh-CN"/>
              </w:rPr>
              <w:t>：</w:t>
            </w:r>
            <w:r>
              <w:rPr>
                <w:rFonts w:hint="eastAsia"/>
                <w:color w:val="auto"/>
                <w:sz w:val="21"/>
                <w:szCs w:val="21"/>
                <w:u w:val="single"/>
                <w:lang w:val="en-US" w:eastAsia="zh-CN"/>
              </w:rPr>
              <w:t>本项目所有建设内容已建成。本项目已纳入抢险救灾工程，</w:t>
            </w:r>
            <w:r>
              <w:rPr>
                <w:rFonts w:hint="eastAsia" w:eastAsia="宋体"/>
                <w:color w:val="auto"/>
                <w:sz w:val="21"/>
                <w:szCs w:val="21"/>
                <w:u w:val="single"/>
                <w:lang w:val="en-US" w:eastAsia="zh-CN"/>
              </w:rPr>
              <w:t>根据《大竹县抢险救灾工程项目管理办法》（竹府办〔2020〕6号）规定：抢险救灾工程项目，可在开工后补办审批手续。因此，本次环评属于补办环评。</w:t>
            </w:r>
          </w:p>
        </w:tc>
        <w:tc>
          <w:tcPr>
            <w:tcW w:w="2102" w:type="dxa"/>
            <w:tcMar>
              <w:top w:w="16" w:type="dxa"/>
              <w:left w:w="16" w:type="dxa"/>
              <w:right w:w="16" w:type="dxa"/>
            </w:tcMar>
            <w:vAlign w:val="center"/>
          </w:tcPr>
          <w:p>
            <w:pPr>
              <w:adjustRightInd w:val="0"/>
              <w:snapToGrid w:val="0"/>
              <w:jc w:val="center"/>
              <w:rPr>
                <w:color w:val="auto"/>
                <w:sz w:val="21"/>
                <w:szCs w:val="21"/>
              </w:rPr>
            </w:pPr>
            <w:r>
              <w:rPr>
                <w:color w:val="auto"/>
                <w:sz w:val="21"/>
                <w:szCs w:val="21"/>
              </w:rPr>
              <w:t>用地（用海）</w:t>
            </w:r>
          </w:p>
          <w:p>
            <w:pPr>
              <w:adjustRightInd w:val="0"/>
              <w:snapToGrid w:val="0"/>
              <w:jc w:val="center"/>
              <w:rPr>
                <w:color w:val="auto"/>
                <w:sz w:val="21"/>
                <w:szCs w:val="21"/>
              </w:rPr>
            </w:pPr>
            <w:r>
              <w:rPr>
                <w:color w:val="auto"/>
                <w:sz w:val="21"/>
                <w:szCs w:val="21"/>
              </w:rPr>
              <w:t>面积（m</w:t>
            </w:r>
            <w:r>
              <w:rPr>
                <w:color w:val="auto"/>
                <w:sz w:val="21"/>
                <w:szCs w:val="21"/>
                <w:vertAlign w:val="superscript"/>
              </w:rPr>
              <w:t>2</w:t>
            </w:r>
            <w:r>
              <w:rPr>
                <w:color w:val="auto"/>
                <w:sz w:val="21"/>
                <w:szCs w:val="21"/>
              </w:rPr>
              <w:t>）</w:t>
            </w:r>
          </w:p>
        </w:tc>
        <w:tc>
          <w:tcPr>
            <w:tcW w:w="4202" w:type="dxa"/>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永久占地面积844.36</w:t>
            </w:r>
            <w:r>
              <w:rPr>
                <w:rFonts w:hint="eastAsia"/>
                <w:bCs/>
                <w:color w:val="auto"/>
                <w:kern w:val="0"/>
                <w:sz w:val="21"/>
                <w:szCs w:val="21"/>
                <w:highlight w:val="none"/>
                <w:lang w:val="en-US" w:eastAsia="zh-CN"/>
              </w:rPr>
              <w:t>m</w:t>
            </w:r>
            <w:r>
              <w:rPr>
                <w:rFonts w:hint="eastAsia"/>
                <w:bCs/>
                <w:color w:val="auto"/>
                <w:kern w:val="0"/>
                <w:sz w:val="21"/>
                <w:szCs w:val="21"/>
                <w:highlight w:val="none"/>
                <w:vertAlign w:val="superscript"/>
                <w:lang w:val="en-US" w:eastAsia="zh-CN"/>
              </w:rPr>
              <w:t>2</w:t>
            </w:r>
            <w:r>
              <w:rPr>
                <w:rFonts w:hint="eastAsia"/>
                <w:color w:val="auto"/>
                <w:sz w:val="21"/>
                <w:szCs w:val="21"/>
                <w:lang w:val="en-US" w:eastAsia="zh-CN"/>
              </w:rPr>
              <w:t>；</w:t>
            </w:r>
          </w:p>
          <w:p>
            <w:pPr>
              <w:pStyle w:val="22"/>
              <w:keepNext w:val="0"/>
              <w:keepLines w:val="0"/>
              <w:pageBreakBefore w:val="0"/>
              <w:widowControl w:val="0"/>
              <w:kinsoku/>
              <w:wordWrap/>
              <w:overflowPunct/>
              <w:topLinePunct w:val="0"/>
              <w:autoSpaceDE/>
              <w:autoSpaceDN/>
              <w:bidi w:val="0"/>
              <w:ind w:left="0" w:leftChars="0" w:firstLine="0" w:firstLineChars="0"/>
              <w:jc w:val="center"/>
              <w:textAlignment w:val="auto"/>
              <w:rPr>
                <w:rFonts w:hint="default"/>
                <w:color w:val="auto"/>
                <w:lang w:val="en-US" w:eastAsia="zh-CN"/>
              </w:rPr>
            </w:pPr>
            <w:r>
              <w:rPr>
                <w:rFonts w:hint="eastAsia"/>
                <w:bCs/>
                <w:color w:val="auto"/>
                <w:kern w:val="0"/>
                <w:sz w:val="21"/>
                <w:szCs w:val="21"/>
                <w:highlight w:val="none"/>
                <w:lang w:val="en-US" w:eastAsia="zh-CN"/>
              </w:rPr>
              <w:t>临时占地面积1644m</w:t>
            </w:r>
            <w:r>
              <w:rPr>
                <w:rFonts w:hint="eastAsia"/>
                <w:bCs/>
                <w:color w:val="auto"/>
                <w:kern w:val="0"/>
                <w:sz w:val="21"/>
                <w:szCs w:val="21"/>
                <w:highlight w:val="none"/>
                <w:vertAlign w:val="superscript"/>
                <w:lang w:val="en-US" w:eastAsia="zh-CN"/>
              </w:rPr>
              <w:t>2</w:t>
            </w:r>
            <w:r>
              <w:rPr>
                <w:rFonts w:hint="eastAsia"/>
                <w:bCs/>
                <w:color w:val="auto"/>
                <w:kern w:val="0"/>
                <w:sz w:val="21"/>
                <w:szCs w:val="21"/>
                <w:highlight w:val="non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07" w:hRule="atLeast"/>
          <w:jc w:val="center"/>
        </w:trPr>
        <w:tc>
          <w:tcPr>
            <w:tcW w:w="982" w:type="dxa"/>
            <w:tcMar>
              <w:top w:w="16" w:type="dxa"/>
              <w:left w:w="16" w:type="dxa"/>
              <w:right w:w="16" w:type="dxa"/>
            </w:tcMar>
            <w:vAlign w:val="center"/>
          </w:tcPr>
          <w:p>
            <w:pPr>
              <w:adjustRightInd w:val="0"/>
              <w:snapToGrid w:val="0"/>
              <w:jc w:val="center"/>
              <w:rPr>
                <w:color w:val="auto"/>
                <w:sz w:val="21"/>
                <w:szCs w:val="21"/>
              </w:rPr>
            </w:pPr>
            <w:r>
              <w:rPr>
                <w:color w:val="auto"/>
                <w:kern w:val="0"/>
                <w:sz w:val="21"/>
                <w:szCs w:val="21"/>
              </w:rPr>
              <w:t>专项评价设置情况</w:t>
            </w:r>
          </w:p>
        </w:tc>
        <w:tc>
          <w:tcPr>
            <w:tcW w:w="905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06" w:hRule="atLeast"/>
          <w:jc w:val="center"/>
        </w:trPr>
        <w:tc>
          <w:tcPr>
            <w:tcW w:w="982" w:type="dxa"/>
            <w:tcMar>
              <w:top w:w="16" w:type="dxa"/>
              <w:left w:w="16" w:type="dxa"/>
              <w:right w:w="16" w:type="dxa"/>
            </w:tcMar>
            <w:vAlign w:val="center"/>
          </w:tcPr>
          <w:p>
            <w:pPr>
              <w:adjustRightInd w:val="0"/>
              <w:snapToGrid w:val="0"/>
              <w:jc w:val="center"/>
              <w:rPr>
                <w:color w:val="auto"/>
                <w:kern w:val="0"/>
                <w:sz w:val="21"/>
                <w:szCs w:val="21"/>
              </w:rPr>
            </w:pPr>
            <w:r>
              <w:rPr>
                <w:color w:val="auto"/>
                <w:sz w:val="21"/>
                <w:szCs w:val="21"/>
              </w:rPr>
              <w:t>规划情况</w:t>
            </w:r>
          </w:p>
        </w:tc>
        <w:tc>
          <w:tcPr>
            <w:tcW w:w="9054" w:type="dxa"/>
            <w:gridSpan w:val="3"/>
            <w:vAlign w:val="center"/>
          </w:tcPr>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firstLine="420" w:firstLineChars="200"/>
              <w:textAlignment w:val="auto"/>
              <w:rPr>
                <w:color w:val="auto"/>
                <w:kern w:val="0"/>
                <w:sz w:val="21"/>
                <w:szCs w:val="21"/>
              </w:rPr>
            </w:pPr>
            <w:r>
              <w:rPr>
                <w:color w:val="auto"/>
                <w:kern w:val="0"/>
                <w:sz w:val="21"/>
                <w:szCs w:val="21"/>
              </w:rPr>
              <w:t>规划名称：《四川</w:t>
            </w:r>
            <w:r>
              <w:rPr>
                <w:rFonts w:hint="eastAsia" w:ascii="宋体" w:hAnsi="宋体" w:eastAsia="宋体" w:cs="宋体"/>
                <w:color w:val="auto"/>
                <w:kern w:val="0"/>
                <w:sz w:val="21"/>
                <w:szCs w:val="21"/>
              </w:rPr>
              <w:t>省“十四五”水</w:t>
            </w:r>
            <w:r>
              <w:rPr>
                <w:color w:val="auto"/>
                <w:kern w:val="0"/>
                <w:sz w:val="21"/>
                <w:szCs w:val="21"/>
              </w:rPr>
              <w:t>安全保障规划》；审批机关：四川省人民政府；</w:t>
            </w:r>
            <w:r>
              <w:rPr>
                <w:rFonts w:hint="eastAsia"/>
                <w:color w:val="auto"/>
                <w:kern w:val="0"/>
                <w:sz w:val="21"/>
                <w:szCs w:val="21"/>
                <w:lang w:val="en-US" w:eastAsia="zh-CN"/>
              </w:rPr>
              <w:t>审批文件名称：</w:t>
            </w:r>
            <w:r>
              <w:rPr>
                <w:rFonts w:hint="eastAsia" w:ascii="Times New Roman" w:hAnsi="Times New Roman" w:eastAsia="宋体" w:cs="Times New Roman"/>
                <w:color w:val="auto"/>
                <w:kern w:val="0"/>
                <w:sz w:val="21"/>
                <w:szCs w:val="21"/>
                <w:lang w:val="en-US" w:eastAsia="zh-CN"/>
              </w:rPr>
              <w:t>四川省人民政府关于印发</w:t>
            </w:r>
            <w:r>
              <w:rPr>
                <w:rFonts w:hint="default" w:ascii="Times New Roman" w:hAnsi="Times New Roman" w:eastAsia="宋体" w:cs="Times New Roman"/>
                <w:color w:val="auto"/>
                <w:kern w:val="0"/>
                <w:sz w:val="21"/>
                <w:szCs w:val="21"/>
                <w:lang w:val="en-US" w:eastAsia="zh-CN"/>
              </w:rPr>
              <w:t>《</w:t>
            </w:r>
            <w:r>
              <w:rPr>
                <w:rFonts w:hint="eastAsia" w:ascii="宋体" w:hAnsi="宋体" w:eastAsia="宋体" w:cs="宋体"/>
                <w:color w:val="auto"/>
                <w:kern w:val="0"/>
                <w:sz w:val="21"/>
                <w:szCs w:val="21"/>
                <w:lang w:val="en-US" w:eastAsia="zh-CN"/>
              </w:rPr>
              <w:t>四川省“十四五”水安全</w:t>
            </w:r>
            <w:r>
              <w:rPr>
                <w:rFonts w:hint="default" w:ascii="Times New Roman" w:hAnsi="Times New Roman" w:eastAsia="宋体" w:cs="Times New Roman"/>
                <w:color w:val="auto"/>
                <w:kern w:val="0"/>
                <w:sz w:val="21"/>
                <w:szCs w:val="21"/>
                <w:lang w:val="en-US" w:eastAsia="zh-CN"/>
              </w:rPr>
              <w:t>保障规划》的通知</w:t>
            </w:r>
            <w:r>
              <w:rPr>
                <w:rFonts w:hint="eastAsia" w:ascii="Times New Roman" w:hAnsi="Times New Roman" w:eastAsia="宋体" w:cs="Times New Roman"/>
                <w:color w:val="auto"/>
                <w:kern w:val="0"/>
                <w:sz w:val="21"/>
                <w:szCs w:val="21"/>
                <w:lang w:val="en-US" w:eastAsia="zh-CN"/>
              </w:rPr>
              <w:t>（</w:t>
            </w:r>
            <w:r>
              <w:rPr>
                <w:rFonts w:hint="eastAsia"/>
                <w:color w:val="auto"/>
                <w:kern w:val="0"/>
                <w:sz w:val="21"/>
                <w:szCs w:val="21"/>
                <w:lang w:val="en-US" w:eastAsia="zh-CN"/>
              </w:rPr>
              <w:t>审批</w:t>
            </w:r>
            <w:r>
              <w:rPr>
                <w:color w:val="auto"/>
                <w:kern w:val="0"/>
                <w:sz w:val="21"/>
                <w:szCs w:val="21"/>
              </w:rPr>
              <w:t>文号：川府发</w:t>
            </w:r>
            <w:r>
              <w:rPr>
                <w:rFonts w:hint="default" w:ascii="Times New Roman" w:hAnsi="Times New Roman" w:eastAsia="宋体" w:cs="Times New Roman"/>
                <w:i w:val="0"/>
                <w:iCs w:val="0"/>
                <w:caps w:val="0"/>
                <w:color w:val="000000"/>
                <w:spacing w:val="0"/>
                <w:sz w:val="21"/>
                <w:szCs w:val="21"/>
                <w:shd w:val="clear" w:fill="FFFFFF"/>
              </w:rPr>
              <w:t>〔202</w:t>
            </w:r>
            <w:r>
              <w:rPr>
                <w:rFonts w:hint="eastAsia" w:ascii="Times New Roman" w:hAnsi="Times New Roman" w:eastAsia="宋体" w:cs="Times New Roman"/>
                <w:i w:val="0"/>
                <w:iCs w:val="0"/>
                <w:caps w:val="0"/>
                <w:color w:val="000000"/>
                <w:spacing w:val="0"/>
                <w:sz w:val="21"/>
                <w:szCs w:val="21"/>
                <w:shd w:val="clear" w:fill="FFFFFF"/>
                <w:lang w:val="en-US" w:eastAsia="zh-CN"/>
              </w:rPr>
              <w:t>1</w:t>
            </w:r>
            <w:r>
              <w:rPr>
                <w:rFonts w:hint="default" w:ascii="Times New Roman" w:hAnsi="Times New Roman" w:eastAsia="宋体" w:cs="Times New Roman"/>
                <w:i w:val="0"/>
                <w:iCs w:val="0"/>
                <w:caps w:val="0"/>
                <w:color w:val="000000"/>
                <w:spacing w:val="0"/>
                <w:sz w:val="21"/>
                <w:szCs w:val="21"/>
                <w:shd w:val="clear" w:fill="FFFFFF"/>
              </w:rPr>
              <w:t>〕</w:t>
            </w:r>
            <w:r>
              <w:rPr>
                <w:color w:val="auto"/>
                <w:kern w:val="0"/>
                <w:sz w:val="21"/>
                <w:szCs w:val="21"/>
              </w:rPr>
              <w:t>18号</w:t>
            </w:r>
            <w:r>
              <w:rPr>
                <w:rFonts w:hint="eastAsia" w:ascii="Times New Roman" w:hAnsi="Times New Roman" w:eastAsia="宋体" w:cs="Times New Roman"/>
                <w:color w:val="auto"/>
                <w:kern w:val="0"/>
                <w:sz w:val="21"/>
                <w:szCs w:val="21"/>
                <w:lang w:val="en-US" w:eastAsia="zh-CN"/>
              </w:rPr>
              <w:t>）</w:t>
            </w:r>
            <w:r>
              <w:rPr>
                <w:color w:val="auto"/>
                <w:kern w:val="0"/>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 w:val="21"/>
                <w:szCs w:val="21"/>
              </w:rPr>
            </w:pPr>
            <w:r>
              <w:rPr>
                <w:color w:val="auto"/>
                <w:kern w:val="0"/>
                <w:sz w:val="21"/>
                <w:szCs w:val="21"/>
              </w:rPr>
              <w:t>2、规划名称：《达</w:t>
            </w:r>
            <w:r>
              <w:rPr>
                <w:rFonts w:hint="eastAsia" w:ascii="宋体" w:hAnsi="宋体" w:eastAsia="宋体" w:cs="宋体"/>
                <w:color w:val="auto"/>
                <w:kern w:val="0"/>
                <w:sz w:val="21"/>
                <w:szCs w:val="21"/>
              </w:rPr>
              <w:t>州“十四五”水安</w:t>
            </w:r>
            <w:r>
              <w:rPr>
                <w:color w:val="auto"/>
                <w:kern w:val="0"/>
                <w:sz w:val="21"/>
                <w:szCs w:val="21"/>
              </w:rPr>
              <w:t>全保障规划》；审批机关：达州市人民政府；</w:t>
            </w:r>
            <w:r>
              <w:rPr>
                <w:rFonts w:hint="eastAsia"/>
                <w:color w:val="auto"/>
                <w:kern w:val="0"/>
                <w:sz w:val="21"/>
                <w:szCs w:val="21"/>
                <w:lang w:val="en-US" w:eastAsia="zh-CN"/>
              </w:rPr>
              <w:t>审批文件名称：达州市人民政府关于印发《达州市“十四五”水安全保障规划》的通知（审批</w:t>
            </w:r>
            <w:r>
              <w:rPr>
                <w:color w:val="auto"/>
                <w:kern w:val="0"/>
                <w:sz w:val="21"/>
                <w:szCs w:val="21"/>
              </w:rPr>
              <w:t>文号：达市府发</w:t>
            </w:r>
            <w:r>
              <w:rPr>
                <w:rFonts w:hint="default" w:ascii="Times New Roman" w:hAnsi="Times New Roman" w:eastAsia="宋体" w:cs="Times New Roman"/>
                <w:i w:val="0"/>
                <w:iCs w:val="0"/>
                <w:caps w:val="0"/>
                <w:color w:val="000000"/>
                <w:spacing w:val="0"/>
                <w:sz w:val="21"/>
                <w:szCs w:val="21"/>
                <w:shd w:val="clear" w:fill="FFFFFF"/>
              </w:rPr>
              <w:t>〔2022〕</w:t>
            </w:r>
            <w:r>
              <w:rPr>
                <w:color w:val="auto"/>
                <w:kern w:val="0"/>
                <w:sz w:val="21"/>
                <w:szCs w:val="21"/>
              </w:rPr>
              <w:t>6号</w:t>
            </w:r>
            <w:r>
              <w:rPr>
                <w:rFonts w:hint="eastAsia"/>
                <w:color w:val="auto"/>
                <w:kern w:val="0"/>
                <w:sz w:val="21"/>
                <w:szCs w:val="21"/>
                <w:lang w:val="en-US" w:eastAsia="zh-CN"/>
              </w:rPr>
              <w:t>）</w:t>
            </w:r>
            <w:r>
              <w:rPr>
                <w:color w:val="auto"/>
                <w:kern w:val="0"/>
                <w:sz w:val="21"/>
                <w:szCs w:val="21"/>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 w:val="21"/>
                <w:szCs w:val="21"/>
                <w:lang w:eastAsia="zh-CN"/>
              </w:rPr>
            </w:pPr>
            <w:r>
              <w:rPr>
                <w:color w:val="auto"/>
                <w:kern w:val="0"/>
                <w:sz w:val="21"/>
                <w:szCs w:val="21"/>
              </w:rPr>
              <w:t>规划名称：《大竹</w:t>
            </w:r>
            <w:r>
              <w:rPr>
                <w:rFonts w:hint="eastAsia" w:ascii="宋体" w:hAnsi="宋体" w:eastAsia="宋体" w:cs="宋体"/>
                <w:color w:val="auto"/>
                <w:kern w:val="0"/>
                <w:sz w:val="21"/>
                <w:szCs w:val="21"/>
              </w:rPr>
              <w:t>县“十四五”水</w:t>
            </w:r>
            <w:r>
              <w:rPr>
                <w:color w:val="auto"/>
                <w:kern w:val="0"/>
                <w:sz w:val="21"/>
                <w:szCs w:val="21"/>
              </w:rPr>
              <w:t>安全保障规划》；审批机关：</w:t>
            </w:r>
            <w:r>
              <w:rPr>
                <w:rFonts w:hint="eastAsia"/>
                <w:color w:val="auto"/>
                <w:kern w:val="0"/>
                <w:sz w:val="21"/>
                <w:szCs w:val="21"/>
                <w:lang w:val="en-US" w:eastAsia="zh-CN"/>
              </w:rPr>
              <w:t>大竹县</w:t>
            </w:r>
            <w:r>
              <w:rPr>
                <w:color w:val="auto"/>
                <w:kern w:val="0"/>
                <w:sz w:val="21"/>
                <w:szCs w:val="21"/>
              </w:rPr>
              <w:t>人民政府</w:t>
            </w:r>
            <w:r>
              <w:rPr>
                <w:rFonts w:hint="eastAsia"/>
                <w:color w:val="auto"/>
                <w:kern w:val="0"/>
                <w:sz w:val="21"/>
                <w:szCs w:val="21"/>
                <w:lang w:eastAsia="zh-CN"/>
              </w:rPr>
              <w:t>；</w:t>
            </w:r>
            <w:r>
              <w:rPr>
                <w:rFonts w:hint="eastAsia"/>
                <w:color w:val="auto"/>
                <w:kern w:val="0"/>
                <w:sz w:val="21"/>
                <w:szCs w:val="21"/>
                <w:lang w:val="en-US" w:eastAsia="zh-CN"/>
              </w:rPr>
              <w:t>审批文件名称：《</w:t>
            </w:r>
            <w:r>
              <w:rPr>
                <w:rFonts w:hint="eastAsia" w:ascii="Times New Roman" w:hAnsi="Times New Roman" w:eastAsia="宋体" w:cs="Times New Roman"/>
                <w:color w:val="auto"/>
                <w:kern w:val="0"/>
                <w:sz w:val="21"/>
                <w:szCs w:val="21"/>
              </w:rPr>
              <w:t>大竹县人民政府关于印发大竹县“十四五”水安全保障规划的通知</w:t>
            </w:r>
            <w:r>
              <w:rPr>
                <w:rFonts w:hint="eastAsia"/>
                <w:color w:val="auto"/>
                <w:kern w:val="0"/>
                <w:sz w:val="21"/>
                <w:szCs w:val="21"/>
                <w:lang w:val="en-US" w:eastAsia="zh-CN"/>
              </w:rPr>
              <w:t>》（审批</w:t>
            </w:r>
            <w:r>
              <w:rPr>
                <w:color w:val="auto"/>
                <w:kern w:val="0"/>
                <w:sz w:val="21"/>
                <w:szCs w:val="21"/>
              </w:rPr>
              <w:t>文号：</w:t>
            </w:r>
            <w:r>
              <w:rPr>
                <w:rFonts w:hint="eastAsia"/>
                <w:color w:val="auto"/>
                <w:kern w:val="0"/>
                <w:sz w:val="21"/>
                <w:szCs w:val="21"/>
                <w:lang w:val="en-US" w:eastAsia="zh-CN"/>
              </w:rPr>
              <w:t>无）。</w:t>
            </w:r>
          </w:p>
          <w:p>
            <w:pPr>
              <w:pStyle w:val="11"/>
              <w:keepNext w:val="0"/>
              <w:keepLines w:val="0"/>
              <w:pageBreakBefore w:val="0"/>
              <w:widowControl/>
              <w:numPr>
                <w:ilvl w:val="0"/>
                <w:numId w:val="5"/>
              </w:numPr>
              <w:kinsoku/>
              <w:wordWrap/>
              <w:overflowPunct/>
              <w:topLinePunct w:val="0"/>
              <w:autoSpaceDE/>
              <w:autoSpaceDN/>
              <w:bidi w:val="0"/>
              <w:adjustRightInd/>
              <w:snapToGrid w:val="0"/>
              <w:spacing w:before="0" w:after="0" w:line="360" w:lineRule="auto"/>
              <w:ind w:left="0" w:leftChars="0" w:right="0" w:firstLine="420" w:firstLineChars="200"/>
              <w:textAlignment w:val="auto"/>
              <w:rPr>
                <w:rFonts w:hint="default"/>
                <w:color w:val="auto"/>
                <w:kern w:val="0"/>
                <w:sz w:val="21"/>
                <w:szCs w:val="21"/>
                <w:lang w:val="en-US" w:eastAsia="zh-CN"/>
              </w:rPr>
            </w:pPr>
            <w:r>
              <w:rPr>
                <w:rFonts w:hint="eastAsia"/>
                <w:color w:val="auto"/>
                <w:kern w:val="0"/>
                <w:sz w:val="21"/>
                <w:szCs w:val="21"/>
                <w:lang w:val="en-US" w:eastAsia="zh-CN"/>
              </w:rPr>
              <w:t>规划名称：《大竹县工业园区（经开区 ）总体规划（2012-2020）》；审批机关：大竹县人民政府，审批文件名称：《大竹县人民政府关于同意大竹县工业园区（经开区）总体规划的函》（审批文号：无）。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90" w:hRule="atLeast"/>
          <w:jc w:val="center"/>
        </w:trPr>
        <w:tc>
          <w:tcPr>
            <w:tcW w:w="982" w:type="dxa"/>
            <w:tcMar>
              <w:top w:w="16" w:type="dxa"/>
              <w:left w:w="16" w:type="dxa"/>
              <w:right w:w="16" w:type="dxa"/>
            </w:tcMar>
            <w:vAlign w:val="center"/>
          </w:tcPr>
          <w:p>
            <w:pPr>
              <w:autoSpaceDE w:val="0"/>
              <w:autoSpaceDN w:val="0"/>
              <w:adjustRightInd w:val="0"/>
              <w:snapToGrid w:val="0"/>
              <w:jc w:val="center"/>
              <w:rPr>
                <w:color w:val="auto"/>
                <w:kern w:val="0"/>
                <w:sz w:val="21"/>
                <w:szCs w:val="21"/>
              </w:rPr>
            </w:pPr>
            <w:r>
              <w:rPr>
                <w:color w:val="auto"/>
                <w:sz w:val="21"/>
                <w:szCs w:val="21"/>
              </w:rPr>
              <w:t>规划环境影响评价情况</w:t>
            </w:r>
          </w:p>
        </w:tc>
        <w:tc>
          <w:tcPr>
            <w:tcW w:w="9054" w:type="dxa"/>
            <w:gridSpan w:val="3"/>
            <w:vAlign w:val="center"/>
          </w:tcPr>
          <w:p>
            <w:pPr>
              <w:pStyle w:val="11"/>
              <w:spacing w:before="0" w:after="0" w:line="360" w:lineRule="auto"/>
              <w:ind w:right="0" w:firstLine="420" w:firstLineChars="20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规划环评文件名称：《大竹工业园区（东区）（8.9平方公里总体规划环境影响报告书）》</w:t>
            </w:r>
          </w:p>
          <w:p>
            <w:pPr>
              <w:pStyle w:val="11"/>
              <w:spacing w:before="0" w:after="0" w:line="360" w:lineRule="auto"/>
              <w:ind w:right="0" w:firstLine="420" w:firstLineChars="20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审批机关：原大竹县环境保护局；</w:t>
            </w:r>
          </w:p>
          <w:p>
            <w:pPr>
              <w:pStyle w:val="11"/>
              <w:spacing w:before="0" w:after="0" w:line="360" w:lineRule="auto"/>
              <w:ind w:right="0" w:firstLine="420" w:firstLineChars="20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审批文件名称：《大竹县环境保护局关于&lt;大竹工业园区（东区）（8.9平方公里）总体规划环境影响报告书的审查意见&gt;》</w:t>
            </w:r>
          </w:p>
          <w:p>
            <w:pPr>
              <w:pStyle w:val="11"/>
              <w:spacing w:before="0" w:after="0" w:line="360" w:lineRule="auto"/>
              <w:ind w:right="0" w:firstLine="420" w:firstLineChars="200"/>
              <w:rPr>
                <w:color w:val="auto"/>
                <w:kern w:val="0"/>
                <w:sz w:val="21"/>
                <w:szCs w:val="21"/>
              </w:rPr>
            </w:pPr>
            <w:r>
              <w:rPr>
                <w:rFonts w:hint="eastAsia" w:ascii="Times New Roman" w:hAnsi="Times New Roman" w:eastAsia="宋体" w:cs="Times New Roman"/>
                <w:color w:val="auto"/>
                <w:kern w:val="0"/>
                <w:sz w:val="21"/>
                <w:szCs w:val="21"/>
                <w:lang w:val="en-US" w:eastAsia="zh-CN"/>
              </w:rPr>
              <w:t>审批文号：竹环函</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20</w:t>
            </w:r>
            <w:r>
              <w:rPr>
                <w:rFonts w:hint="eastAsia"/>
                <w:bCs/>
                <w:color w:val="auto"/>
                <w:kern w:val="0"/>
                <w:sz w:val="24"/>
                <w:szCs w:val="24"/>
                <w:lang w:val="en-US" w:eastAsia="zh-CN"/>
              </w:rPr>
              <w:t>16</w:t>
            </w:r>
            <w:r>
              <w:rPr>
                <w:rFonts w:hint="eastAsia" w:eastAsia="宋体"/>
                <w:bCs/>
                <w:color w:val="auto"/>
                <w:kern w:val="0"/>
                <w:sz w:val="24"/>
                <w:szCs w:val="24"/>
                <w:lang w:val="en-US" w:eastAsia="zh-CN"/>
              </w:rPr>
              <w:t>〕</w:t>
            </w:r>
            <w:r>
              <w:rPr>
                <w:rFonts w:hint="eastAsia" w:ascii="Times New Roman" w:hAnsi="Times New Roman" w:eastAsia="宋体" w:cs="Times New Roman"/>
                <w:color w:val="auto"/>
                <w:kern w:val="0"/>
                <w:sz w:val="21"/>
                <w:szCs w:val="21"/>
                <w:lang w:val="en-US" w:eastAsia="zh-CN"/>
              </w:rPr>
              <w:t>13号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258" w:hRule="atLeast"/>
          <w:jc w:val="center"/>
        </w:trPr>
        <w:tc>
          <w:tcPr>
            <w:tcW w:w="982" w:type="dxa"/>
            <w:tcMar>
              <w:top w:w="16" w:type="dxa"/>
              <w:left w:w="16" w:type="dxa"/>
              <w:right w:w="16" w:type="dxa"/>
            </w:tcMar>
            <w:vAlign w:val="center"/>
          </w:tcPr>
          <w:p>
            <w:pPr>
              <w:adjustRightInd w:val="0"/>
              <w:snapToGrid w:val="0"/>
              <w:jc w:val="center"/>
              <w:rPr>
                <w:color w:val="auto"/>
                <w:kern w:val="0"/>
                <w:sz w:val="21"/>
                <w:szCs w:val="21"/>
              </w:rPr>
            </w:pPr>
            <w:r>
              <w:rPr>
                <w:color w:val="auto"/>
                <w:kern w:val="0"/>
                <w:sz w:val="21"/>
                <w:szCs w:val="21"/>
              </w:rPr>
              <w:t>规划及</w:t>
            </w:r>
            <w:r>
              <w:rPr>
                <w:color w:val="auto"/>
                <w:sz w:val="21"/>
                <w:szCs w:val="21"/>
              </w:rPr>
              <w:t>规划环境影响评价</w:t>
            </w:r>
            <w:r>
              <w:rPr>
                <w:color w:val="auto"/>
                <w:kern w:val="0"/>
                <w:sz w:val="21"/>
                <w:szCs w:val="21"/>
              </w:rPr>
              <w:t>符合性分析</w:t>
            </w:r>
          </w:p>
        </w:tc>
        <w:tc>
          <w:tcPr>
            <w:tcW w:w="9054" w:type="dxa"/>
            <w:gridSpan w:val="3"/>
            <w:vAlign w:val="center"/>
          </w:tcPr>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22" w:firstLineChars="200"/>
              <w:textAlignment w:val="auto"/>
              <w:rPr>
                <w:b/>
                <w:bCs/>
                <w:color w:val="auto"/>
                <w:kern w:val="2"/>
                <w:sz w:val="21"/>
                <w:szCs w:val="21"/>
              </w:rPr>
            </w:pPr>
            <w:r>
              <w:rPr>
                <w:b/>
                <w:bCs/>
                <w:color w:val="auto"/>
                <w:sz w:val="21"/>
                <w:szCs w:val="21"/>
              </w:rPr>
              <w:t>1、</w:t>
            </w:r>
            <w:r>
              <w:rPr>
                <w:b/>
                <w:bCs/>
                <w:color w:val="auto"/>
                <w:kern w:val="2"/>
                <w:sz w:val="21"/>
                <w:szCs w:val="21"/>
              </w:rPr>
              <w:t>与《</w:t>
            </w:r>
            <w:r>
              <w:rPr>
                <w:b/>
                <w:bCs/>
                <w:color w:val="auto"/>
                <w:sz w:val="21"/>
                <w:szCs w:val="21"/>
              </w:rPr>
              <w:t>四川</w:t>
            </w:r>
            <w:r>
              <w:rPr>
                <w:rFonts w:hint="eastAsia" w:ascii="宋体" w:hAnsi="宋体" w:eastAsia="宋体" w:cs="宋体"/>
                <w:b/>
                <w:bCs/>
                <w:color w:val="auto"/>
                <w:sz w:val="21"/>
                <w:szCs w:val="21"/>
              </w:rPr>
              <w:t>省“十四五”水安</w:t>
            </w:r>
            <w:r>
              <w:rPr>
                <w:b/>
                <w:bCs/>
                <w:color w:val="auto"/>
                <w:sz w:val="21"/>
                <w:szCs w:val="21"/>
              </w:rPr>
              <w:t>全保障规划</w:t>
            </w:r>
            <w:r>
              <w:rPr>
                <w:b/>
                <w:bCs/>
                <w:color w:val="auto"/>
                <w:kern w:val="2"/>
                <w:sz w:val="21"/>
                <w:szCs w:val="21"/>
              </w:rPr>
              <w:t>》（川府发</w:t>
            </w:r>
            <w:r>
              <w:rPr>
                <w:rFonts w:hint="default" w:ascii="Times New Roman" w:hAnsi="Times New Roman" w:eastAsia="宋体" w:cs="Times New Roman"/>
                <w:b/>
                <w:bCs/>
                <w:i w:val="0"/>
                <w:iCs w:val="0"/>
                <w:caps w:val="0"/>
                <w:color w:val="000000"/>
                <w:spacing w:val="0"/>
                <w:sz w:val="21"/>
                <w:szCs w:val="21"/>
                <w:shd w:val="clear" w:fill="FFFFFF"/>
              </w:rPr>
              <w:t>〔202</w:t>
            </w:r>
            <w:r>
              <w:rPr>
                <w:rFonts w:hint="eastAsia" w:ascii="Times New Roman" w:hAnsi="Times New Roman" w:eastAsia="宋体" w:cs="Times New Roman"/>
                <w:b/>
                <w:bCs/>
                <w:i w:val="0"/>
                <w:iCs w:val="0"/>
                <w:caps w:val="0"/>
                <w:color w:val="000000"/>
                <w:spacing w:val="0"/>
                <w:sz w:val="21"/>
                <w:szCs w:val="21"/>
                <w:shd w:val="clear" w:fill="FFFFFF"/>
                <w:lang w:val="en-US" w:eastAsia="zh-CN"/>
              </w:rPr>
              <w:t>1</w:t>
            </w:r>
            <w:r>
              <w:rPr>
                <w:rFonts w:hint="default" w:ascii="Times New Roman" w:hAnsi="Times New Roman" w:eastAsia="宋体" w:cs="Times New Roman"/>
                <w:b/>
                <w:bCs/>
                <w:i w:val="0"/>
                <w:iCs w:val="0"/>
                <w:caps w:val="0"/>
                <w:color w:val="000000"/>
                <w:spacing w:val="0"/>
                <w:sz w:val="21"/>
                <w:szCs w:val="21"/>
                <w:shd w:val="clear" w:fill="FFFFFF"/>
              </w:rPr>
              <w:t>〕</w:t>
            </w:r>
            <w:r>
              <w:rPr>
                <w:b/>
                <w:bCs/>
                <w:color w:val="auto"/>
                <w:kern w:val="2"/>
                <w:sz w:val="21"/>
                <w:szCs w:val="21"/>
              </w:rPr>
              <w:t>18）符合性分析</w:t>
            </w:r>
          </w:p>
          <w:p>
            <w:pPr>
              <w:pStyle w:val="11"/>
              <w:spacing w:before="0" w:after="0" w:line="360" w:lineRule="auto"/>
              <w:ind w:right="0" w:firstLine="420" w:firstLineChars="200"/>
              <w:rPr>
                <w:color w:val="auto"/>
                <w:kern w:val="2"/>
                <w:sz w:val="21"/>
                <w:szCs w:val="21"/>
              </w:rPr>
            </w:pPr>
            <w:r>
              <w:rPr>
                <w:color w:val="auto"/>
                <w:kern w:val="2"/>
                <w:sz w:val="21"/>
                <w:szCs w:val="21"/>
              </w:rPr>
              <w:t>根据《四川</w:t>
            </w:r>
            <w:r>
              <w:rPr>
                <w:rFonts w:hint="eastAsia" w:ascii="宋体" w:hAnsi="宋体" w:eastAsia="宋体" w:cs="宋体"/>
                <w:color w:val="auto"/>
                <w:kern w:val="2"/>
                <w:sz w:val="21"/>
                <w:szCs w:val="21"/>
              </w:rPr>
              <w:t>省“十四五”水安</w:t>
            </w:r>
            <w:r>
              <w:rPr>
                <w:color w:val="auto"/>
                <w:kern w:val="2"/>
                <w:sz w:val="21"/>
                <w:szCs w:val="21"/>
              </w:rPr>
              <w:t>全保障规划》内容：第五章、构建完备的水网体系——强化工程水网与天然水网互联互通，做好</w:t>
            </w:r>
            <w:r>
              <w:rPr>
                <w:color w:val="auto"/>
                <w:sz w:val="21"/>
                <w:szCs w:val="21"/>
              </w:rPr>
              <w:t>天然水资源与工程配置水资源的合理调配。坚</w:t>
            </w:r>
            <w:r>
              <w:rPr>
                <w:rFonts w:hint="eastAsia" w:ascii="宋体" w:hAnsi="宋体" w:eastAsia="宋体" w:cs="宋体"/>
                <w:color w:val="auto"/>
                <w:sz w:val="21"/>
                <w:szCs w:val="21"/>
              </w:rPr>
              <w:t>持“近水为先、北水南补、西水东引、多源互济”的</w:t>
            </w:r>
            <w:r>
              <w:rPr>
                <w:color w:val="auto"/>
                <w:sz w:val="21"/>
                <w:szCs w:val="21"/>
              </w:rPr>
              <w:t>水资源配置原则，统筹流域和区域，省市县乡村水网充分衔接、</w:t>
            </w:r>
            <w:r>
              <w:rPr>
                <w:rFonts w:hint="eastAsia" w:ascii="宋体" w:hAnsi="宋体" w:eastAsia="宋体" w:cs="宋体"/>
                <w:b/>
                <w:bCs/>
                <w:color w:val="auto"/>
                <w:sz w:val="21"/>
                <w:szCs w:val="21"/>
                <w:u w:val="single"/>
              </w:rPr>
              <w:t>“蓄、引、提、供、泄、排”功</w:t>
            </w:r>
            <w:r>
              <w:rPr>
                <w:b/>
                <w:bCs/>
                <w:color w:val="auto"/>
                <w:sz w:val="21"/>
                <w:szCs w:val="21"/>
                <w:u w:val="single"/>
              </w:rPr>
              <w:t>能完备的水网体系，确保城乡居民用水安全，</w:t>
            </w:r>
            <w:r>
              <w:rPr>
                <w:color w:val="auto"/>
                <w:sz w:val="21"/>
                <w:szCs w:val="21"/>
              </w:rPr>
              <w:t>保障工农业生产用水。</w:t>
            </w:r>
          </w:p>
          <w:p>
            <w:pPr>
              <w:pStyle w:val="11"/>
              <w:spacing w:before="0" w:after="0" w:line="360" w:lineRule="auto"/>
              <w:ind w:right="0" w:firstLine="420" w:firstLineChars="200"/>
              <w:rPr>
                <w:color w:val="auto"/>
                <w:kern w:val="2"/>
                <w:sz w:val="21"/>
                <w:szCs w:val="21"/>
              </w:rPr>
            </w:pPr>
            <w:r>
              <w:rPr>
                <w:rFonts w:hint="eastAsia"/>
                <w:color w:val="auto"/>
                <w:kern w:val="2"/>
                <w:sz w:val="21"/>
                <w:szCs w:val="21"/>
              </w:rPr>
              <w:t>第七章 加强水生态保护和水环境治理</w:t>
            </w:r>
            <w:r>
              <w:rPr>
                <w:rFonts w:hint="eastAsia"/>
                <w:color w:val="auto"/>
                <w:kern w:val="2"/>
                <w:sz w:val="21"/>
                <w:szCs w:val="21"/>
                <w:lang w:eastAsia="zh-CN"/>
              </w:rPr>
              <w:t>：“</w:t>
            </w:r>
            <w:r>
              <w:rPr>
                <w:rFonts w:hint="eastAsia"/>
                <w:color w:val="auto"/>
                <w:kern w:val="2"/>
                <w:sz w:val="21"/>
                <w:szCs w:val="21"/>
              </w:rPr>
              <w:t>第四节 加强饮用水水源保护</w:t>
            </w:r>
            <w:r>
              <w:rPr>
                <w:rFonts w:hint="eastAsia"/>
                <w:color w:val="auto"/>
                <w:kern w:val="2"/>
                <w:sz w:val="21"/>
                <w:szCs w:val="21"/>
                <w:lang w:eastAsia="zh-CN"/>
              </w:rPr>
              <w:t>”</w:t>
            </w:r>
            <w:r>
              <w:rPr>
                <w:rFonts w:hint="eastAsia"/>
                <w:color w:val="auto"/>
                <w:kern w:val="2"/>
                <w:sz w:val="21"/>
                <w:szCs w:val="21"/>
              </w:rPr>
              <w:t>开展全国重要饮用水水源地安全保障达标建设评估，对全省饮用水水源地进行摸排，配合制定国家级饮用水水源地名录，制定省级饮用水水源地名录，进一步完善饮用水水源安全评估指标体系，完善名录准入、退出机制。加强饮用水水源地水量水质在线监测，</w:t>
            </w:r>
            <w:r>
              <w:rPr>
                <w:rFonts w:hint="eastAsia"/>
                <w:b/>
                <w:bCs/>
                <w:color w:val="auto"/>
                <w:kern w:val="2"/>
                <w:sz w:val="21"/>
                <w:szCs w:val="21"/>
                <w:u w:val="single"/>
              </w:rPr>
              <w:t>提升水安全保障能力。</w:t>
            </w:r>
          </w:p>
          <w:p>
            <w:pPr>
              <w:pStyle w:val="11"/>
              <w:spacing w:before="0" w:after="0" w:line="360" w:lineRule="auto"/>
              <w:ind w:right="0" w:firstLine="422" w:firstLineChars="200"/>
              <w:rPr>
                <w:b/>
                <w:bCs/>
                <w:color w:val="auto"/>
                <w:kern w:val="2"/>
                <w:sz w:val="21"/>
                <w:szCs w:val="21"/>
              </w:rPr>
            </w:pPr>
            <w:r>
              <w:rPr>
                <w:b/>
                <w:bCs/>
                <w:color w:val="auto"/>
                <w:kern w:val="2"/>
                <w:sz w:val="21"/>
                <w:szCs w:val="21"/>
              </w:rPr>
              <w:t>本项目</w:t>
            </w:r>
            <w:r>
              <w:rPr>
                <w:rFonts w:hint="eastAsia"/>
                <w:b/>
                <w:bCs/>
                <w:color w:val="auto"/>
                <w:kern w:val="2"/>
                <w:sz w:val="21"/>
                <w:szCs w:val="21"/>
                <w:lang w:val="en-US" w:eastAsia="zh-CN"/>
              </w:rPr>
              <w:t>已纳入大竹县抢险救灾工程</w:t>
            </w:r>
            <w:r>
              <w:rPr>
                <w:b/>
                <w:bCs/>
                <w:color w:val="auto"/>
                <w:kern w:val="2"/>
                <w:sz w:val="21"/>
                <w:szCs w:val="21"/>
              </w:rPr>
              <w:t>，</w:t>
            </w:r>
            <w:r>
              <w:rPr>
                <w:rFonts w:hint="eastAsia"/>
                <w:b/>
                <w:bCs/>
                <w:color w:val="auto"/>
                <w:kern w:val="2"/>
                <w:sz w:val="21"/>
                <w:szCs w:val="21"/>
                <w:lang w:val="en-US" w:eastAsia="zh-CN"/>
              </w:rPr>
              <w:t>本项目的实施有利于确保大竹县</w:t>
            </w:r>
            <w:r>
              <w:rPr>
                <w:b/>
                <w:bCs/>
                <w:color w:val="auto"/>
                <w:kern w:val="2"/>
                <w:sz w:val="21"/>
                <w:szCs w:val="21"/>
              </w:rPr>
              <w:t>城乡居民用水安全</w:t>
            </w:r>
            <w:r>
              <w:rPr>
                <w:rFonts w:hint="eastAsia"/>
                <w:b/>
                <w:bCs/>
                <w:color w:val="auto"/>
                <w:kern w:val="2"/>
                <w:sz w:val="21"/>
                <w:szCs w:val="21"/>
                <w:lang w:eastAsia="zh-CN"/>
              </w:rPr>
              <w:t>，</w:t>
            </w:r>
            <w:r>
              <w:rPr>
                <w:rFonts w:hint="eastAsia"/>
                <w:b/>
                <w:bCs/>
                <w:color w:val="auto"/>
                <w:kern w:val="2"/>
                <w:sz w:val="21"/>
                <w:szCs w:val="21"/>
                <w:lang w:val="en-US" w:eastAsia="zh-CN"/>
              </w:rPr>
              <w:t>提升大竹县饮用水安全保障能力</w:t>
            </w:r>
            <w:r>
              <w:rPr>
                <w:b/>
                <w:bCs/>
                <w:color w:val="auto"/>
                <w:kern w:val="2"/>
                <w:sz w:val="21"/>
                <w:szCs w:val="21"/>
              </w:rPr>
              <w:t>，项目建设符合《四</w:t>
            </w:r>
            <w:r>
              <w:rPr>
                <w:rFonts w:hint="eastAsia" w:ascii="宋体" w:hAnsi="宋体" w:eastAsia="宋体" w:cs="宋体"/>
                <w:b/>
                <w:bCs/>
                <w:color w:val="auto"/>
                <w:kern w:val="2"/>
                <w:sz w:val="21"/>
                <w:szCs w:val="21"/>
              </w:rPr>
              <w:t>川省“十四五”水安全</w:t>
            </w:r>
            <w:r>
              <w:rPr>
                <w:b/>
                <w:bCs/>
                <w:color w:val="auto"/>
                <w:kern w:val="2"/>
                <w:sz w:val="21"/>
                <w:szCs w:val="21"/>
              </w:rPr>
              <w:t>保障规划》。</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22" w:firstLineChars="200"/>
              <w:textAlignment w:val="auto"/>
              <w:rPr>
                <w:rFonts w:hint="eastAsia" w:eastAsia="宋体"/>
                <w:b/>
                <w:bCs/>
                <w:color w:val="auto"/>
                <w:kern w:val="2"/>
                <w:sz w:val="21"/>
                <w:szCs w:val="21"/>
                <w:lang w:eastAsia="zh-CN"/>
              </w:rPr>
            </w:pPr>
            <w:r>
              <w:rPr>
                <w:b/>
                <w:bCs/>
                <w:color w:val="auto"/>
                <w:kern w:val="2"/>
                <w:sz w:val="21"/>
                <w:szCs w:val="21"/>
              </w:rPr>
              <w:t>2、与《达州</w:t>
            </w:r>
            <w:r>
              <w:rPr>
                <w:rFonts w:hint="eastAsia" w:ascii="宋体" w:hAnsi="宋体" w:eastAsia="宋体" w:cs="宋体"/>
                <w:b/>
                <w:bCs/>
                <w:color w:val="auto"/>
                <w:kern w:val="2"/>
                <w:sz w:val="21"/>
                <w:szCs w:val="21"/>
              </w:rPr>
              <w:t>市“十四五”水安全保障规</w:t>
            </w:r>
            <w:r>
              <w:rPr>
                <w:b/>
                <w:bCs/>
                <w:color w:val="auto"/>
                <w:kern w:val="2"/>
                <w:sz w:val="21"/>
                <w:szCs w:val="21"/>
              </w:rPr>
              <w:t>划》</w:t>
            </w:r>
            <w:r>
              <w:rPr>
                <w:rFonts w:hint="eastAsia"/>
                <w:b/>
                <w:bCs/>
                <w:color w:val="auto"/>
                <w:kern w:val="2"/>
                <w:sz w:val="21"/>
                <w:szCs w:val="21"/>
                <w:lang w:val="en-US" w:eastAsia="zh-CN"/>
              </w:rPr>
              <w:t>(</w:t>
            </w:r>
            <w:r>
              <w:rPr>
                <w:b/>
                <w:bCs/>
                <w:color w:val="auto"/>
                <w:sz w:val="21"/>
                <w:szCs w:val="21"/>
              </w:rPr>
              <w:t>达市府发</w:t>
            </w:r>
            <w:r>
              <w:rPr>
                <w:rFonts w:hint="default" w:ascii="Times New Roman" w:hAnsi="Times New Roman" w:eastAsia="宋体" w:cs="Times New Roman"/>
                <w:b/>
                <w:bCs/>
                <w:i w:val="0"/>
                <w:iCs w:val="0"/>
                <w:caps w:val="0"/>
                <w:color w:val="000000"/>
                <w:spacing w:val="0"/>
                <w:sz w:val="21"/>
                <w:szCs w:val="21"/>
                <w:shd w:val="clear" w:fill="FFFFFF"/>
              </w:rPr>
              <w:t>〔2022〕</w:t>
            </w:r>
            <w:r>
              <w:rPr>
                <w:b/>
                <w:bCs/>
                <w:color w:val="auto"/>
                <w:sz w:val="21"/>
                <w:szCs w:val="21"/>
              </w:rPr>
              <w:t>6</w:t>
            </w:r>
            <w:r>
              <w:rPr>
                <w:rFonts w:hint="eastAsia"/>
                <w:b/>
                <w:bCs/>
                <w:color w:val="auto"/>
                <w:sz w:val="21"/>
                <w:szCs w:val="21"/>
                <w:lang w:val="en-US" w:eastAsia="zh-CN"/>
              </w:rPr>
              <w:t>)</w:t>
            </w:r>
            <w:r>
              <w:rPr>
                <w:b/>
                <w:bCs/>
                <w:color w:val="auto"/>
                <w:kern w:val="2"/>
                <w:sz w:val="21"/>
                <w:szCs w:val="21"/>
              </w:rPr>
              <w:t>符合性分析</w:t>
            </w:r>
          </w:p>
          <w:p>
            <w:pPr>
              <w:adjustRightInd w:val="0"/>
              <w:snapToGrid w:val="0"/>
              <w:spacing w:line="360" w:lineRule="auto"/>
              <w:ind w:firstLine="420" w:firstLineChars="200"/>
              <w:rPr>
                <w:color w:val="auto"/>
                <w:sz w:val="21"/>
                <w:szCs w:val="21"/>
              </w:rPr>
            </w:pPr>
            <w:r>
              <w:rPr>
                <w:color w:val="auto"/>
                <w:kern w:val="2"/>
                <w:sz w:val="21"/>
                <w:szCs w:val="21"/>
              </w:rPr>
              <w:t>根据《达州</w:t>
            </w:r>
            <w:r>
              <w:rPr>
                <w:rFonts w:hint="eastAsia" w:ascii="宋体" w:hAnsi="宋体" w:eastAsia="宋体" w:cs="宋体"/>
                <w:color w:val="auto"/>
                <w:kern w:val="2"/>
                <w:sz w:val="21"/>
                <w:szCs w:val="21"/>
              </w:rPr>
              <w:t>市“十四五”水安全</w:t>
            </w:r>
            <w:r>
              <w:rPr>
                <w:color w:val="auto"/>
                <w:kern w:val="2"/>
                <w:sz w:val="21"/>
                <w:szCs w:val="21"/>
              </w:rPr>
              <w:t>保障规划》内容：</w:t>
            </w:r>
            <w:r>
              <w:rPr>
                <w:rFonts w:hint="eastAsia"/>
                <w:color w:val="auto"/>
                <w:sz w:val="21"/>
                <w:szCs w:val="21"/>
              </w:rPr>
              <w:t>按照“一中心三片区”的水利发展布局，坚持“大中小微结合，开源与节水并行，开发与保护并举，防汛与抗旱一体”的发展原则，围绕一个目标（即：</w:t>
            </w:r>
            <w:r>
              <w:rPr>
                <w:rFonts w:hint="eastAsia"/>
                <w:b/>
                <w:bCs/>
                <w:color w:val="auto"/>
                <w:sz w:val="21"/>
                <w:szCs w:val="21"/>
                <w:u w:val="single"/>
              </w:rPr>
              <w:t>推动新阶段水利高质量发展，提升水旱灾害防御、水资源集约安全利用、水资源优化配置、水生态保护治理能力，建成基本适应经济社会发展要求的水安全保障体系</w:t>
            </w:r>
            <w:r>
              <w:rPr>
                <w:rFonts w:hint="eastAsia"/>
                <w:color w:val="auto"/>
                <w:sz w:val="21"/>
                <w:szCs w:val="21"/>
              </w:rPr>
              <w:t>），紧扣两大抓手（即：深化水利工程补短板强弱项和水利行业强监管优服务），实现三个突破（即：一是在骨干工程建设上实现新突破；二是在全面推行河长制扭转水生态上实现新突破；三是在落实最严格水资源管理建设节水型社会上实现新突破），构建六大体系（即：</w:t>
            </w:r>
            <w:r>
              <w:rPr>
                <w:rFonts w:hint="eastAsia"/>
                <w:b/>
                <w:bCs/>
                <w:color w:val="auto"/>
                <w:sz w:val="21"/>
                <w:szCs w:val="21"/>
                <w:u w:val="single"/>
              </w:rPr>
              <w:t>符合水资源集约安全的管理体系；支撑社会用水需要的供给体系</w:t>
            </w:r>
            <w:r>
              <w:rPr>
                <w:rFonts w:hint="eastAsia"/>
                <w:color w:val="auto"/>
                <w:sz w:val="21"/>
                <w:szCs w:val="21"/>
              </w:rPr>
              <w:t>；满足水生态优美健康的保护体系：</w:t>
            </w:r>
            <w:r>
              <w:rPr>
                <w:rFonts w:hint="eastAsia"/>
                <w:b/>
                <w:bCs/>
                <w:color w:val="auto"/>
                <w:sz w:val="21"/>
                <w:szCs w:val="21"/>
                <w:u w:val="single"/>
              </w:rPr>
              <w:t>高效应对水旱灾害的防御体系</w:t>
            </w:r>
            <w:r>
              <w:rPr>
                <w:rFonts w:hint="eastAsia"/>
                <w:color w:val="auto"/>
                <w:sz w:val="21"/>
                <w:szCs w:val="21"/>
              </w:rPr>
              <w:t>；激发水利内生活力的制度体系；彰显水利精神面貌的文化体系），奋力推进达州水利实现高质量发展。</w:t>
            </w:r>
          </w:p>
          <w:p>
            <w:pPr>
              <w:adjustRightInd w:val="0"/>
              <w:snapToGrid w:val="0"/>
              <w:spacing w:line="360" w:lineRule="auto"/>
              <w:ind w:firstLine="422" w:firstLineChars="200"/>
              <w:rPr>
                <w:b/>
                <w:bCs/>
                <w:color w:val="auto"/>
                <w:sz w:val="21"/>
                <w:szCs w:val="21"/>
              </w:rPr>
            </w:pPr>
            <w:r>
              <w:rPr>
                <w:b/>
                <w:bCs/>
                <w:color w:val="auto"/>
                <w:kern w:val="2"/>
                <w:sz w:val="21"/>
                <w:szCs w:val="21"/>
              </w:rPr>
              <w:t>本项目</w:t>
            </w:r>
            <w:r>
              <w:rPr>
                <w:rFonts w:hint="eastAsia"/>
                <w:b/>
                <w:bCs/>
                <w:color w:val="auto"/>
                <w:kern w:val="2"/>
                <w:sz w:val="21"/>
                <w:szCs w:val="21"/>
                <w:lang w:val="en-US" w:eastAsia="zh-CN"/>
              </w:rPr>
              <w:t>已纳入大竹县抢险救灾工程</w:t>
            </w:r>
            <w:r>
              <w:rPr>
                <w:b/>
                <w:bCs/>
                <w:color w:val="auto"/>
                <w:kern w:val="2"/>
                <w:sz w:val="21"/>
                <w:szCs w:val="21"/>
              </w:rPr>
              <w:t>，</w:t>
            </w:r>
            <w:r>
              <w:rPr>
                <w:rFonts w:hint="eastAsia"/>
                <w:b/>
                <w:bCs/>
                <w:color w:val="auto"/>
                <w:kern w:val="2"/>
                <w:sz w:val="21"/>
                <w:szCs w:val="21"/>
                <w:lang w:val="en-US" w:eastAsia="zh-CN"/>
              </w:rPr>
              <w:t>本项目的实施有利于完善达州市水安全保障体系，有利于应对水旱灾害</w:t>
            </w:r>
            <w:r>
              <w:rPr>
                <w:rFonts w:hint="eastAsia"/>
                <w:color w:val="auto"/>
                <w:kern w:val="2"/>
                <w:sz w:val="21"/>
                <w:szCs w:val="21"/>
                <w:lang w:val="en-US" w:eastAsia="zh-CN"/>
              </w:rPr>
              <w:t>，</w:t>
            </w:r>
            <w:r>
              <w:rPr>
                <w:b/>
                <w:bCs/>
                <w:color w:val="auto"/>
                <w:sz w:val="21"/>
                <w:szCs w:val="21"/>
              </w:rPr>
              <w:t>项目</w:t>
            </w:r>
            <w:r>
              <w:rPr>
                <w:rFonts w:hint="eastAsia"/>
                <w:b/>
                <w:bCs/>
                <w:color w:val="auto"/>
                <w:sz w:val="21"/>
                <w:szCs w:val="21"/>
                <w:lang w:val="en-US" w:eastAsia="zh-CN"/>
              </w:rPr>
              <w:t>建设</w:t>
            </w:r>
            <w:r>
              <w:rPr>
                <w:b/>
                <w:bCs/>
                <w:color w:val="auto"/>
                <w:sz w:val="21"/>
                <w:szCs w:val="21"/>
              </w:rPr>
              <w:t>符合《达州</w:t>
            </w:r>
            <w:r>
              <w:rPr>
                <w:rFonts w:hint="eastAsia" w:ascii="宋体" w:hAnsi="宋体" w:eastAsia="宋体" w:cs="宋体"/>
                <w:b/>
                <w:bCs/>
                <w:color w:val="auto"/>
                <w:sz w:val="21"/>
                <w:szCs w:val="21"/>
              </w:rPr>
              <w:t>市“十四五”水安</w:t>
            </w:r>
            <w:r>
              <w:rPr>
                <w:b/>
                <w:bCs/>
                <w:color w:val="auto"/>
                <w:sz w:val="21"/>
                <w:szCs w:val="21"/>
              </w:rPr>
              <w:t>全保障规划》。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color w:val="auto"/>
                <w:sz w:val="21"/>
                <w:szCs w:val="21"/>
              </w:rPr>
            </w:pPr>
            <w:r>
              <w:rPr>
                <w:b/>
                <w:bCs/>
                <w:color w:val="auto"/>
                <w:sz w:val="21"/>
                <w:szCs w:val="21"/>
              </w:rPr>
              <w:t>3、与《大竹</w:t>
            </w:r>
            <w:r>
              <w:rPr>
                <w:rFonts w:hint="eastAsia" w:ascii="宋体" w:hAnsi="宋体" w:eastAsia="宋体" w:cs="宋体"/>
                <w:b/>
                <w:bCs/>
                <w:color w:val="auto"/>
                <w:kern w:val="2"/>
                <w:sz w:val="21"/>
                <w:szCs w:val="21"/>
                <w:lang w:val="en-US" w:eastAsia="zh-CN" w:bidi="ar-SA"/>
              </w:rPr>
              <w:t>县“十四五”水安全</w:t>
            </w:r>
            <w:r>
              <w:rPr>
                <w:b/>
                <w:bCs/>
                <w:color w:val="auto"/>
                <w:sz w:val="21"/>
                <w:szCs w:val="21"/>
              </w:rPr>
              <w:t>保障规划》符合性分析</w:t>
            </w:r>
          </w:p>
          <w:p>
            <w:pPr>
              <w:adjustRightInd w:val="0"/>
              <w:snapToGrid w:val="0"/>
              <w:spacing w:line="360" w:lineRule="auto"/>
              <w:ind w:firstLine="420" w:firstLineChars="200"/>
              <w:rPr>
                <w:rFonts w:eastAsia="宋体"/>
                <w:b/>
                <w:bCs/>
                <w:color w:val="auto"/>
                <w:sz w:val="21"/>
                <w:szCs w:val="21"/>
                <w:u w:val="single"/>
              </w:rPr>
            </w:pPr>
            <w:r>
              <w:rPr>
                <w:color w:val="auto"/>
                <w:sz w:val="21"/>
                <w:szCs w:val="21"/>
              </w:rPr>
              <w:t>根据《大竹县</w:t>
            </w:r>
            <w:r>
              <w:rPr>
                <w:rFonts w:hint="eastAsia" w:eastAsia="宋体"/>
                <w:color w:val="auto"/>
                <w:sz w:val="21"/>
                <w:szCs w:val="21"/>
              </w:rPr>
              <w:t>“十四五”水安全保</w:t>
            </w:r>
            <w:r>
              <w:rPr>
                <w:color w:val="auto"/>
                <w:sz w:val="21"/>
                <w:szCs w:val="21"/>
              </w:rPr>
              <w:t>障规划》内容：</w:t>
            </w:r>
            <w:r>
              <w:rPr>
                <w:rFonts w:hint="eastAsia" w:ascii="宋体" w:hAnsi="宋体" w:eastAsia="宋体" w:cs="宋体"/>
                <w:color w:val="auto"/>
                <w:sz w:val="21"/>
                <w:szCs w:val="21"/>
              </w:rPr>
              <w:t>“十四五”期，以习近平总书记关于保障国家水安全重要讲话精神，始终把人民群众生命安全放在最高位置，始终坚持以人为本、生命至上、尊重规律、人水和谐，</w:t>
            </w:r>
            <w:r>
              <w:rPr>
                <w:rFonts w:hint="eastAsia" w:ascii="宋体" w:hAnsi="宋体" w:eastAsia="宋体" w:cs="宋体"/>
                <w:b/>
                <w:bCs/>
                <w:color w:val="auto"/>
                <w:sz w:val="21"/>
                <w:szCs w:val="21"/>
                <w:u w:val="single"/>
              </w:rPr>
              <w:t>始终坚持立足于防，践行“两个坚持、三个转变”防灾减灾救灾理念，加快构建与现代社会发展</w:t>
            </w:r>
            <w:r>
              <w:rPr>
                <w:rFonts w:eastAsia="宋体"/>
                <w:b/>
                <w:bCs/>
                <w:color w:val="auto"/>
                <w:sz w:val="21"/>
                <w:szCs w:val="21"/>
                <w:u w:val="single"/>
              </w:rPr>
              <w:t>相适应的水旱灾害防治体系。</w:t>
            </w:r>
          </w:p>
          <w:p>
            <w:pPr>
              <w:adjustRightInd w:val="0"/>
              <w:snapToGrid w:val="0"/>
              <w:spacing w:line="360" w:lineRule="auto"/>
              <w:ind w:firstLine="422" w:firstLineChars="200"/>
              <w:rPr>
                <w:rFonts w:eastAsia="宋体"/>
                <w:b/>
                <w:bCs/>
                <w:color w:val="auto"/>
                <w:sz w:val="21"/>
                <w:szCs w:val="21"/>
                <w:u w:val="single"/>
              </w:rPr>
            </w:pPr>
            <w:r>
              <w:rPr>
                <w:rFonts w:hint="eastAsia" w:eastAsia="宋体"/>
                <w:b/>
                <w:bCs/>
                <w:color w:val="auto"/>
                <w:kern w:val="2"/>
                <w:sz w:val="21"/>
                <w:szCs w:val="21"/>
                <w:u w:val="single"/>
                <w:lang w:val="en-US" w:eastAsia="zh-CN"/>
              </w:rPr>
              <w:t>到2025年，大竹县水利发展总体目标是供水保障能力基本满足需求，水旱灾害防御能力得到有效提升，水生态环境得到持续改善，行业能力得到不断增强，为经济社会发展提供强有力的水安全保障支撑</w:t>
            </w:r>
            <w:r>
              <w:rPr>
                <w:rFonts w:ascii="宋体" w:hAnsi="宋体" w:eastAsia="宋体" w:cs="宋体"/>
                <w:color w:val="auto"/>
                <w:sz w:val="24"/>
                <w:szCs w:val="24"/>
                <w:u w:val="single"/>
              </w:rPr>
              <w:t>。</w:t>
            </w:r>
          </w:p>
          <w:p>
            <w:pPr>
              <w:adjustRightInd w:val="0"/>
              <w:snapToGrid w:val="0"/>
              <w:spacing w:line="360" w:lineRule="auto"/>
              <w:ind w:firstLine="422" w:firstLineChars="200"/>
              <w:rPr>
                <w:b/>
                <w:bCs/>
                <w:color w:val="auto"/>
                <w:sz w:val="21"/>
                <w:szCs w:val="21"/>
              </w:rPr>
            </w:pPr>
            <w:r>
              <w:rPr>
                <w:b/>
                <w:bCs/>
                <w:color w:val="auto"/>
                <w:kern w:val="2"/>
                <w:sz w:val="21"/>
                <w:szCs w:val="21"/>
              </w:rPr>
              <w:t>本项目</w:t>
            </w:r>
            <w:r>
              <w:rPr>
                <w:rFonts w:hint="eastAsia"/>
                <w:b/>
                <w:bCs/>
                <w:color w:val="auto"/>
                <w:kern w:val="2"/>
                <w:sz w:val="21"/>
                <w:szCs w:val="21"/>
                <w:lang w:val="en-US" w:eastAsia="zh-CN"/>
              </w:rPr>
              <w:t>已纳入大竹县抢险救灾工程</w:t>
            </w:r>
            <w:r>
              <w:rPr>
                <w:b/>
                <w:bCs/>
                <w:color w:val="auto"/>
                <w:kern w:val="2"/>
                <w:sz w:val="21"/>
                <w:szCs w:val="21"/>
              </w:rPr>
              <w:t>，</w:t>
            </w:r>
            <w:r>
              <w:rPr>
                <w:rFonts w:hint="eastAsia"/>
                <w:b/>
                <w:bCs/>
                <w:color w:val="auto"/>
                <w:kern w:val="2"/>
                <w:sz w:val="21"/>
                <w:szCs w:val="21"/>
                <w:lang w:val="en-US" w:eastAsia="zh-CN"/>
              </w:rPr>
              <w:t>本项目的实施有利于提高大竹县城乡饮水安全保障能力，有利于完善大竹县灾害应急防治体系，</w:t>
            </w:r>
            <w:r>
              <w:rPr>
                <w:b/>
                <w:bCs/>
                <w:color w:val="auto"/>
                <w:sz w:val="21"/>
                <w:szCs w:val="21"/>
              </w:rPr>
              <w:t>因此，本项目符合《大竹</w:t>
            </w:r>
            <w:r>
              <w:rPr>
                <w:rFonts w:hint="eastAsia" w:ascii="宋体" w:hAnsi="宋体" w:eastAsia="宋体" w:cs="宋体"/>
                <w:b/>
                <w:bCs/>
                <w:color w:val="auto"/>
                <w:sz w:val="21"/>
                <w:szCs w:val="21"/>
              </w:rPr>
              <w:t>县“十四五”水安</w:t>
            </w:r>
            <w:r>
              <w:rPr>
                <w:b/>
                <w:bCs/>
                <w:color w:val="auto"/>
                <w:sz w:val="21"/>
                <w:szCs w:val="21"/>
              </w:rPr>
              <w:t>全保障规划》要求。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lang w:val="en-US" w:eastAsia="zh-CN"/>
              </w:rPr>
            </w:pPr>
            <w:r>
              <w:rPr>
                <w:rFonts w:hint="eastAsia"/>
                <w:b/>
                <w:bCs/>
                <w:color w:val="auto"/>
                <w:lang w:val="en-US" w:eastAsia="zh-CN"/>
              </w:rPr>
              <w:t>4、与《</w:t>
            </w:r>
            <w:r>
              <w:rPr>
                <w:rFonts w:hint="eastAsia"/>
                <w:b/>
                <w:bCs/>
                <w:color w:val="auto"/>
                <w:kern w:val="0"/>
                <w:sz w:val="21"/>
                <w:szCs w:val="21"/>
                <w:lang w:val="en-US" w:eastAsia="zh-CN"/>
              </w:rPr>
              <w:t>大竹县工业园区（经开区 ）总体规划</w:t>
            </w:r>
            <w:r>
              <w:rPr>
                <w:rFonts w:hint="eastAsia"/>
                <w:b/>
                <w:bCs/>
                <w:color w:val="auto"/>
                <w:lang w:val="en-US" w:eastAsia="zh-CN"/>
              </w:rPr>
              <w:t>》及规划环评符合性分析</w:t>
            </w:r>
          </w:p>
          <w:p>
            <w:pPr>
              <w:adjustRightInd w:val="0"/>
              <w:snapToGrid w:val="0"/>
              <w:spacing w:line="360" w:lineRule="auto"/>
              <w:ind w:firstLine="420" w:firstLineChars="200"/>
              <w:rPr>
                <w:rFonts w:hint="eastAsia"/>
                <w:b w:val="0"/>
                <w:bCs w:val="0"/>
                <w:color w:val="auto"/>
                <w:vertAlign w:val="baseline"/>
                <w:lang w:val="en-US" w:eastAsia="zh-CN"/>
              </w:rPr>
            </w:pPr>
            <w:r>
              <w:rPr>
                <w:rFonts w:hint="eastAsia" w:ascii="宋体" w:hAnsi="宋体" w:eastAsia="宋体" w:cs="宋体"/>
                <w:b w:val="0"/>
                <w:bCs w:val="0"/>
                <w:color w:val="auto"/>
                <w:sz w:val="21"/>
                <w:szCs w:val="21"/>
                <w:lang w:val="en-US" w:eastAsia="zh-CN"/>
              </w:rPr>
              <w:t>四川大竹经济开发区原名“大竹县工业园区”，根据</w:t>
            </w:r>
            <w:r>
              <w:rPr>
                <w:rFonts w:hint="eastAsia"/>
                <w:b w:val="0"/>
                <w:bCs w:val="0"/>
                <w:color w:val="auto"/>
                <w:lang w:val="en-US" w:eastAsia="zh-CN"/>
              </w:rPr>
              <w:t>《</w:t>
            </w:r>
            <w:r>
              <w:rPr>
                <w:rFonts w:hint="eastAsia"/>
                <w:b w:val="0"/>
                <w:bCs w:val="0"/>
                <w:color w:val="auto"/>
                <w:kern w:val="0"/>
                <w:sz w:val="21"/>
                <w:szCs w:val="21"/>
                <w:lang w:val="en-US" w:eastAsia="zh-CN"/>
              </w:rPr>
              <w:t>大竹县工业园区（经开区 ）总体规划</w:t>
            </w:r>
            <w:r>
              <w:rPr>
                <w:rFonts w:hint="eastAsia"/>
                <w:b w:val="0"/>
                <w:bCs w:val="0"/>
                <w:color w:val="auto"/>
                <w:lang w:val="en-US" w:eastAsia="zh-CN"/>
              </w:rPr>
              <w:t>》，园区规划四至范围为：西至竹凤达到，东至环城东路，南至凤山东路，北至行之路，规划面积共计16.92km</w:t>
            </w:r>
            <w:r>
              <w:rPr>
                <w:rFonts w:hint="eastAsia"/>
                <w:b w:val="0"/>
                <w:bCs w:val="0"/>
                <w:color w:val="auto"/>
                <w:vertAlign w:val="superscript"/>
                <w:lang w:val="en-US" w:eastAsia="zh-CN"/>
              </w:rPr>
              <w:t>2</w:t>
            </w:r>
            <w:r>
              <w:rPr>
                <w:rFonts w:hint="eastAsia"/>
                <w:b w:val="0"/>
                <w:bCs w:val="0"/>
                <w:color w:val="auto"/>
                <w:vertAlign w:val="baseline"/>
                <w:lang w:val="en-US" w:eastAsia="zh-CN"/>
              </w:rPr>
              <w:t>。</w:t>
            </w:r>
          </w:p>
          <w:p>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vertAlign w:val="baseline"/>
                <w:lang w:val="en-US" w:eastAsia="zh-CN"/>
              </w:rPr>
              <w:t>本项目位于</w:t>
            </w:r>
            <w:r>
              <w:rPr>
                <w:rFonts w:hint="default" w:ascii="Times New Roman" w:hAnsi="Times New Roman" w:eastAsia="宋体" w:cs="Times New Roman"/>
                <w:b w:val="0"/>
                <w:bCs w:val="0"/>
                <w:color w:val="auto"/>
                <w:sz w:val="21"/>
                <w:szCs w:val="21"/>
                <w:lang w:val="en-US" w:eastAsia="zh-CN"/>
              </w:rPr>
              <w:t>四川大竹经济开发区东区，其规划范围为：西至竹凤大道；东至环城东路；南至东湖大道；北至府新路，规划面积8.9平方公里</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bCs/>
                <w:color w:val="auto"/>
                <w:sz w:val="21"/>
                <w:szCs w:val="21"/>
                <w:lang w:val="en-US" w:eastAsia="zh-CN"/>
              </w:rPr>
              <w:t>四川大竹经济开发区东区</w:t>
            </w:r>
            <w:r>
              <w:rPr>
                <w:rFonts w:hint="eastAsia" w:ascii="Times New Roman" w:hAnsi="Times New Roman" w:eastAsia="宋体" w:cs="Times New Roman"/>
                <w:b/>
                <w:bCs/>
                <w:color w:val="auto"/>
                <w:sz w:val="21"/>
                <w:szCs w:val="21"/>
                <w:lang w:val="en-US" w:eastAsia="zh-CN"/>
              </w:rPr>
              <w:t>产业定位为</w:t>
            </w:r>
            <w:r>
              <w:rPr>
                <w:rFonts w:hint="eastAsia" w:ascii="Times New Roman" w:hAnsi="Times New Roman" w:eastAsia="宋体" w:cs="Times New Roman"/>
                <w:b w:val="0"/>
                <w:bCs w:val="0"/>
                <w:color w:val="auto"/>
                <w:sz w:val="21"/>
                <w:szCs w:val="21"/>
                <w:lang w:val="en-US" w:eastAsia="zh-CN"/>
              </w:rPr>
              <w:t>：以现代工业为主导，以商贸物流、文化产业等现代三产服务业为推手的川东一流水平的经济开发区。</w:t>
            </w:r>
            <w:r>
              <w:rPr>
                <w:rFonts w:hint="eastAsia" w:ascii="Times New Roman" w:hAnsi="Times New Roman" w:eastAsia="宋体" w:cs="Times New Roman"/>
                <w:b/>
                <w:bCs/>
                <w:color w:val="auto"/>
                <w:sz w:val="21"/>
                <w:szCs w:val="21"/>
                <w:lang w:val="en-US" w:eastAsia="zh-CN"/>
              </w:rPr>
              <w:t>园区的主体功能大致分为：</w:t>
            </w:r>
            <w:r>
              <w:rPr>
                <w:rFonts w:hint="eastAsia" w:ascii="Times New Roman" w:hAnsi="Times New Roman" w:eastAsia="宋体" w:cs="Times New Roman"/>
                <w:b w:val="0"/>
                <w:bCs w:val="0"/>
                <w:color w:val="auto"/>
                <w:sz w:val="21"/>
                <w:szCs w:val="21"/>
                <w:lang w:val="en-US" w:eastAsia="zh-CN"/>
              </w:rPr>
              <w:t>机电汽摩产业、轻纺鞋服产业、商贸物流、文化创意、旅游产业、中介咨询、生产生活服务。</w:t>
            </w:r>
          </w:p>
          <w:p>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color w:val="auto"/>
                <w:kern w:val="0"/>
                <w:sz w:val="21"/>
                <w:szCs w:val="21"/>
                <w:lang w:val="en-US" w:eastAsia="zh-CN"/>
              </w:rPr>
              <w:t>《大竹工业园区（东区）（8.9平方公里总体规划环境影响报告书）》，</w:t>
            </w:r>
            <w:r>
              <w:rPr>
                <w:rFonts w:hint="default" w:ascii="Times New Roman" w:hAnsi="Times New Roman" w:eastAsia="宋体" w:cs="Times New Roman"/>
                <w:b w:val="0"/>
                <w:bCs w:val="0"/>
                <w:color w:val="auto"/>
                <w:sz w:val="21"/>
                <w:szCs w:val="21"/>
                <w:lang w:val="en-US" w:eastAsia="zh-CN"/>
              </w:rPr>
              <w:t>四川大竹经济开发区东区</w:t>
            </w:r>
            <w:r>
              <w:rPr>
                <w:rFonts w:hint="eastAsia" w:ascii="Times New Roman" w:hAnsi="Times New Roman" w:eastAsia="宋体" w:cs="Times New Roman"/>
                <w:b w:val="0"/>
                <w:bCs w:val="0"/>
                <w:color w:val="auto"/>
                <w:sz w:val="21"/>
                <w:szCs w:val="21"/>
                <w:lang w:val="en-US" w:eastAsia="zh-CN"/>
              </w:rPr>
              <w:t>总体准入要求见下表：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rPr>
            </w:pPr>
            <w:r>
              <w:rPr>
                <w:rFonts w:hint="default" w:ascii="Times New Roman" w:hAnsi="Times New Roman" w:eastAsia="宋体" w:cs="Times New Roman"/>
                <w:b/>
                <w:bCs/>
                <w:color w:val="auto"/>
                <w:kern w:val="0"/>
                <w:sz w:val="21"/>
                <w:szCs w:val="21"/>
                <w:lang w:val="en-US" w:eastAsia="zh-CN" w:bidi="ar"/>
              </w:rPr>
              <w:t>表 1-1 大竹工业园区（东区 8.9 平方公里）总体规划环评环境准入要求</w:t>
            </w:r>
          </w:p>
          <w:tbl>
            <w:tblPr>
              <w:tblStyle w:val="29"/>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类型</w:t>
                  </w:r>
                </w:p>
              </w:tc>
              <w:tc>
                <w:tcPr>
                  <w:tcW w:w="812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5"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b/>
                      <w:bCs/>
                      <w:color w:val="auto"/>
                      <w:kern w:val="0"/>
                      <w:sz w:val="21"/>
                      <w:szCs w:val="21"/>
                      <w:lang w:val="en-US" w:eastAsia="zh-CN" w:bidi="ar"/>
                    </w:rPr>
                    <w:t>禁止及限制类产业</w:t>
                  </w:r>
                </w:p>
              </w:tc>
              <w:tc>
                <w:tcPr>
                  <w:tcW w:w="8125"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、不符合国家现行产业政策的相关产业</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、应禁止入园的项目首先是对水环境可能造成较大的风险的制造业如石油加工、造纸、印染（苎麻配套印染除外）、化学原料及化学制品制造业、医药原药制造业等。</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、禁止技术落后，项目清洁生产水平不能达到行业清洁生产标准二级标准要求或低于全国同类企业平均清洁生产水平的项目。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5"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b/>
                      <w:bCs/>
                      <w:color w:val="auto"/>
                      <w:kern w:val="0"/>
                      <w:sz w:val="21"/>
                      <w:szCs w:val="21"/>
                      <w:lang w:val="en-US" w:eastAsia="zh-CN" w:bidi="ar"/>
                    </w:rPr>
                    <w:t>鼓励类产业</w:t>
                  </w:r>
                </w:p>
              </w:tc>
              <w:tc>
                <w:tcPr>
                  <w:tcW w:w="8125"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b w:val="0"/>
                      <w:bCs w:val="0"/>
                      <w:color w:val="auto"/>
                      <w:kern w:val="0"/>
                      <w:sz w:val="21"/>
                      <w:szCs w:val="21"/>
                      <w:lang w:val="en-US" w:eastAsia="zh-CN" w:bidi="ar"/>
                    </w:rPr>
                    <w:t>大竹县工业园鼓励发展壮大机电汽摩、轻纺鞋服等主导产业，</w:t>
                  </w:r>
                  <w:r>
                    <w:rPr>
                      <w:rFonts w:hint="eastAsia" w:ascii="宋体" w:hAnsi="宋体" w:eastAsia="宋体" w:cs="宋体"/>
                      <w:color w:val="auto"/>
                      <w:kern w:val="0"/>
                      <w:sz w:val="21"/>
                      <w:szCs w:val="21"/>
                      <w:lang w:val="en-US" w:eastAsia="zh-CN" w:bidi="ar"/>
                    </w:rPr>
                    <w:t>积极发展商贸物流、旅游、文化产业等三产服务类产业，并围绕产业链进行上下游配套产业的招商，形成产业集聚。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5"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b/>
                      <w:bCs/>
                      <w:color w:val="auto"/>
                      <w:kern w:val="0"/>
                      <w:sz w:val="21"/>
                      <w:szCs w:val="21"/>
                      <w:lang w:val="en-US" w:eastAsia="zh-CN" w:bidi="ar"/>
                    </w:rPr>
                    <w:t>允许类产业</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8125" w:type="dxa"/>
                  <w:vAlign w:val="center"/>
                </w:tcPr>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color w:val="auto"/>
                      <w:kern w:val="0"/>
                      <w:sz w:val="21"/>
                      <w:szCs w:val="21"/>
                      <w:lang w:val="en-US" w:eastAsia="zh-CN" w:bidi="ar"/>
                    </w:rPr>
                    <w:t>不排斥与区域或各产业片区主业不相禁忌和不形成交叉影响的企业入驻。</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、不属于规划行业类型以及禁止类，且符合国家有关法律、法规和政策规定的，为园区允许类行业；</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、评价建议在东柳河达</w:t>
                  </w:r>
                  <w:r>
                    <w:rPr>
                      <w:rFonts w:hint="default" w:ascii="Times New Roman" w:hAnsi="Times New Roman" w:eastAsia="宋体" w:cs="Times New Roman"/>
                      <w:color w:val="auto"/>
                      <w:kern w:val="0"/>
                      <w:sz w:val="21"/>
                      <w:szCs w:val="21"/>
                      <w:lang w:val="en-US" w:eastAsia="zh-CN" w:bidi="ar"/>
                    </w:rPr>
                    <w:t>III</w:t>
                  </w:r>
                  <w:r>
                    <w:rPr>
                      <w:rFonts w:hint="eastAsia" w:ascii="宋体" w:hAnsi="宋体" w:eastAsia="宋体" w:cs="宋体"/>
                      <w:color w:val="auto"/>
                      <w:kern w:val="0"/>
                      <w:sz w:val="21"/>
                      <w:szCs w:val="21"/>
                      <w:lang w:val="en-US" w:eastAsia="zh-CN" w:bidi="ar"/>
                    </w:rPr>
                    <w:t>类水域以前原则上禁止新建含脱胶的苎麻加工和排水量较大的项目入园，近期引进该类企业时建议如下：</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）可引进以精干麻为原料的纯苎麻纺织项目；</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）含脱胶 的苎麻加工和其他排水量较大的项目必须是区域内（以东柳河流域为受纳水体）现有企业搬迁技改入园（非新建项目），原则上等量搬迁；（</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）技改项目应提高清洁生产水平，技改后必须是水污染物减排项目。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新建含脱胶的苎麻加工和排水量较大的项目在满足一下前置条件的情况下方可适当引入：</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color w:val="auto"/>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 xml:space="preserve">）通过东柳河环境综合整治，东柳河水环境达到 </w:t>
                  </w:r>
                  <w:r>
                    <w:rPr>
                      <w:rFonts w:hint="default" w:ascii="Times New Roman" w:hAnsi="Times New Roman" w:eastAsia="宋体" w:cs="Times New Roman"/>
                      <w:color w:val="auto"/>
                      <w:kern w:val="0"/>
                      <w:sz w:val="21"/>
                      <w:szCs w:val="21"/>
                      <w:lang w:val="en-US" w:eastAsia="zh-CN" w:bidi="ar"/>
                    </w:rPr>
                    <w:t xml:space="preserve">III </w:t>
                  </w:r>
                  <w:r>
                    <w:rPr>
                      <w:rFonts w:hint="eastAsia" w:ascii="宋体" w:hAnsi="宋体" w:eastAsia="宋体" w:cs="宋体"/>
                      <w:color w:val="auto"/>
                      <w:kern w:val="0"/>
                      <w:sz w:val="21"/>
                      <w:szCs w:val="21"/>
                      <w:lang w:val="en-US" w:eastAsia="zh-CN" w:bidi="ar"/>
                    </w:rPr>
                    <w:t>类水域要求；</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）东柳河必须有足够的环境容量支持新建项目的实施，新建项目废水达规定标准排放，企业所有废水不改变东柳河水体功能的水质级别。</w:t>
                  </w:r>
                </w:p>
              </w:tc>
            </w:tr>
          </w:tbl>
          <w:p>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本项目为自来水生产及供应项目，</w:t>
            </w:r>
            <w:r>
              <w:rPr>
                <w:rFonts w:hint="eastAsia" w:cs="Times New Roman"/>
                <w:b w:val="0"/>
                <w:bCs w:val="0"/>
                <w:color w:val="auto"/>
                <w:sz w:val="21"/>
                <w:szCs w:val="21"/>
                <w:highlight w:val="none"/>
                <w:lang w:val="en-US" w:eastAsia="zh-CN"/>
              </w:rPr>
              <w:t>属于园区主体功能中“生产生活服务”类项目，项目</w:t>
            </w:r>
            <w:r>
              <w:rPr>
                <w:rFonts w:hint="eastAsia" w:eastAsia="宋体"/>
                <w:bCs/>
                <w:color w:val="auto"/>
                <w:kern w:val="0"/>
                <w:sz w:val="21"/>
                <w:szCs w:val="21"/>
                <w:highlight w:val="none"/>
                <w:lang w:val="en-US" w:eastAsia="zh-CN"/>
              </w:rPr>
              <w:t>符合国家产业政策，不属于重污染及技术落后产业，</w:t>
            </w:r>
            <w:r>
              <w:rPr>
                <w:rFonts w:hint="eastAsia" w:ascii="Times New Roman" w:hAnsi="Times New Roman" w:eastAsia="宋体" w:cs="Times New Roman"/>
                <w:b w:val="0"/>
                <w:bCs w:val="0"/>
                <w:color w:val="auto"/>
                <w:sz w:val="21"/>
                <w:szCs w:val="21"/>
                <w:highlight w:val="none"/>
                <w:lang w:val="en-US" w:eastAsia="zh-CN"/>
              </w:rPr>
              <w:t>不属于园区禁止及限制类产业</w:t>
            </w:r>
            <w:r>
              <w:rPr>
                <w:rFonts w:hint="eastAsia" w:cs="Times New Roman"/>
                <w:b w:val="0"/>
                <w:bCs w:val="0"/>
                <w:color w:val="auto"/>
                <w:sz w:val="21"/>
                <w:szCs w:val="21"/>
                <w:highlight w:val="none"/>
                <w:lang w:val="en-US" w:eastAsia="zh-CN"/>
              </w:rPr>
              <w:t>。本项目永久占地范围内的调节水池、加压泵站、值班室均位于</w:t>
            </w:r>
            <w:r>
              <w:rPr>
                <w:rFonts w:hint="eastAsia" w:ascii="Times New Roman" w:hAnsi="Times New Roman" w:eastAsia="宋体" w:cs="Times New Roman"/>
                <w:b w:val="0"/>
                <w:bCs w:val="0"/>
                <w:color w:val="auto"/>
                <w:sz w:val="21"/>
                <w:szCs w:val="21"/>
                <w:highlight w:val="none"/>
                <w:lang w:val="en-US" w:eastAsia="zh-CN"/>
              </w:rPr>
              <w:t>东柳水厂空地范围，项目用地</w:t>
            </w:r>
            <w:r>
              <w:rPr>
                <w:rFonts w:hint="eastAsia" w:eastAsia="宋体"/>
                <w:bCs/>
                <w:color w:val="auto"/>
                <w:kern w:val="0"/>
                <w:sz w:val="21"/>
                <w:szCs w:val="21"/>
                <w:highlight w:val="none"/>
                <w:lang w:val="en-US" w:eastAsia="zh-CN"/>
              </w:rPr>
              <w:t>符合当地国土空间规划，与东柳水厂为同类项目不会形成交叉影响，项目营运期</w:t>
            </w:r>
            <w:r>
              <w:rPr>
                <w:rFonts w:hint="eastAsia"/>
                <w:bCs/>
                <w:color w:val="auto"/>
                <w:kern w:val="0"/>
                <w:sz w:val="21"/>
                <w:szCs w:val="21"/>
                <w:highlight w:val="none"/>
                <w:lang w:val="en-US" w:eastAsia="zh-CN"/>
              </w:rPr>
              <w:t>无废水、废气排放</w:t>
            </w:r>
            <w:r>
              <w:rPr>
                <w:rFonts w:hint="eastAsia" w:eastAsia="宋体"/>
                <w:bCs/>
                <w:color w:val="auto"/>
                <w:kern w:val="0"/>
                <w:sz w:val="21"/>
                <w:szCs w:val="21"/>
                <w:highlight w:val="none"/>
                <w:lang w:val="en-US" w:eastAsia="zh-CN"/>
              </w:rPr>
              <w:t>，不会对改变东柳河水体功能。因此本项目属于允许类项目。</w:t>
            </w:r>
          </w:p>
          <w:p>
            <w:pPr>
              <w:adjustRightInd w:val="0"/>
              <w:snapToGrid w:val="0"/>
              <w:spacing w:line="360" w:lineRule="auto"/>
              <w:ind w:firstLine="420" w:firstLineChars="200"/>
              <w:rPr>
                <w:b/>
                <w:bCs/>
                <w:color w:val="auto"/>
                <w:sz w:val="21"/>
                <w:szCs w:val="21"/>
              </w:rPr>
            </w:pPr>
            <w:r>
              <w:rPr>
                <w:rFonts w:hint="eastAsia" w:ascii="Times New Roman" w:hAnsi="Times New Roman" w:eastAsia="宋体" w:cs="Times New Roman"/>
                <w:b w:val="0"/>
                <w:bCs w:val="0"/>
                <w:color w:val="auto"/>
                <w:sz w:val="21"/>
                <w:szCs w:val="21"/>
                <w:highlight w:val="none"/>
                <w:lang w:val="en-US" w:eastAsia="zh-CN"/>
              </w:rPr>
              <w:t>综上所述，本项目符合</w:t>
            </w:r>
            <w:r>
              <w:rPr>
                <w:rFonts w:hint="eastAsia"/>
                <w:b w:val="0"/>
                <w:bCs w:val="0"/>
                <w:color w:val="auto"/>
                <w:highlight w:val="none"/>
                <w:lang w:val="en-US" w:eastAsia="zh-CN"/>
              </w:rPr>
              <w:t>《</w:t>
            </w:r>
            <w:r>
              <w:rPr>
                <w:rFonts w:hint="eastAsia"/>
                <w:b w:val="0"/>
                <w:bCs w:val="0"/>
                <w:color w:val="auto"/>
                <w:kern w:val="0"/>
                <w:sz w:val="21"/>
                <w:szCs w:val="21"/>
                <w:highlight w:val="none"/>
                <w:lang w:val="en-US" w:eastAsia="zh-CN"/>
              </w:rPr>
              <w:t>大竹县工业园区（经开区 ）总体规划</w:t>
            </w:r>
            <w:r>
              <w:rPr>
                <w:rFonts w:hint="eastAsia"/>
                <w:b w:val="0"/>
                <w:bCs w:val="0"/>
                <w:color w:val="auto"/>
                <w:highlight w:val="none"/>
                <w:lang w:val="en-US" w:eastAsia="zh-CN"/>
              </w:rPr>
              <w:t>》及规划环评相关要求。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507" w:hRule="atLeast"/>
          <w:jc w:val="center"/>
        </w:trPr>
        <w:tc>
          <w:tcPr>
            <w:tcW w:w="982" w:type="dxa"/>
            <w:tcMar>
              <w:top w:w="16" w:type="dxa"/>
              <w:left w:w="16" w:type="dxa"/>
              <w:right w:w="16" w:type="dxa"/>
            </w:tcMar>
            <w:vAlign w:val="center"/>
          </w:tcPr>
          <w:p>
            <w:pPr>
              <w:adjustRightInd w:val="0"/>
              <w:snapToGrid w:val="0"/>
              <w:jc w:val="center"/>
              <w:rPr>
                <w:color w:val="auto"/>
                <w:kern w:val="0"/>
                <w:sz w:val="21"/>
                <w:szCs w:val="21"/>
              </w:rPr>
            </w:pPr>
            <w:r>
              <w:rPr>
                <w:color w:val="auto"/>
                <w:kern w:val="0"/>
                <w:sz w:val="21"/>
                <w:szCs w:val="21"/>
              </w:rPr>
              <w:t>其他符合性分析</w:t>
            </w:r>
          </w:p>
        </w:tc>
        <w:tc>
          <w:tcPr>
            <w:tcW w:w="9054"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b/>
                <w:bCs/>
                <w:color w:val="auto"/>
                <w:sz w:val="21"/>
                <w:szCs w:val="21"/>
              </w:rPr>
              <w:t>1、产业政策相符性分析</w:t>
            </w:r>
          </w:p>
          <w:p>
            <w:pPr>
              <w:adjustRightInd w:val="0"/>
              <w:snapToGrid w:val="0"/>
              <w:spacing w:line="360" w:lineRule="auto"/>
              <w:ind w:firstLine="420" w:firstLineChars="200"/>
              <w:rPr>
                <w:rFonts w:hint="eastAsia" w:ascii="宋体" w:hAnsi="宋体" w:eastAsia="宋体" w:cs="宋体"/>
                <w:bCs/>
                <w:color w:val="auto"/>
                <w:kern w:val="0"/>
                <w:sz w:val="21"/>
                <w:szCs w:val="21"/>
              </w:rPr>
            </w:pPr>
            <w:r>
              <w:rPr>
                <w:bCs/>
                <w:color w:val="auto"/>
                <w:kern w:val="0"/>
                <w:sz w:val="21"/>
                <w:szCs w:val="21"/>
              </w:rPr>
              <w:t>本项目属于《国民经济行业分类与代码》（GB/4754-2017）（2019年修订</w:t>
            </w:r>
            <w:r>
              <w:rPr>
                <w:rFonts w:hint="eastAsia"/>
                <w:bCs/>
                <w:color w:val="auto"/>
                <w:kern w:val="0"/>
                <w:sz w:val="21"/>
                <w:szCs w:val="21"/>
                <w:lang w:val="en-US" w:eastAsia="zh-CN"/>
              </w:rPr>
              <w:t>版</w:t>
            </w:r>
            <w:r>
              <w:rPr>
                <w:bCs/>
                <w:color w:val="auto"/>
                <w:kern w:val="0"/>
                <w:sz w:val="21"/>
                <w:szCs w:val="21"/>
              </w:rPr>
              <w:t>）中D4610 自来水生产和供应。</w:t>
            </w:r>
            <w:r>
              <w:rPr>
                <w:rFonts w:hint="eastAsia" w:eastAsia="宋体"/>
                <w:bCs/>
                <w:color w:val="auto"/>
                <w:kern w:val="0"/>
                <w:sz w:val="21"/>
                <w:szCs w:val="21"/>
              </w:rPr>
              <w:t>属于</w:t>
            </w:r>
            <w:r>
              <w:rPr>
                <w:rFonts w:eastAsia="宋体"/>
                <w:bCs/>
                <w:color w:val="auto"/>
                <w:kern w:val="0"/>
                <w:sz w:val="21"/>
                <w:szCs w:val="21"/>
              </w:rPr>
              <w:t>《产业结构调整指导目录（20</w:t>
            </w:r>
            <w:r>
              <w:rPr>
                <w:rFonts w:hint="eastAsia" w:eastAsia="宋体"/>
                <w:bCs/>
                <w:color w:val="auto"/>
                <w:kern w:val="0"/>
                <w:sz w:val="21"/>
                <w:szCs w:val="21"/>
                <w:lang w:val="en-US" w:eastAsia="zh-CN"/>
              </w:rPr>
              <w:t>24</w:t>
            </w:r>
            <w:r>
              <w:rPr>
                <w:rFonts w:eastAsia="宋体"/>
                <w:bCs/>
                <w:color w:val="auto"/>
                <w:kern w:val="0"/>
                <w:sz w:val="21"/>
                <w:szCs w:val="21"/>
              </w:rPr>
              <w:t>年本）》</w:t>
            </w:r>
            <w:r>
              <w:rPr>
                <w:rFonts w:hint="eastAsia" w:eastAsia="宋体"/>
                <w:bCs/>
                <w:color w:val="auto"/>
                <w:kern w:val="0"/>
                <w:sz w:val="21"/>
                <w:szCs w:val="21"/>
                <w:lang w:eastAsia="zh-CN"/>
              </w:rPr>
              <w:t>中“鼓励类”第二</w:t>
            </w:r>
            <w:r>
              <w:rPr>
                <w:rFonts w:hint="eastAsia" w:ascii="宋体" w:hAnsi="宋体" w:eastAsia="宋体" w:cs="宋体"/>
                <w:bCs/>
                <w:color w:val="auto"/>
                <w:kern w:val="0"/>
                <w:sz w:val="21"/>
                <w:szCs w:val="21"/>
              </w:rPr>
              <w:t>十二</w:t>
            </w:r>
            <w:r>
              <w:rPr>
                <w:rFonts w:hint="eastAsia" w:eastAsia="宋体"/>
                <w:bCs/>
                <w:color w:val="auto"/>
                <w:kern w:val="0"/>
                <w:sz w:val="21"/>
                <w:szCs w:val="21"/>
                <w:lang w:eastAsia="zh-CN"/>
              </w:rPr>
              <w:t>类“</w:t>
            </w:r>
            <w:r>
              <w:rPr>
                <w:rFonts w:hint="eastAsia" w:ascii="宋体" w:hAnsi="宋体" w:eastAsia="宋体" w:cs="宋体"/>
                <w:bCs/>
                <w:color w:val="auto"/>
                <w:kern w:val="0"/>
                <w:sz w:val="21"/>
                <w:szCs w:val="21"/>
              </w:rPr>
              <w:t>城市基础设施</w:t>
            </w:r>
            <w:r>
              <w:rPr>
                <w:rFonts w:hint="eastAsia" w:eastAsia="宋体"/>
                <w:bCs/>
                <w:color w:val="auto"/>
                <w:kern w:val="0"/>
                <w:sz w:val="21"/>
                <w:szCs w:val="21"/>
                <w:lang w:eastAsia="zh-CN"/>
              </w:rPr>
              <w:t>”第</w:t>
            </w:r>
            <w:r>
              <w:rPr>
                <w:rFonts w:hint="eastAsia" w:eastAsia="宋体"/>
                <w:bCs/>
                <w:color w:val="auto"/>
                <w:kern w:val="0"/>
                <w:sz w:val="21"/>
                <w:szCs w:val="21"/>
                <w:lang w:val="en-US" w:eastAsia="zh-CN"/>
              </w:rPr>
              <w:t>2小类“</w:t>
            </w:r>
            <w:r>
              <w:rPr>
                <w:rFonts w:hint="eastAsia"/>
                <w:bCs/>
                <w:color w:val="auto"/>
                <w:kern w:val="0"/>
                <w:sz w:val="21"/>
                <w:szCs w:val="21"/>
              </w:rPr>
              <w:t>市政基础设施</w:t>
            </w:r>
            <w:r>
              <w:rPr>
                <w:rFonts w:hint="eastAsia"/>
                <w:bCs/>
                <w:color w:val="auto"/>
                <w:kern w:val="0"/>
                <w:sz w:val="21"/>
                <w:szCs w:val="21"/>
                <w:lang w:eastAsia="zh-CN"/>
              </w:rPr>
              <w:t>：</w:t>
            </w:r>
            <w:r>
              <w:rPr>
                <w:rFonts w:hint="eastAsia" w:ascii="宋体" w:hAnsi="宋体" w:eastAsia="宋体" w:cs="宋体"/>
                <w:bCs/>
                <w:color w:val="auto"/>
                <w:kern w:val="0"/>
                <w:sz w:val="21"/>
                <w:szCs w:val="21"/>
              </w:rPr>
              <w:t>城镇</w:t>
            </w:r>
            <w:r>
              <w:rPr>
                <w:rFonts w:hint="eastAsia" w:ascii="宋体" w:hAnsi="宋体" w:eastAsia="宋体" w:cs="宋体"/>
                <w:bCs/>
                <w:color w:val="auto"/>
                <w:kern w:val="0"/>
                <w:sz w:val="21"/>
                <w:szCs w:val="21"/>
                <w:lang w:val="en-US" w:eastAsia="zh-CN"/>
              </w:rPr>
              <w:t>供水工程</w:t>
            </w:r>
            <w:r>
              <w:rPr>
                <w:rFonts w:hint="eastAsia" w:ascii="宋体" w:hAnsi="宋体" w:eastAsia="宋体" w:cs="宋体"/>
                <w:bCs/>
                <w:color w:val="auto"/>
                <w:kern w:val="0"/>
                <w:sz w:val="21"/>
                <w:szCs w:val="21"/>
              </w:rPr>
              <w:t>”。</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同时，根据2023年1月13日大竹县人民政府办公室出具的《大竹县人民政府常务会议决定事项的通知》（竹府定字〔2023</w:t>
            </w:r>
            <w:r>
              <w:rPr>
                <w:rFonts w:hint="default" w:eastAsia="宋体"/>
                <w:bCs/>
                <w:color w:val="auto"/>
                <w:kern w:val="0"/>
                <w:sz w:val="21"/>
                <w:szCs w:val="21"/>
                <w:lang w:val="en-US" w:eastAsia="zh-CN"/>
              </w:rPr>
              <w:t>〕</w:t>
            </w:r>
            <w:r>
              <w:rPr>
                <w:rFonts w:hint="eastAsia" w:eastAsia="宋体"/>
                <w:bCs/>
                <w:color w:val="auto"/>
                <w:kern w:val="0"/>
                <w:sz w:val="21"/>
                <w:szCs w:val="21"/>
                <w:lang w:val="en-US" w:eastAsia="zh-CN"/>
              </w:rPr>
              <w:t>4</w:t>
            </w:r>
            <w:r>
              <w:rPr>
                <w:rFonts w:hint="eastAsia"/>
                <w:bCs/>
                <w:color w:val="auto"/>
                <w:kern w:val="0"/>
                <w:sz w:val="21"/>
                <w:szCs w:val="21"/>
                <w:lang w:val="en-US" w:eastAsia="zh-CN"/>
              </w:rPr>
              <w:t>0</w:t>
            </w:r>
            <w:r>
              <w:rPr>
                <w:rFonts w:hint="eastAsia" w:eastAsia="宋体"/>
                <w:bCs/>
                <w:color w:val="auto"/>
                <w:kern w:val="0"/>
                <w:sz w:val="21"/>
                <w:szCs w:val="21"/>
                <w:lang w:val="en-US" w:eastAsia="zh-CN"/>
              </w:rPr>
              <w:t>号），大竹县人民政府同意将本项目纳入抢险救灾工程。</w:t>
            </w:r>
          </w:p>
          <w:p>
            <w:pPr>
              <w:adjustRightInd w:val="0"/>
              <w:snapToGrid w:val="0"/>
              <w:spacing w:line="360" w:lineRule="auto"/>
              <w:ind w:firstLine="420" w:firstLineChars="200"/>
              <w:rPr>
                <w:bCs/>
                <w:color w:val="auto"/>
                <w:kern w:val="0"/>
                <w:sz w:val="21"/>
                <w:szCs w:val="21"/>
              </w:rPr>
            </w:pPr>
            <w:r>
              <w:rPr>
                <w:bCs/>
                <w:color w:val="auto"/>
                <w:kern w:val="0"/>
                <w:sz w:val="21"/>
                <w:szCs w:val="21"/>
              </w:rPr>
              <w:t>综上，本项目符合国家现行的产业政策。</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eastAsia="宋体"/>
                <w:b/>
                <w:bCs/>
                <w:color w:val="auto"/>
                <w:sz w:val="21"/>
                <w:szCs w:val="21"/>
              </w:rPr>
            </w:pPr>
            <w:r>
              <w:rPr>
                <w:rFonts w:hint="eastAsia" w:eastAsia="宋体"/>
                <w:b/>
                <w:bCs/>
                <w:color w:val="auto"/>
                <w:sz w:val="21"/>
                <w:szCs w:val="21"/>
                <w:lang w:val="en-US" w:eastAsia="zh-CN"/>
              </w:rPr>
              <w:t>2、</w:t>
            </w:r>
            <w:r>
              <w:rPr>
                <w:rFonts w:eastAsia="宋体"/>
                <w:b/>
                <w:bCs/>
                <w:color w:val="auto"/>
                <w:sz w:val="21"/>
                <w:szCs w:val="21"/>
              </w:rPr>
              <w:t>与国土空间规划</w:t>
            </w:r>
            <w:r>
              <w:rPr>
                <w:rFonts w:hint="eastAsia"/>
                <w:b/>
                <w:bCs/>
                <w:color w:val="auto"/>
                <w:sz w:val="21"/>
                <w:szCs w:val="21"/>
                <w:lang w:val="en-US" w:eastAsia="zh-CN"/>
              </w:rPr>
              <w:t>及</w:t>
            </w:r>
            <w:r>
              <w:rPr>
                <w:rFonts w:hint="eastAsia"/>
                <w:b/>
                <w:bCs/>
                <w:color w:val="auto"/>
                <w:sz w:val="21"/>
                <w:szCs w:val="21"/>
                <w:lang w:eastAsia="zh-CN"/>
              </w:rPr>
              <w:t>“</w:t>
            </w:r>
            <w:r>
              <w:rPr>
                <w:rFonts w:hint="eastAsia"/>
                <w:b/>
                <w:bCs/>
                <w:color w:val="auto"/>
                <w:sz w:val="21"/>
                <w:szCs w:val="21"/>
                <w:lang w:val="en-US" w:eastAsia="zh-CN"/>
              </w:rPr>
              <w:t>三区三线</w:t>
            </w:r>
            <w:r>
              <w:rPr>
                <w:rFonts w:hint="eastAsia"/>
                <w:b/>
                <w:bCs/>
                <w:color w:val="auto"/>
                <w:sz w:val="21"/>
                <w:szCs w:val="21"/>
                <w:lang w:eastAsia="zh-CN"/>
              </w:rPr>
              <w:t>”</w:t>
            </w:r>
            <w:r>
              <w:rPr>
                <w:rFonts w:eastAsia="宋体"/>
                <w:b/>
                <w:bCs/>
                <w:color w:val="auto"/>
                <w:sz w:val="21"/>
                <w:szCs w:val="21"/>
              </w:rPr>
              <w:t>符合性分析</w:t>
            </w:r>
          </w:p>
          <w:p>
            <w:pPr>
              <w:adjustRightInd w:val="0"/>
              <w:snapToGrid w:val="0"/>
              <w:spacing w:line="360" w:lineRule="auto"/>
              <w:ind w:firstLine="420" w:firstLineChars="200"/>
              <w:rPr>
                <w:rFonts w:hint="default" w:eastAsia="宋体"/>
                <w:bCs/>
                <w:color w:val="auto"/>
                <w:kern w:val="0"/>
                <w:sz w:val="21"/>
                <w:szCs w:val="21"/>
                <w:highlight w:val="none"/>
                <w:lang w:val="en-US" w:eastAsia="zh-CN"/>
              </w:rPr>
            </w:pPr>
            <w:r>
              <w:rPr>
                <w:rFonts w:hint="eastAsia" w:eastAsia="宋体"/>
                <w:bCs/>
                <w:color w:val="auto"/>
                <w:kern w:val="0"/>
                <w:sz w:val="21"/>
                <w:szCs w:val="21"/>
                <w:highlight w:val="none"/>
                <w:lang w:val="en-US" w:eastAsia="zh-CN"/>
              </w:rPr>
              <w:t>本项目</w:t>
            </w:r>
            <w:r>
              <w:rPr>
                <w:rFonts w:hint="eastAsia"/>
                <w:bCs/>
                <w:color w:val="auto"/>
                <w:kern w:val="0"/>
                <w:sz w:val="21"/>
                <w:szCs w:val="21"/>
                <w:highlight w:val="none"/>
                <w:lang w:val="en-US" w:eastAsia="zh-CN"/>
              </w:rPr>
              <w:t>永久用地</w:t>
            </w:r>
            <w:r>
              <w:rPr>
                <w:rFonts w:hint="eastAsia" w:cs="Times New Roman"/>
                <w:b w:val="0"/>
                <w:bCs w:val="0"/>
                <w:color w:val="auto"/>
                <w:sz w:val="21"/>
                <w:szCs w:val="21"/>
                <w:highlight w:val="none"/>
                <w:lang w:val="en-US" w:eastAsia="zh-CN"/>
              </w:rPr>
              <w:t>包括调节水池、加压泵站、值班室用地，</w:t>
            </w:r>
            <w:r>
              <w:rPr>
                <w:rFonts w:hint="eastAsia"/>
                <w:bCs/>
                <w:color w:val="auto"/>
                <w:kern w:val="0"/>
                <w:sz w:val="21"/>
                <w:szCs w:val="21"/>
                <w:highlight w:val="none"/>
                <w:lang w:val="en-US" w:eastAsia="zh-CN"/>
              </w:rPr>
              <w:t>永久用地</w:t>
            </w:r>
            <w:r>
              <w:rPr>
                <w:rFonts w:hint="eastAsia" w:eastAsia="宋体"/>
                <w:bCs/>
                <w:color w:val="auto"/>
                <w:kern w:val="0"/>
                <w:sz w:val="21"/>
                <w:szCs w:val="21"/>
                <w:highlight w:val="none"/>
                <w:lang w:val="en-US" w:eastAsia="zh-CN"/>
              </w:rPr>
              <w:t>面积</w:t>
            </w:r>
            <w:r>
              <w:rPr>
                <w:rFonts w:hint="eastAsia"/>
                <w:color w:val="auto"/>
                <w:sz w:val="21"/>
                <w:szCs w:val="21"/>
                <w:highlight w:val="none"/>
                <w:lang w:val="en-US" w:eastAsia="zh-CN"/>
              </w:rPr>
              <w:t>844.36</w:t>
            </w:r>
            <w:r>
              <w:rPr>
                <w:rFonts w:hint="eastAsia" w:eastAsia="宋体"/>
                <w:bCs/>
                <w:color w:val="auto"/>
                <w:kern w:val="0"/>
                <w:sz w:val="21"/>
                <w:szCs w:val="21"/>
                <w:highlight w:val="none"/>
                <w:lang w:val="en-US" w:eastAsia="zh-CN"/>
              </w:rPr>
              <w:t>m</w:t>
            </w:r>
            <w:r>
              <w:rPr>
                <w:rFonts w:hint="eastAsia" w:eastAsia="宋体"/>
                <w:bCs/>
                <w:color w:val="auto"/>
                <w:kern w:val="0"/>
                <w:sz w:val="21"/>
                <w:szCs w:val="21"/>
                <w:highlight w:val="none"/>
                <w:vertAlign w:val="superscript"/>
                <w:lang w:val="en-US" w:eastAsia="zh-CN"/>
              </w:rPr>
              <w:t>2</w:t>
            </w:r>
            <w:r>
              <w:rPr>
                <w:rFonts w:hint="eastAsia"/>
                <w:bCs/>
                <w:color w:val="auto"/>
                <w:kern w:val="0"/>
                <w:sz w:val="21"/>
                <w:szCs w:val="21"/>
                <w:highlight w:val="none"/>
                <w:lang w:val="en-US" w:eastAsia="zh-CN"/>
              </w:rPr>
              <w:t>，</w:t>
            </w:r>
            <w:r>
              <w:rPr>
                <w:rFonts w:hint="eastAsia" w:eastAsia="宋体"/>
                <w:bCs/>
                <w:color w:val="auto"/>
                <w:kern w:val="0"/>
                <w:sz w:val="21"/>
                <w:szCs w:val="21"/>
                <w:highlight w:val="none"/>
                <w:lang w:val="en-US" w:eastAsia="zh-CN"/>
              </w:rPr>
              <w:t>选址于东柳水厂用地红线范围内空地</w:t>
            </w:r>
            <w:r>
              <w:rPr>
                <w:rFonts w:hint="eastAsia"/>
                <w:bCs/>
                <w:color w:val="auto"/>
                <w:kern w:val="0"/>
                <w:sz w:val="21"/>
                <w:szCs w:val="21"/>
                <w:highlight w:val="none"/>
                <w:lang w:val="en-US" w:eastAsia="zh-CN"/>
              </w:rPr>
              <w:t>；本项目永久占地范围</w:t>
            </w:r>
            <w:r>
              <w:rPr>
                <w:rFonts w:hint="eastAsia" w:eastAsia="宋体"/>
                <w:bCs/>
                <w:color w:val="auto"/>
                <w:kern w:val="0"/>
                <w:sz w:val="21"/>
                <w:szCs w:val="21"/>
                <w:highlight w:val="none"/>
                <w:lang w:val="en-US" w:eastAsia="zh-CN"/>
              </w:rPr>
              <w:t>东柳水厂位于大竹县工业园区</w:t>
            </w:r>
            <w:r>
              <w:rPr>
                <w:rFonts w:hint="default" w:eastAsia="宋体"/>
                <w:bCs/>
                <w:color w:val="auto"/>
                <w:kern w:val="0"/>
                <w:sz w:val="21"/>
                <w:szCs w:val="21"/>
                <w:highlight w:val="none"/>
                <w:lang w:val="en-US" w:eastAsia="zh-CN"/>
              </w:rPr>
              <w:t>DZG329</w:t>
            </w:r>
            <w:r>
              <w:rPr>
                <w:rFonts w:hint="eastAsia" w:eastAsia="宋体"/>
                <w:bCs/>
                <w:color w:val="auto"/>
                <w:kern w:val="0"/>
                <w:sz w:val="21"/>
                <w:szCs w:val="21"/>
                <w:highlight w:val="none"/>
                <w:lang w:val="en-US" w:eastAsia="zh-CN"/>
              </w:rPr>
              <w:t>地块，根据该地块国有建设用地使用权出让合同，东柳水厂占地面积为</w:t>
            </w:r>
            <w:r>
              <w:rPr>
                <w:rFonts w:hint="default" w:eastAsia="宋体"/>
                <w:bCs/>
                <w:color w:val="auto"/>
                <w:kern w:val="0"/>
                <w:sz w:val="21"/>
                <w:szCs w:val="21"/>
                <w:highlight w:val="none"/>
                <w:lang w:val="en-US" w:eastAsia="zh-CN"/>
              </w:rPr>
              <w:t>8.9669hm</w:t>
            </w:r>
            <w:r>
              <w:rPr>
                <w:rFonts w:hint="default" w:eastAsia="宋体"/>
                <w:bCs/>
                <w:color w:val="auto"/>
                <w:kern w:val="0"/>
                <w:sz w:val="21"/>
                <w:szCs w:val="21"/>
                <w:highlight w:val="none"/>
                <w:vertAlign w:val="superscript"/>
                <w:lang w:val="en-US" w:eastAsia="zh-CN"/>
              </w:rPr>
              <w:t>2</w:t>
            </w:r>
            <w:r>
              <w:rPr>
                <w:rFonts w:hint="eastAsia" w:eastAsia="宋体"/>
                <w:bCs/>
                <w:color w:val="auto"/>
                <w:kern w:val="0"/>
                <w:sz w:val="21"/>
                <w:szCs w:val="21"/>
                <w:highlight w:val="none"/>
                <w:lang w:val="en-US" w:eastAsia="zh-CN"/>
              </w:rPr>
              <w:t>，根据《大竹县人民政府关于</w:t>
            </w:r>
            <w:r>
              <w:rPr>
                <w:rFonts w:hint="default" w:eastAsia="宋体"/>
                <w:bCs/>
                <w:color w:val="auto"/>
                <w:kern w:val="0"/>
                <w:sz w:val="21"/>
                <w:szCs w:val="21"/>
                <w:highlight w:val="none"/>
                <w:lang w:val="en-US" w:eastAsia="zh-CN"/>
              </w:rPr>
              <w:t>DZG329</w:t>
            </w:r>
            <w:r>
              <w:rPr>
                <w:rFonts w:hint="eastAsia" w:eastAsia="宋体"/>
                <w:bCs/>
                <w:color w:val="auto"/>
                <w:kern w:val="0"/>
                <w:sz w:val="21"/>
                <w:szCs w:val="21"/>
                <w:highlight w:val="none"/>
                <w:lang w:val="en-US" w:eastAsia="zh-CN"/>
              </w:rPr>
              <w:t>号地块规划调整方案的批复竹府函〔</w:t>
            </w:r>
            <w:r>
              <w:rPr>
                <w:rFonts w:hint="default" w:eastAsia="宋体"/>
                <w:bCs/>
                <w:color w:val="auto"/>
                <w:kern w:val="0"/>
                <w:sz w:val="21"/>
                <w:szCs w:val="21"/>
                <w:highlight w:val="none"/>
                <w:lang w:val="en-US" w:eastAsia="zh-CN"/>
              </w:rPr>
              <w:t>2021</w:t>
            </w:r>
            <w:r>
              <w:rPr>
                <w:rFonts w:hint="eastAsia" w:eastAsia="宋体"/>
                <w:bCs/>
                <w:color w:val="auto"/>
                <w:kern w:val="0"/>
                <w:sz w:val="21"/>
                <w:szCs w:val="21"/>
                <w:highlight w:val="none"/>
                <w:lang w:val="en-US" w:eastAsia="zh-CN"/>
              </w:rPr>
              <w:t>〕</w:t>
            </w:r>
            <w:r>
              <w:rPr>
                <w:rFonts w:hint="default" w:eastAsia="宋体"/>
                <w:bCs/>
                <w:color w:val="auto"/>
                <w:kern w:val="0"/>
                <w:sz w:val="21"/>
                <w:szCs w:val="21"/>
                <w:highlight w:val="none"/>
                <w:lang w:val="en-US" w:eastAsia="zh-CN"/>
              </w:rPr>
              <w:t>26</w:t>
            </w:r>
            <w:r>
              <w:rPr>
                <w:rFonts w:hint="eastAsia" w:eastAsia="宋体"/>
                <w:bCs/>
                <w:color w:val="auto"/>
                <w:kern w:val="0"/>
                <w:sz w:val="21"/>
                <w:szCs w:val="21"/>
                <w:highlight w:val="none"/>
                <w:lang w:val="en-US" w:eastAsia="zh-CN"/>
              </w:rPr>
              <w:t>号》内容，其地块为供应设施用地，也为大竹县工业园区配套供水。本项目属于</w:t>
            </w:r>
            <w:r>
              <w:rPr>
                <w:bCs/>
                <w:color w:val="auto"/>
                <w:kern w:val="0"/>
                <w:sz w:val="21"/>
                <w:szCs w:val="21"/>
                <w:highlight w:val="none"/>
              </w:rPr>
              <w:t>自来水生产和供应</w:t>
            </w:r>
            <w:r>
              <w:rPr>
                <w:rFonts w:hint="eastAsia"/>
                <w:bCs/>
                <w:color w:val="auto"/>
                <w:kern w:val="0"/>
                <w:sz w:val="21"/>
                <w:szCs w:val="21"/>
                <w:highlight w:val="none"/>
                <w:lang w:val="en-US" w:eastAsia="zh-CN"/>
              </w:rPr>
              <w:t>项目，符合大竹经开区国土空间规划。</w:t>
            </w:r>
          </w:p>
          <w:p>
            <w:pPr>
              <w:adjustRightInd w:val="0"/>
              <w:snapToGrid w:val="0"/>
              <w:spacing w:line="360" w:lineRule="auto"/>
              <w:ind w:firstLine="420" w:firstLineChars="200"/>
              <w:rPr>
                <w:rFonts w:hint="eastAsia"/>
                <w:bCs/>
                <w:color w:val="auto"/>
                <w:kern w:val="0"/>
                <w:sz w:val="21"/>
                <w:szCs w:val="21"/>
                <w:highlight w:val="none"/>
                <w:lang w:val="en-US" w:eastAsia="zh-CN"/>
              </w:rPr>
            </w:pPr>
            <w:r>
              <w:rPr>
                <w:rFonts w:hint="eastAsia"/>
                <w:bCs/>
                <w:color w:val="auto"/>
                <w:kern w:val="0"/>
                <w:sz w:val="21"/>
                <w:szCs w:val="21"/>
                <w:highlight w:val="none"/>
                <w:lang w:val="en-US" w:eastAsia="zh-CN"/>
              </w:rPr>
              <w:t>本项目管网占地为临时用地，临时用地面积约1644m</w:t>
            </w:r>
            <w:r>
              <w:rPr>
                <w:rFonts w:hint="eastAsia"/>
                <w:bCs/>
                <w:color w:val="auto"/>
                <w:kern w:val="0"/>
                <w:sz w:val="21"/>
                <w:szCs w:val="21"/>
                <w:highlight w:val="none"/>
                <w:vertAlign w:val="superscript"/>
                <w:lang w:val="en-US" w:eastAsia="zh-CN"/>
              </w:rPr>
              <w:t>2</w:t>
            </w:r>
            <w:r>
              <w:rPr>
                <w:rFonts w:hint="eastAsia"/>
                <w:bCs/>
                <w:color w:val="auto"/>
                <w:kern w:val="0"/>
                <w:sz w:val="21"/>
                <w:szCs w:val="21"/>
                <w:highlight w:val="none"/>
                <w:lang w:val="en-US" w:eastAsia="zh-CN"/>
              </w:rPr>
              <w:t>，临时用地类型包括工业用地、道路用地、绿化用地等，项目已建设完成，临时用地范围已完成迹地恢复，</w:t>
            </w:r>
            <w:r>
              <w:rPr>
                <w:rFonts w:hint="eastAsia"/>
                <w:b/>
                <w:bCs w:val="0"/>
                <w:color w:val="auto"/>
                <w:kern w:val="0"/>
                <w:sz w:val="21"/>
                <w:szCs w:val="21"/>
                <w:highlight w:val="none"/>
                <w:lang w:val="en-US" w:eastAsia="zh-CN"/>
              </w:rPr>
              <w:t>根据《中华人民共和国土地管理法实施条例》（国务院令第743号）：</w:t>
            </w:r>
            <w:r>
              <w:rPr>
                <w:rFonts w:hint="eastAsia"/>
                <w:bCs/>
                <w:color w:val="auto"/>
                <w:kern w:val="0"/>
                <w:sz w:val="21"/>
                <w:szCs w:val="21"/>
                <w:highlight w:val="none"/>
                <w:lang w:val="en-US" w:eastAsia="zh-CN"/>
              </w:rPr>
              <w:t>“</w:t>
            </w:r>
            <w:r>
              <w:rPr>
                <w:rFonts w:hint="eastAsia"/>
                <w:b/>
                <w:bCs w:val="0"/>
                <w:color w:val="auto"/>
                <w:kern w:val="0"/>
                <w:sz w:val="21"/>
                <w:szCs w:val="21"/>
                <w:highlight w:val="none"/>
                <w:lang w:val="en-US" w:eastAsia="zh-CN"/>
              </w:rPr>
              <w:t>抢险救灾、疫情防控等急需使用土地的，可以先行使用土地。其中，属于临时用地的，用后应当恢复原状并交还原土地使用者使用，不再办理用地审批手续</w:t>
            </w:r>
            <w:r>
              <w:rPr>
                <w:rFonts w:hint="eastAsia"/>
                <w:bCs/>
                <w:color w:val="auto"/>
                <w:kern w:val="0"/>
                <w:sz w:val="21"/>
                <w:szCs w:val="21"/>
                <w:highlight w:val="none"/>
                <w:lang w:val="en-US" w:eastAsia="zh-CN"/>
              </w:rPr>
              <w:t>”，本项目为抢险救灾工程，符合抢险救灾工程临时用地相关要求。</w:t>
            </w:r>
          </w:p>
          <w:p>
            <w:pPr>
              <w:adjustRightInd w:val="0"/>
              <w:snapToGrid w:val="0"/>
              <w:spacing w:line="360" w:lineRule="auto"/>
              <w:ind w:firstLine="420" w:firstLineChars="200"/>
              <w:rPr>
                <w:rFonts w:hint="eastAsia"/>
                <w:bCs/>
                <w:color w:val="auto"/>
                <w:kern w:val="0"/>
                <w:sz w:val="21"/>
                <w:szCs w:val="21"/>
                <w:highlight w:val="none"/>
                <w:lang w:val="en-US" w:eastAsia="zh-CN"/>
              </w:rPr>
            </w:pPr>
            <w:r>
              <w:rPr>
                <w:rFonts w:hint="eastAsia"/>
                <w:bCs/>
                <w:color w:val="auto"/>
                <w:kern w:val="0"/>
                <w:sz w:val="21"/>
                <w:szCs w:val="21"/>
                <w:highlight w:val="none"/>
                <w:lang w:val="en-US" w:eastAsia="zh-CN"/>
              </w:rPr>
              <w:t>根据大竹县最新“三区三线”划定成果，本项目永久占地、临时用地均不涉及基本农田，不涉及占用生态红线，项目位于城镇开发边界内，符合大竹县“三区三线”要求。</w:t>
            </w:r>
          </w:p>
          <w:p>
            <w:pPr>
              <w:adjustRightInd w:val="0"/>
              <w:snapToGrid w:val="0"/>
              <w:spacing w:line="360" w:lineRule="auto"/>
              <w:ind w:firstLine="420" w:firstLineChars="200"/>
              <w:rPr>
                <w:rFonts w:hint="eastAsia" w:eastAsia="宋体"/>
                <w:bCs/>
                <w:color w:val="auto"/>
                <w:kern w:val="0"/>
                <w:sz w:val="21"/>
                <w:szCs w:val="21"/>
                <w:highlight w:val="none"/>
                <w:lang w:val="en-US" w:eastAsia="zh-CN"/>
              </w:rPr>
            </w:pPr>
            <w:r>
              <w:rPr>
                <w:rFonts w:hint="eastAsia"/>
                <w:bCs/>
                <w:color w:val="auto"/>
                <w:kern w:val="0"/>
                <w:sz w:val="21"/>
                <w:szCs w:val="21"/>
                <w:highlight w:val="none"/>
                <w:lang w:val="en-US" w:eastAsia="zh-CN"/>
              </w:rPr>
              <w:t>综上所述，本项目占地符合大竹县国土空间规划要求；符合大竹县“三区三线”管控要求</w:t>
            </w:r>
            <w:r>
              <w:rPr>
                <w:rFonts w:hint="eastAsia" w:eastAsia="宋体"/>
                <w:bCs/>
                <w:color w:val="auto"/>
                <w:kern w:val="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rFonts w:hint="eastAsia"/>
                <w:b/>
                <w:bCs/>
                <w:color w:val="auto"/>
                <w:sz w:val="21"/>
                <w:szCs w:val="21"/>
                <w:lang w:val="en-US" w:eastAsia="zh-CN"/>
              </w:rPr>
              <w:t>3</w:t>
            </w:r>
            <w:r>
              <w:rPr>
                <w:b/>
                <w:bCs/>
                <w:color w:val="auto"/>
                <w:sz w:val="21"/>
                <w:szCs w:val="21"/>
              </w:rPr>
              <w:t>、</w:t>
            </w:r>
            <w:r>
              <w:rPr>
                <w:rFonts w:hint="eastAsia" w:ascii="宋体" w:hAnsi="宋体" w:eastAsia="宋体" w:cs="宋体"/>
                <w:b/>
                <w:bCs/>
                <w:color w:val="auto"/>
                <w:sz w:val="21"/>
                <w:szCs w:val="21"/>
              </w:rPr>
              <w:t>与“三线一单”符合</w:t>
            </w:r>
            <w:r>
              <w:rPr>
                <w:b/>
                <w:bCs/>
                <w:color w:val="auto"/>
                <w:sz w:val="21"/>
                <w:szCs w:val="21"/>
              </w:rPr>
              <w:t>性分析</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2021年12月27日，四川省生态环境厅办公室发布了“关于印发《产业园区规划环评“三线一单”符合性分析技术要点（试行）》《项目环评“三线一单”符合性分析技术要点（试行）》的通知”（川环办函〔2021〕469号），根据该文件，本项目位于工业园区内，且园区规划环评未开展园区与“三线一单”的符合性分析，本项目需要从空间符合性以及管控要求两个方面分析其与“三线一单”的协调性。</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一</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与</w:t>
            </w:r>
            <w:r>
              <w:rPr>
                <w:rFonts w:hint="eastAsia" w:ascii="宋体" w:hAnsi="宋体" w:eastAsia="宋体" w:cs="宋体"/>
                <w:b/>
                <w:bCs/>
                <w:color w:val="auto"/>
                <w:sz w:val="21"/>
                <w:szCs w:val="21"/>
              </w:rPr>
              <w:t>《关于落实生态保护红线、环境质量底线、资源利用上线 制定生态环境准入清单实施生态环境分区管控的通知》（川府</w:t>
            </w:r>
            <w:r>
              <w:rPr>
                <w:rFonts w:hint="default" w:ascii="Times New Roman" w:hAnsi="Times New Roman" w:eastAsia="宋体" w:cs="Times New Roman"/>
                <w:b/>
                <w:bCs/>
                <w:color w:val="auto"/>
                <w:sz w:val="21"/>
                <w:szCs w:val="21"/>
              </w:rPr>
              <w:t>发〔2020〕9号</w:t>
            </w:r>
            <w:r>
              <w:rPr>
                <w:rFonts w:hint="eastAsia" w:ascii="宋体" w:hAnsi="宋体" w:eastAsia="宋体" w:cs="宋体"/>
                <w:b/>
                <w:bCs/>
                <w:color w:val="auto"/>
                <w:sz w:val="21"/>
                <w:szCs w:val="21"/>
              </w:rPr>
              <w:t>）符合性分析</w:t>
            </w:r>
          </w:p>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根据四川省人民政府《关于落实生态保护红线、环境质量底线、资源利用上线制定生态环境准入清单实施生态环境分区管控的通知》（川府发〔2020〕9号）。本项目所在区域属于川东北经济区，项目涉及重点管控单元，不涉及一般管控单元、优先保护单元。本项目与四川省生态环境分区管控情况相符性分析见表1-1。</w:t>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lang w:bidi="ar"/>
              </w:rPr>
            </w:pPr>
            <w:r>
              <w:rPr>
                <w:rFonts w:hint="default" w:ascii="Times New Roman" w:hAnsi="Times New Roman" w:eastAsia="宋体" w:cs="Times New Roman"/>
                <w:b/>
                <w:bCs/>
                <w:color w:val="auto"/>
                <w:spacing w:val="0"/>
                <w:kern w:val="21"/>
                <w:position w:val="0"/>
                <w:sz w:val="21"/>
                <w:szCs w:val="21"/>
                <w:lang w:bidi="ar"/>
              </w:rPr>
              <w:t>表1-</w:t>
            </w:r>
            <w:r>
              <w:rPr>
                <w:rFonts w:hint="eastAsia" w:cs="Times New Roman"/>
                <w:b/>
                <w:bCs/>
                <w:color w:val="auto"/>
                <w:spacing w:val="0"/>
                <w:kern w:val="21"/>
                <w:position w:val="0"/>
                <w:sz w:val="21"/>
                <w:szCs w:val="21"/>
                <w:lang w:val="en-US" w:eastAsia="zh-CN" w:bidi="ar"/>
              </w:rPr>
              <w:t xml:space="preserve">2  </w:t>
            </w:r>
            <w:r>
              <w:rPr>
                <w:rFonts w:hint="default" w:ascii="Times New Roman" w:hAnsi="Times New Roman" w:eastAsia="宋体" w:cs="Times New Roman"/>
                <w:b/>
                <w:bCs/>
                <w:color w:val="auto"/>
                <w:spacing w:val="0"/>
                <w:kern w:val="21"/>
                <w:position w:val="0"/>
                <w:sz w:val="21"/>
                <w:szCs w:val="21"/>
                <w:lang w:bidi="ar"/>
              </w:rPr>
              <w:t>项目与四川省生态环境分区管控情况相符性分析</w:t>
            </w:r>
          </w:p>
          <w:tbl>
            <w:tblPr>
              <w:tblStyle w:val="28"/>
              <w:tblW w:w="88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07"/>
              <w:gridCol w:w="3051"/>
              <w:gridCol w:w="3934"/>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1207" w:type="dxa"/>
                  <w:tcBorders>
                    <w:top w:val="single" w:color="auto" w:sz="4" w:space="0"/>
                    <w:left w:val="single" w:color="auto" w:sz="0" w:space="0"/>
                  </w:tcBorders>
                  <w:shd w:val="clear" w:color="auto" w:fill="auto"/>
                  <w:noWrap w:val="0"/>
                  <w:vAlign w:val="center"/>
                </w:tcPr>
                <w:p>
                  <w:pPr>
                    <w:jc w:val="center"/>
                    <w:rPr>
                      <w:b/>
                      <w:bCs/>
                      <w:color w:val="auto"/>
                      <w:sz w:val="21"/>
                      <w:szCs w:val="21"/>
                    </w:rPr>
                  </w:pPr>
                  <w:r>
                    <w:rPr>
                      <w:b/>
                      <w:bCs/>
                      <w:color w:val="auto"/>
                      <w:sz w:val="21"/>
                      <w:szCs w:val="21"/>
                    </w:rPr>
                    <w:t>环境管控单元类型</w:t>
                  </w:r>
                </w:p>
              </w:tc>
              <w:tc>
                <w:tcPr>
                  <w:tcW w:w="3051" w:type="dxa"/>
                  <w:tcBorders>
                    <w:top w:val="single" w:color="auto" w:sz="4" w:space="0"/>
                  </w:tcBorders>
                  <w:shd w:val="clear" w:color="auto" w:fill="auto"/>
                  <w:noWrap w:val="0"/>
                  <w:vAlign w:val="center"/>
                </w:tcPr>
                <w:p>
                  <w:pPr>
                    <w:jc w:val="center"/>
                    <w:rPr>
                      <w:b/>
                      <w:bCs/>
                      <w:color w:val="auto"/>
                      <w:sz w:val="21"/>
                      <w:szCs w:val="21"/>
                    </w:rPr>
                  </w:pPr>
                  <w:r>
                    <w:rPr>
                      <w:b/>
                      <w:bCs/>
                      <w:color w:val="auto"/>
                      <w:sz w:val="21"/>
                      <w:szCs w:val="21"/>
                    </w:rPr>
                    <w:t>总体生态环境管控要求</w:t>
                  </w:r>
                </w:p>
              </w:tc>
              <w:tc>
                <w:tcPr>
                  <w:tcW w:w="3934" w:type="dxa"/>
                  <w:tcBorders>
                    <w:top w:val="single" w:color="auto" w:sz="4" w:space="0"/>
                  </w:tcBorders>
                  <w:shd w:val="clear" w:color="auto" w:fill="auto"/>
                  <w:noWrap w:val="0"/>
                  <w:vAlign w:val="center"/>
                </w:tcPr>
                <w:p>
                  <w:pPr>
                    <w:jc w:val="center"/>
                    <w:rPr>
                      <w:b/>
                      <w:bCs/>
                      <w:color w:val="auto"/>
                      <w:sz w:val="21"/>
                      <w:szCs w:val="21"/>
                    </w:rPr>
                  </w:pPr>
                  <w:r>
                    <w:rPr>
                      <w:b/>
                      <w:bCs/>
                      <w:color w:val="auto"/>
                      <w:sz w:val="21"/>
                      <w:szCs w:val="21"/>
                    </w:rPr>
                    <w:t>本项目情况</w:t>
                  </w:r>
                </w:p>
              </w:tc>
              <w:tc>
                <w:tcPr>
                  <w:tcW w:w="688" w:type="dxa"/>
                  <w:tcBorders>
                    <w:top w:val="single" w:color="auto" w:sz="4" w:space="0"/>
                    <w:right w:val="single" w:color="auto" w:sz="4" w:space="0"/>
                  </w:tcBorders>
                  <w:shd w:val="clear" w:color="auto" w:fill="auto"/>
                  <w:noWrap w:val="0"/>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207" w:type="dxa"/>
                  <w:tcBorders>
                    <w:left w:val="single" w:color="auto" w:sz="4" w:space="0"/>
                  </w:tcBorders>
                  <w:shd w:val="clear" w:color="auto" w:fill="auto"/>
                  <w:noWrap w:val="0"/>
                  <w:vAlign w:val="center"/>
                </w:tcPr>
                <w:p>
                  <w:pPr>
                    <w:jc w:val="center"/>
                    <w:rPr>
                      <w:color w:val="auto"/>
                      <w:sz w:val="21"/>
                      <w:szCs w:val="21"/>
                    </w:rPr>
                  </w:pPr>
                  <w:r>
                    <w:rPr>
                      <w:color w:val="auto"/>
                      <w:sz w:val="21"/>
                      <w:szCs w:val="21"/>
                    </w:rPr>
                    <w:t>重点管</w:t>
                  </w:r>
                </w:p>
                <w:p>
                  <w:pPr>
                    <w:jc w:val="center"/>
                    <w:rPr>
                      <w:color w:val="auto"/>
                      <w:sz w:val="21"/>
                      <w:szCs w:val="21"/>
                    </w:rPr>
                  </w:pPr>
                  <w:r>
                    <w:rPr>
                      <w:color w:val="auto"/>
                      <w:sz w:val="21"/>
                      <w:szCs w:val="21"/>
                    </w:rPr>
                    <w:t>控单元</w:t>
                  </w:r>
                </w:p>
              </w:tc>
              <w:tc>
                <w:tcPr>
                  <w:tcW w:w="3051" w:type="dxa"/>
                  <w:shd w:val="clear" w:color="auto" w:fill="auto"/>
                  <w:noWrap w:val="0"/>
                  <w:vAlign w:val="center"/>
                </w:tcPr>
                <w:p>
                  <w:pPr>
                    <w:rPr>
                      <w:color w:val="auto"/>
                      <w:sz w:val="21"/>
                      <w:szCs w:val="21"/>
                    </w:rPr>
                  </w:pPr>
                  <w:r>
                    <w:rPr>
                      <w:color w:val="auto"/>
                      <w:sz w:val="21"/>
                      <w:szCs w:val="21"/>
                    </w:rPr>
                    <w:t>重点管控单元中，针对环境质量是否达标以及经济社会发展水平等因素制</w:t>
                  </w:r>
                  <w:r>
                    <w:rPr>
                      <w:rFonts w:hint="eastAsia"/>
                      <w:color w:val="auto"/>
                      <w:sz w:val="21"/>
                      <w:szCs w:val="21"/>
                    </w:rPr>
                    <w:t>定特</w:t>
                  </w:r>
                  <w:r>
                    <w:rPr>
                      <w:color w:val="auto"/>
                      <w:sz w:val="21"/>
                      <w:szCs w:val="21"/>
                    </w:rPr>
                    <w:t>别化的生态环境准入要求。对环境质量不达标区域，环境质量不达标区域，提出污染物削减比例要求，对环境质量达标区域，提出允许排放量建议指标。</w:t>
                  </w:r>
                </w:p>
              </w:tc>
              <w:tc>
                <w:tcPr>
                  <w:tcW w:w="3934" w:type="dxa"/>
                  <w:shd w:val="clear" w:color="auto" w:fill="auto"/>
                  <w:noWrap w:val="0"/>
                  <w:vAlign w:val="center"/>
                </w:tcPr>
                <w:p>
                  <w:pPr>
                    <w:rPr>
                      <w:color w:val="auto"/>
                      <w:sz w:val="21"/>
                      <w:szCs w:val="21"/>
                      <w:highlight w:val="yellow"/>
                    </w:rPr>
                  </w:pPr>
                  <w:r>
                    <w:rPr>
                      <w:color w:val="auto"/>
                      <w:sz w:val="21"/>
                      <w:szCs w:val="21"/>
                      <w:highlight w:val="none"/>
                    </w:rPr>
                    <w:t>本项</w:t>
                  </w:r>
                  <w:r>
                    <w:rPr>
                      <w:rFonts w:eastAsia="宋体"/>
                      <w:color w:val="auto"/>
                      <w:sz w:val="21"/>
                      <w:szCs w:val="21"/>
                      <w:highlight w:val="none"/>
                    </w:rPr>
                    <w:t>目涉及</w:t>
                  </w:r>
                  <w:r>
                    <w:rPr>
                      <w:rFonts w:hint="eastAsia"/>
                      <w:color w:val="auto"/>
                      <w:sz w:val="21"/>
                      <w:szCs w:val="21"/>
                      <w:highlight w:val="none"/>
                      <w:lang w:val="en-US" w:eastAsia="zh-CN"/>
                    </w:rPr>
                    <w:t>7</w:t>
                  </w:r>
                  <w:r>
                    <w:rPr>
                      <w:rFonts w:hint="eastAsia" w:eastAsia="宋体"/>
                      <w:color w:val="auto"/>
                      <w:sz w:val="21"/>
                      <w:szCs w:val="21"/>
                      <w:highlight w:val="none"/>
                      <w:lang w:val="en-US" w:eastAsia="zh-CN"/>
                    </w:rPr>
                    <w:t>个重点管控单元</w:t>
                  </w:r>
                  <w:r>
                    <w:rPr>
                      <w:rFonts w:hint="eastAsia"/>
                      <w:color w:val="auto"/>
                      <w:sz w:val="21"/>
                      <w:szCs w:val="21"/>
                      <w:highlight w:val="none"/>
                      <w:lang w:val="en-US" w:eastAsia="zh-CN"/>
                    </w:rPr>
                    <w:t>（见表1-4）</w:t>
                  </w:r>
                  <w:r>
                    <w:rPr>
                      <w:rFonts w:hint="eastAsia" w:eastAsia="宋体"/>
                      <w:color w:val="auto"/>
                      <w:sz w:val="21"/>
                      <w:szCs w:val="21"/>
                      <w:highlight w:val="none"/>
                      <w:lang w:val="en-US" w:eastAsia="zh-CN"/>
                    </w:rPr>
                    <w:t>，</w:t>
                  </w:r>
                  <w:r>
                    <w:rPr>
                      <w:color w:val="auto"/>
                      <w:sz w:val="21"/>
                      <w:szCs w:val="21"/>
                      <w:highlight w:val="none"/>
                    </w:rPr>
                    <w:t>本项目为</w:t>
                  </w:r>
                  <w:r>
                    <w:rPr>
                      <w:rFonts w:hint="eastAsia"/>
                      <w:color w:val="auto"/>
                      <w:sz w:val="21"/>
                      <w:szCs w:val="21"/>
                      <w:highlight w:val="none"/>
                      <w:lang w:val="en-US" w:eastAsia="zh-CN"/>
                    </w:rPr>
                    <w:t>大气</w:t>
                  </w:r>
                  <w:r>
                    <w:rPr>
                      <w:color w:val="auto"/>
                      <w:sz w:val="21"/>
                      <w:szCs w:val="21"/>
                      <w:highlight w:val="none"/>
                    </w:rPr>
                    <w:t>环境质量</w:t>
                  </w:r>
                  <w:r>
                    <w:rPr>
                      <w:rFonts w:hint="eastAsia"/>
                      <w:color w:val="auto"/>
                      <w:sz w:val="21"/>
                      <w:szCs w:val="21"/>
                      <w:highlight w:val="none"/>
                      <w:lang w:val="en-US" w:eastAsia="zh-CN"/>
                    </w:rPr>
                    <w:t>不</w:t>
                  </w:r>
                  <w:r>
                    <w:rPr>
                      <w:color w:val="auto"/>
                      <w:sz w:val="21"/>
                      <w:szCs w:val="21"/>
                      <w:highlight w:val="none"/>
                    </w:rPr>
                    <w:t>达标区，营运期无</w:t>
                  </w:r>
                  <w:r>
                    <w:rPr>
                      <w:rFonts w:hint="eastAsia"/>
                      <w:color w:val="auto"/>
                      <w:sz w:val="21"/>
                      <w:szCs w:val="21"/>
                      <w:highlight w:val="none"/>
                      <w:lang w:val="en-US" w:eastAsia="zh-CN"/>
                    </w:rPr>
                    <w:t>大气</w:t>
                  </w:r>
                  <w:r>
                    <w:rPr>
                      <w:color w:val="auto"/>
                      <w:sz w:val="21"/>
                      <w:szCs w:val="21"/>
                      <w:highlight w:val="none"/>
                    </w:rPr>
                    <w:t>污染物</w:t>
                  </w:r>
                  <w:r>
                    <w:rPr>
                      <w:rFonts w:hint="eastAsia"/>
                      <w:color w:val="auto"/>
                      <w:sz w:val="21"/>
                      <w:szCs w:val="21"/>
                      <w:highlight w:val="none"/>
                      <w:lang w:eastAsia="zh-CN"/>
                    </w:rPr>
                    <w:t>、</w:t>
                  </w:r>
                  <w:r>
                    <w:rPr>
                      <w:rFonts w:hint="eastAsia"/>
                      <w:color w:val="auto"/>
                      <w:sz w:val="21"/>
                      <w:szCs w:val="21"/>
                      <w:highlight w:val="none"/>
                      <w:lang w:val="en-US" w:eastAsia="zh-CN"/>
                    </w:rPr>
                    <w:t>水污染物</w:t>
                  </w:r>
                  <w:r>
                    <w:rPr>
                      <w:color w:val="auto"/>
                      <w:sz w:val="21"/>
                      <w:szCs w:val="21"/>
                      <w:highlight w:val="none"/>
                    </w:rPr>
                    <w:t>排放，不涉及</w:t>
                  </w:r>
                  <w:r>
                    <w:rPr>
                      <w:rFonts w:hint="eastAsia"/>
                      <w:color w:val="auto"/>
                      <w:sz w:val="21"/>
                      <w:szCs w:val="21"/>
                      <w:highlight w:val="none"/>
                      <w:lang w:val="en-US" w:eastAsia="zh-CN"/>
                    </w:rPr>
                    <w:t>总量指标</w:t>
                  </w:r>
                  <w:r>
                    <w:rPr>
                      <w:color w:val="auto"/>
                      <w:sz w:val="21"/>
                      <w:szCs w:val="21"/>
                      <w:highlight w:val="none"/>
                    </w:rPr>
                    <w:t>，满足管控要求。</w:t>
                  </w:r>
                </w:p>
              </w:tc>
              <w:tc>
                <w:tcPr>
                  <w:tcW w:w="688" w:type="dxa"/>
                  <w:tcBorders>
                    <w:right w:val="single" w:color="auto" w:sz="4" w:space="0"/>
                  </w:tcBorders>
                  <w:shd w:val="clear" w:color="auto" w:fill="auto"/>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207" w:type="dxa"/>
                  <w:tcBorders>
                    <w:left w:val="single" w:color="auto" w:sz="4" w:space="0"/>
                  </w:tcBorders>
                  <w:shd w:val="clear" w:color="auto" w:fill="auto"/>
                  <w:noWrap w:val="0"/>
                  <w:vAlign w:val="center"/>
                </w:tcPr>
                <w:p>
                  <w:pPr>
                    <w:jc w:val="center"/>
                    <w:rPr>
                      <w:color w:val="auto"/>
                      <w:sz w:val="21"/>
                      <w:szCs w:val="21"/>
                    </w:rPr>
                  </w:pPr>
                  <w:r>
                    <w:rPr>
                      <w:color w:val="auto"/>
                      <w:sz w:val="21"/>
                      <w:szCs w:val="21"/>
                    </w:rPr>
                    <w:t>一般管</w:t>
                  </w:r>
                </w:p>
                <w:p>
                  <w:pPr>
                    <w:jc w:val="center"/>
                    <w:rPr>
                      <w:color w:val="auto"/>
                      <w:sz w:val="21"/>
                      <w:szCs w:val="21"/>
                    </w:rPr>
                  </w:pPr>
                  <w:r>
                    <w:rPr>
                      <w:color w:val="auto"/>
                      <w:sz w:val="21"/>
                      <w:szCs w:val="21"/>
                    </w:rPr>
                    <w:t>控单元</w:t>
                  </w:r>
                </w:p>
              </w:tc>
              <w:tc>
                <w:tcPr>
                  <w:tcW w:w="3051" w:type="dxa"/>
                  <w:shd w:val="clear" w:color="auto" w:fill="auto"/>
                  <w:noWrap w:val="0"/>
                  <w:vAlign w:val="center"/>
                </w:tcPr>
                <w:p>
                  <w:pPr>
                    <w:rPr>
                      <w:color w:val="auto"/>
                      <w:sz w:val="21"/>
                      <w:szCs w:val="21"/>
                    </w:rPr>
                  </w:pPr>
                  <w:r>
                    <w:rPr>
                      <w:color w:val="auto"/>
                      <w:sz w:val="21"/>
                      <w:szCs w:val="21"/>
                    </w:rPr>
                    <w:t>一般管控单元中，执行区域生态环境保护的基本要求。重点加强农业、生活等领域污染治理。</w:t>
                  </w:r>
                </w:p>
              </w:tc>
              <w:tc>
                <w:tcPr>
                  <w:tcW w:w="3934" w:type="dxa"/>
                  <w:shd w:val="clear" w:color="auto" w:fill="auto"/>
                  <w:noWrap w:val="0"/>
                  <w:vAlign w:val="center"/>
                </w:tcPr>
                <w:p>
                  <w:pPr>
                    <w:jc w:val="center"/>
                    <w:rPr>
                      <w:color w:val="auto"/>
                      <w:sz w:val="21"/>
                      <w:szCs w:val="21"/>
                      <w:highlight w:val="yellow"/>
                    </w:rPr>
                  </w:pPr>
                  <w:r>
                    <w:rPr>
                      <w:color w:val="auto"/>
                      <w:sz w:val="21"/>
                      <w:szCs w:val="21"/>
                    </w:rPr>
                    <w:t>本项目</w:t>
                  </w:r>
                  <w:r>
                    <w:rPr>
                      <w:rFonts w:hint="eastAsia"/>
                      <w:color w:val="auto"/>
                      <w:sz w:val="21"/>
                      <w:szCs w:val="21"/>
                      <w:lang w:val="en-US" w:eastAsia="zh-CN"/>
                    </w:rPr>
                    <w:t>不</w:t>
                  </w:r>
                  <w:r>
                    <w:rPr>
                      <w:color w:val="auto"/>
                      <w:sz w:val="21"/>
                      <w:szCs w:val="21"/>
                    </w:rPr>
                    <w:t>涉及一般管控</w:t>
                  </w:r>
                  <w:r>
                    <w:rPr>
                      <w:rFonts w:hint="eastAsia"/>
                      <w:color w:val="auto"/>
                      <w:sz w:val="21"/>
                      <w:szCs w:val="21"/>
                      <w:lang w:val="en-US" w:eastAsia="zh-CN"/>
                    </w:rPr>
                    <w:t>单元</w:t>
                  </w:r>
                  <w:r>
                    <w:rPr>
                      <w:color w:val="auto"/>
                      <w:sz w:val="21"/>
                      <w:szCs w:val="21"/>
                    </w:rPr>
                    <w:t>。</w:t>
                  </w:r>
                </w:p>
              </w:tc>
              <w:tc>
                <w:tcPr>
                  <w:tcW w:w="688" w:type="dxa"/>
                  <w:tcBorders>
                    <w:right w:val="single" w:color="auto" w:sz="4" w:space="0"/>
                  </w:tcBorders>
                  <w:shd w:val="clear" w:color="auto" w:fill="auto"/>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207" w:type="dxa"/>
                  <w:tcBorders>
                    <w:left w:val="single" w:color="auto" w:sz="4" w:space="0"/>
                  </w:tcBorders>
                  <w:shd w:val="clear" w:color="auto" w:fill="auto"/>
                  <w:noWrap w:val="0"/>
                  <w:vAlign w:val="center"/>
                </w:tcPr>
                <w:p>
                  <w:pPr>
                    <w:jc w:val="center"/>
                    <w:rPr>
                      <w:b/>
                      <w:bCs/>
                      <w:color w:val="auto"/>
                      <w:sz w:val="21"/>
                      <w:szCs w:val="21"/>
                    </w:rPr>
                  </w:pPr>
                  <w:r>
                    <w:rPr>
                      <w:b/>
                      <w:bCs/>
                      <w:color w:val="auto"/>
                      <w:sz w:val="21"/>
                      <w:szCs w:val="21"/>
                    </w:rPr>
                    <w:t>区域</w:t>
                  </w:r>
                </w:p>
              </w:tc>
              <w:tc>
                <w:tcPr>
                  <w:tcW w:w="3051" w:type="dxa"/>
                  <w:shd w:val="clear" w:color="auto" w:fill="auto"/>
                  <w:noWrap w:val="0"/>
                  <w:vAlign w:val="center"/>
                </w:tcPr>
                <w:p>
                  <w:pPr>
                    <w:jc w:val="center"/>
                    <w:rPr>
                      <w:b/>
                      <w:bCs/>
                      <w:color w:val="auto"/>
                      <w:sz w:val="21"/>
                      <w:szCs w:val="21"/>
                    </w:rPr>
                  </w:pPr>
                  <w:r>
                    <w:rPr>
                      <w:b/>
                      <w:bCs/>
                      <w:color w:val="auto"/>
                      <w:sz w:val="21"/>
                      <w:szCs w:val="21"/>
                    </w:rPr>
                    <w:t>总体生态环境管控要求</w:t>
                  </w:r>
                </w:p>
              </w:tc>
              <w:tc>
                <w:tcPr>
                  <w:tcW w:w="3934" w:type="dxa"/>
                  <w:shd w:val="clear" w:color="auto" w:fill="auto"/>
                  <w:noWrap w:val="0"/>
                  <w:vAlign w:val="center"/>
                </w:tcPr>
                <w:p>
                  <w:pPr>
                    <w:jc w:val="center"/>
                    <w:rPr>
                      <w:b/>
                      <w:bCs/>
                      <w:color w:val="auto"/>
                      <w:sz w:val="21"/>
                      <w:szCs w:val="21"/>
                    </w:rPr>
                  </w:pPr>
                  <w:r>
                    <w:rPr>
                      <w:b/>
                      <w:bCs/>
                      <w:color w:val="auto"/>
                      <w:sz w:val="21"/>
                      <w:szCs w:val="21"/>
                    </w:rPr>
                    <w:t>本项目情况</w:t>
                  </w:r>
                </w:p>
              </w:tc>
              <w:tc>
                <w:tcPr>
                  <w:tcW w:w="688" w:type="dxa"/>
                  <w:tcBorders>
                    <w:right w:val="single" w:color="auto" w:sz="4" w:space="0"/>
                  </w:tcBorders>
                  <w:shd w:val="clear" w:color="auto" w:fill="auto"/>
                  <w:noWrap w:val="0"/>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207" w:type="dxa"/>
                  <w:tcBorders>
                    <w:left w:val="single" w:color="auto" w:sz="4" w:space="0"/>
                    <w:bottom w:val="single" w:color="auto" w:sz="4" w:space="0"/>
                  </w:tcBorders>
                  <w:shd w:val="clear" w:color="auto" w:fill="auto"/>
                  <w:noWrap w:val="0"/>
                  <w:vAlign w:val="center"/>
                </w:tcPr>
                <w:p>
                  <w:pPr>
                    <w:jc w:val="center"/>
                    <w:rPr>
                      <w:color w:val="auto"/>
                      <w:sz w:val="21"/>
                      <w:szCs w:val="21"/>
                    </w:rPr>
                  </w:pPr>
                  <w:r>
                    <w:rPr>
                      <w:color w:val="auto"/>
                      <w:sz w:val="21"/>
                      <w:szCs w:val="21"/>
                    </w:rPr>
                    <w:t>川东北经济区</w:t>
                  </w:r>
                </w:p>
              </w:tc>
              <w:tc>
                <w:tcPr>
                  <w:tcW w:w="3051" w:type="dxa"/>
                  <w:tcBorders>
                    <w:bottom w:val="single" w:color="auto" w:sz="4" w:space="0"/>
                  </w:tcBorders>
                  <w:shd w:val="clear" w:color="auto" w:fill="auto"/>
                  <w:noWrap w:val="0"/>
                  <w:vAlign w:val="center"/>
                </w:tcPr>
                <w:p>
                  <w:pPr>
                    <w:rPr>
                      <w:color w:val="auto"/>
                      <w:sz w:val="21"/>
                      <w:szCs w:val="21"/>
                    </w:rPr>
                  </w:pPr>
                  <w:r>
                    <w:rPr>
                      <w:color w:val="auto"/>
                      <w:sz w:val="21"/>
                      <w:szCs w:val="21"/>
                    </w:rPr>
                    <w:t>①控制农村面源污染，提高废水收集处理率，加快乡镇污水处理基础设施建设。</w:t>
                  </w:r>
                </w:p>
                <w:p>
                  <w:pPr>
                    <w:rPr>
                      <w:color w:val="auto"/>
                      <w:sz w:val="21"/>
                      <w:szCs w:val="21"/>
                    </w:rPr>
                  </w:pPr>
                  <w:r>
                    <w:rPr>
                      <w:color w:val="auto"/>
                      <w:sz w:val="21"/>
                      <w:szCs w:val="21"/>
                    </w:rPr>
                    <w:t>②建设流域水环境风险联防联控体系。</w:t>
                  </w:r>
                </w:p>
                <w:p>
                  <w:pPr>
                    <w:rPr>
                      <w:color w:val="auto"/>
                      <w:sz w:val="21"/>
                      <w:szCs w:val="21"/>
                    </w:rPr>
                  </w:pPr>
                  <w:r>
                    <w:rPr>
                      <w:color w:val="auto"/>
                      <w:sz w:val="21"/>
                      <w:szCs w:val="21"/>
                    </w:rPr>
                    <w:t>③提高大气污染治理水平。</w:t>
                  </w:r>
                </w:p>
              </w:tc>
              <w:tc>
                <w:tcPr>
                  <w:tcW w:w="3934" w:type="dxa"/>
                  <w:tcBorders>
                    <w:bottom w:val="single" w:color="auto" w:sz="4" w:space="0"/>
                  </w:tcBorders>
                  <w:shd w:val="clear" w:color="auto" w:fill="auto"/>
                  <w:noWrap w:val="0"/>
                  <w:vAlign w:val="center"/>
                </w:tcPr>
                <w:p>
                  <w:pPr>
                    <w:rPr>
                      <w:color w:val="auto"/>
                      <w:sz w:val="21"/>
                      <w:szCs w:val="21"/>
                    </w:rPr>
                  </w:pPr>
                  <w:r>
                    <w:rPr>
                      <w:color w:val="auto"/>
                      <w:sz w:val="21"/>
                      <w:szCs w:val="21"/>
                    </w:rPr>
                    <w:t>本项目为</w:t>
                  </w:r>
                  <w:r>
                    <w:rPr>
                      <w:rFonts w:hint="eastAsia"/>
                      <w:color w:val="auto"/>
                      <w:sz w:val="21"/>
                      <w:szCs w:val="21"/>
                      <w:lang w:val="en-US" w:eastAsia="zh-CN"/>
                    </w:rPr>
                    <w:t>自来水生产及供应行业</w:t>
                  </w:r>
                  <w:r>
                    <w:rPr>
                      <w:color w:val="auto"/>
                      <w:sz w:val="21"/>
                      <w:szCs w:val="21"/>
                    </w:rPr>
                    <w:t>，不属于农村面源污染项目，</w:t>
                  </w:r>
                  <w:r>
                    <w:rPr>
                      <w:rFonts w:hint="eastAsia"/>
                      <w:color w:val="auto"/>
                      <w:sz w:val="21"/>
                      <w:szCs w:val="21"/>
                      <w:lang w:val="en-US" w:eastAsia="zh-CN"/>
                    </w:rPr>
                    <w:t>项目</w:t>
                  </w:r>
                  <w:r>
                    <w:rPr>
                      <w:color w:val="auto"/>
                      <w:sz w:val="21"/>
                      <w:szCs w:val="21"/>
                    </w:rPr>
                    <w:t>营运期无</w:t>
                  </w:r>
                  <w:r>
                    <w:rPr>
                      <w:rFonts w:hint="eastAsia"/>
                      <w:color w:val="auto"/>
                      <w:sz w:val="21"/>
                      <w:szCs w:val="21"/>
                      <w:lang w:val="en-US" w:eastAsia="zh-CN"/>
                    </w:rPr>
                    <w:t>大气</w:t>
                  </w:r>
                  <w:r>
                    <w:rPr>
                      <w:color w:val="auto"/>
                      <w:sz w:val="21"/>
                      <w:szCs w:val="21"/>
                    </w:rPr>
                    <w:t>污染物</w:t>
                  </w:r>
                  <w:r>
                    <w:rPr>
                      <w:rFonts w:hint="eastAsia"/>
                      <w:color w:val="auto"/>
                      <w:sz w:val="21"/>
                      <w:szCs w:val="21"/>
                      <w:lang w:eastAsia="zh-CN"/>
                    </w:rPr>
                    <w:t>、</w:t>
                  </w:r>
                  <w:r>
                    <w:rPr>
                      <w:rFonts w:hint="eastAsia"/>
                      <w:color w:val="auto"/>
                      <w:sz w:val="21"/>
                      <w:szCs w:val="21"/>
                      <w:lang w:val="en-US" w:eastAsia="zh-CN"/>
                    </w:rPr>
                    <w:t>水污染物</w:t>
                  </w:r>
                  <w:r>
                    <w:rPr>
                      <w:color w:val="auto"/>
                      <w:sz w:val="21"/>
                      <w:szCs w:val="21"/>
                    </w:rPr>
                    <w:t>排放，不涉及</w:t>
                  </w:r>
                  <w:r>
                    <w:rPr>
                      <w:rFonts w:hint="eastAsia"/>
                      <w:color w:val="auto"/>
                      <w:sz w:val="21"/>
                      <w:szCs w:val="21"/>
                      <w:lang w:val="en-US" w:eastAsia="zh-CN"/>
                    </w:rPr>
                    <w:t>总量指标</w:t>
                  </w:r>
                  <w:r>
                    <w:rPr>
                      <w:rFonts w:hint="eastAsia"/>
                      <w:color w:val="auto"/>
                      <w:sz w:val="21"/>
                      <w:szCs w:val="21"/>
                      <w:lang w:eastAsia="zh-CN"/>
                    </w:rPr>
                    <w:t>。</w:t>
                  </w:r>
                  <w:r>
                    <w:rPr>
                      <w:rFonts w:hint="eastAsia"/>
                      <w:color w:val="auto"/>
                      <w:sz w:val="21"/>
                      <w:szCs w:val="21"/>
                      <w:lang w:val="en-US" w:eastAsia="zh-CN"/>
                    </w:rPr>
                    <w:t>本报告提出了严格的大气、水环境、风险防范等措施</w:t>
                  </w:r>
                  <w:r>
                    <w:rPr>
                      <w:color w:val="auto"/>
                      <w:sz w:val="21"/>
                      <w:szCs w:val="21"/>
                    </w:rPr>
                    <w:t>，满足管控要求。</w:t>
                  </w:r>
                </w:p>
              </w:tc>
              <w:tc>
                <w:tcPr>
                  <w:tcW w:w="688" w:type="dxa"/>
                  <w:tcBorders>
                    <w:bottom w:val="single" w:color="auto" w:sz="4" w:space="0"/>
                    <w:right w:val="single" w:color="auto" w:sz="4" w:space="0"/>
                  </w:tcBorders>
                  <w:shd w:val="clear" w:color="auto" w:fill="auto"/>
                  <w:noWrap w:val="0"/>
                  <w:vAlign w:val="center"/>
                </w:tcPr>
                <w:p>
                  <w:pPr>
                    <w:jc w:val="center"/>
                    <w:rPr>
                      <w:color w:val="auto"/>
                      <w:sz w:val="21"/>
                      <w:szCs w:val="21"/>
                    </w:rPr>
                  </w:pPr>
                  <w:r>
                    <w:rPr>
                      <w:rFonts w:hint="eastAsia"/>
                      <w:color w:val="auto"/>
                      <w:sz w:val="21"/>
                      <w:szCs w:val="21"/>
                      <w:lang w:val="en-US" w:eastAsia="zh-CN"/>
                    </w:rPr>
                    <w:t>符合</w:t>
                  </w:r>
                </w:p>
              </w:tc>
            </w:tr>
          </w:tbl>
          <w:p>
            <w:pPr>
              <w:adjustRightInd w:val="0"/>
              <w:snapToGrid w:val="0"/>
              <w:spacing w:line="360" w:lineRule="auto"/>
              <w:ind w:firstLine="420" w:firstLineChars="200"/>
              <w:rPr>
                <w:rFonts w:hint="eastAsia" w:eastAsia="宋体"/>
                <w:bCs/>
                <w:color w:val="auto"/>
                <w:kern w:val="0"/>
                <w:sz w:val="21"/>
                <w:szCs w:val="21"/>
                <w:lang w:val="en-US" w:eastAsia="zh-CN"/>
              </w:rPr>
            </w:pPr>
            <w:r>
              <w:rPr>
                <w:rFonts w:hint="eastAsia" w:eastAsia="宋体"/>
                <w:bCs/>
                <w:color w:val="auto"/>
                <w:kern w:val="0"/>
                <w:sz w:val="21"/>
                <w:szCs w:val="21"/>
                <w:lang w:val="en-US" w:eastAsia="zh-CN"/>
              </w:rPr>
              <w:t>综上，本项目符合《关于落实生态保护红线、环境质量底线、资源利用上线制定生态环境准入清单实施生态环境分区管控的通知》（川府发〔2020〕9号）相关要求。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eastAsia="宋体"/>
                <w:b/>
                <w:color w:val="auto"/>
                <w:kern w:val="21"/>
                <w:sz w:val="21"/>
                <w:szCs w:val="21"/>
                <w:lang w:val="en-US" w:eastAsia="zh-CN"/>
              </w:rPr>
            </w:pPr>
            <w:r>
              <w:rPr>
                <w:rFonts w:hint="eastAsia"/>
                <w:b/>
                <w:color w:val="auto"/>
                <w:kern w:val="21"/>
                <w:sz w:val="21"/>
                <w:szCs w:val="21"/>
                <w:lang w:eastAsia="zh-CN"/>
              </w:rPr>
              <w:t>（</w:t>
            </w:r>
            <w:r>
              <w:rPr>
                <w:rFonts w:hint="eastAsia"/>
                <w:b/>
                <w:color w:val="auto"/>
                <w:kern w:val="21"/>
                <w:sz w:val="21"/>
                <w:szCs w:val="21"/>
                <w:lang w:val="en-US" w:eastAsia="zh-CN"/>
              </w:rPr>
              <w:t>二</w:t>
            </w:r>
            <w:r>
              <w:rPr>
                <w:rFonts w:hint="eastAsia"/>
                <w:b/>
                <w:color w:val="auto"/>
                <w:kern w:val="21"/>
                <w:sz w:val="21"/>
                <w:szCs w:val="21"/>
                <w:lang w:eastAsia="zh-CN"/>
              </w:rPr>
              <w:t>）</w:t>
            </w:r>
            <w:r>
              <w:rPr>
                <w:b/>
                <w:color w:val="auto"/>
                <w:kern w:val="21"/>
                <w:sz w:val="21"/>
                <w:szCs w:val="21"/>
              </w:rPr>
              <w:t>与</w:t>
            </w:r>
            <w:r>
              <w:rPr>
                <w:rFonts w:hint="eastAsia"/>
                <w:b/>
                <w:color w:val="auto"/>
                <w:kern w:val="21"/>
                <w:sz w:val="21"/>
                <w:szCs w:val="21"/>
                <w:lang w:val="en-US" w:eastAsia="zh-CN"/>
              </w:rPr>
              <w:t>达州市人民政府办公室发布的</w:t>
            </w:r>
            <w:r>
              <w:rPr>
                <w:b/>
                <w:color w:val="auto"/>
                <w:kern w:val="21"/>
                <w:sz w:val="21"/>
                <w:szCs w:val="21"/>
              </w:rPr>
              <w:t>《关于</w:t>
            </w:r>
            <w:r>
              <w:rPr>
                <w:rFonts w:hint="eastAsia"/>
                <w:b/>
                <w:color w:val="auto"/>
                <w:kern w:val="21"/>
                <w:sz w:val="21"/>
                <w:szCs w:val="21"/>
                <w:lang w:val="en-US" w:eastAsia="zh-CN"/>
              </w:rPr>
              <w:t>加强</w:t>
            </w:r>
            <w:r>
              <w:rPr>
                <w:b/>
                <w:color w:val="auto"/>
                <w:kern w:val="21"/>
                <w:sz w:val="21"/>
                <w:szCs w:val="21"/>
              </w:rPr>
              <w:t>生态环境分区管控的通知》（达市府</w:t>
            </w:r>
            <w:r>
              <w:rPr>
                <w:rFonts w:hint="eastAsia"/>
                <w:b/>
                <w:color w:val="auto"/>
                <w:kern w:val="21"/>
                <w:sz w:val="21"/>
                <w:szCs w:val="21"/>
                <w:lang w:val="en-US" w:eastAsia="zh-CN"/>
              </w:rPr>
              <w:t>办函</w:t>
            </w:r>
            <w:r>
              <w:rPr>
                <w:b/>
                <w:color w:val="auto"/>
                <w:kern w:val="21"/>
                <w:sz w:val="21"/>
                <w:szCs w:val="21"/>
              </w:rPr>
              <w:t>〔202</w:t>
            </w:r>
            <w:r>
              <w:rPr>
                <w:rFonts w:hint="eastAsia"/>
                <w:b/>
                <w:color w:val="auto"/>
                <w:kern w:val="21"/>
                <w:sz w:val="21"/>
                <w:szCs w:val="21"/>
                <w:lang w:val="en-US" w:eastAsia="zh-CN"/>
              </w:rPr>
              <w:t>4</w:t>
            </w:r>
            <w:r>
              <w:rPr>
                <w:b/>
                <w:color w:val="auto"/>
                <w:kern w:val="21"/>
                <w:sz w:val="21"/>
                <w:szCs w:val="21"/>
              </w:rPr>
              <w:t>〕</w:t>
            </w:r>
            <w:r>
              <w:rPr>
                <w:rFonts w:hint="eastAsia"/>
                <w:b/>
                <w:color w:val="auto"/>
                <w:kern w:val="21"/>
                <w:sz w:val="21"/>
                <w:szCs w:val="21"/>
                <w:lang w:val="en-US" w:eastAsia="zh-CN"/>
              </w:rPr>
              <w:t>31</w:t>
            </w:r>
            <w:r>
              <w:rPr>
                <w:b/>
                <w:color w:val="auto"/>
                <w:kern w:val="21"/>
                <w:sz w:val="21"/>
                <w:szCs w:val="21"/>
              </w:rPr>
              <w:t>号）</w:t>
            </w:r>
            <w:r>
              <w:rPr>
                <w:rFonts w:hint="eastAsia"/>
                <w:b/>
                <w:color w:val="auto"/>
                <w:kern w:val="21"/>
                <w:sz w:val="21"/>
                <w:szCs w:val="21"/>
                <w:lang w:val="en-US" w:eastAsia="zh-CN"/>
              </w:rPr>
              <w:t>符合性分析</w:t>
            </w:r>
          </w:p>
          <w:p>
            <w:pPr>
              <w:overflowPunct w:val="0"/>
              <w:spacing w:line="360" w:lineRule="auto"/>
              <w:ind w:firstLine="420" w:firstLineChars="200"/>
              <w:rPr>
                <w:color w:val="auto"/>
                <w:kern w:val="21"/>
                <w:sz w:val="21"/>
                <w:szCs w:val="21"/>
              </w:rPr>
            </w:pPr>
            <w:r>
              <w:rPr>
                <w:rFonts w:hint="eastAsia"/>
                <w:color w:val="auto"/>
                <w:kern w:val="21"/>
                <w:sz w:val="21"/>
                <w:szCs w:val="21"/>
                <w:lang w:val="en-US" w:eastAsia="zh-CN"/>
              </w:rPr>
              <w:t>本项目位于大竹县，</w:t>
            </w:r>
            <w:r>
              <w:rPr>
                <w:color w:val="auto"/>
                <w:kern w:val="21"/>
                <w:sz w:val="21"/>
                <w:szCs w:val="21"/>
              </w:rPr>
              <w:t>根</w:t>
            </w:r>
            <w:r>
              <w:rPr>
                <w:b w:val="0"/>
                <w:bCs w:val="0"/>
                <w:color w:val="auto"/>
                <w:kern w:val="21"/>
                <w:sz w:val="21"/>
                <w:szCs w:val="21"/>
              </w:rPr>
              <w:t>据《关于</w:t>
            </w:r>
            <w:r>
              <w:rPr>
                <w:rFonts w:hint="eastAsia"/>
                <w:b w:val="0"/>
                <w:bCs w:val="0"/>
                <w:color w:val="auto"/>
                <w:kern w:val="21"/>
                <w:sz w:val="21"/>
                <w:szCs w:val="21"/>
                <w:lang w:val="en-US" w:eastAsia="zh-CN"/>
              </w:rPr>
              <w:t>加强</w:t>
            </w:r>
            <w:r>
              <w:rPr>
                <w:b w:val="0"/>
                <w:bCs w:val="0"/>
                <w:color w:val="auto"/>
                <w:kern w:val="21"/>
                <w:sz w:val="21"/>
                <w:szCs w:val="21"/>
              </w:rPr>
              <w:t>生态环境分区管控的通知》（达市府</w:t>
            </w:r>
            <w:r>
              <w:rPr>
                <w:rFonts w:hint="eastAsia"/>
                <w:b w:val="0"/>
                <w:bCs w:val="0"/>
                <w:color w:val="auto"/>
                <w:kern w:val="21"/>
                <w:sz w:val="21"/>
                <w:szCs w:val="21"/>
                <w:lang w:val="en-US" w:eastAsia="zh-CN"/>
              </w:rPr>
              <w:t>办函</w:t>
            </w:r>
            <w:r>
              <w:rPr>
                <w:b w:val="0"/>
                <w:bCs w:val="0"/>
                <w:color w:val="auto"/>
                <w:kern w:val="21"/>
                <w:sz w:val="21"/>
                <w:szCs w:val="21"/>
              </w:rPr>
              <w:t>〔202</w:t>
            </w:r>
            <w:r>
              <w:rPr>
                <w:rFonts w:hint="eastAsia"/>
                <w:b w:val="0"/>
                <w:bCs w:val="0"/>
                <w:color w:val="auto"/>
                <w:kern w:val="21"/>
                <w:sz w:val="21"/>
                <w:szCs w:val="21"/>
                <w:lang w:val="en-US" w:eastAsia="zh-CN"/>
              </w:rPr>
              <w:t>4</w:t>
            </w:r>
            <w:r>
              <w:rPr>
                <w:b w:val="0"/>
                <w:bCs w:val="0"/>
                <w:color w:val="auto"/>
                <w:kern w:val="21"/>
                <w:sz w:val="21"/>
                <w:szCs w:val="21"/>
              </w:rPr>
              <w:t>〕</w:t>
            </w:r>
            <w:r>
              <w:rPr>
                <w:rFonts w:hint="eastAsia"/>
                <w:b w:val="0"/>
                <w:bCs w:val="0"/>
                <w:color w:val="auto"/>
                <w:kern w:val="21"/>
                <w:sz w:val="21"/>
                <w:szCs w:val="21"/>
                <w:lang w:val="en-US" w:eastAsia="zh-CN"/>
              </w:rPr>
              <w:t>31</w:t>
            </w:r>
            <w:r>
              <w:rPr>
                <w:b w:val="0"/>
                <w:bCs w:val="0"/>
                <w:color w:val="auto"/>
                <w:kern w:val="21"/>
                <w:sz w:val="21"/>
                <w:szCs w:val="21"/>
              </w:rPr>
              <w:t>号）</w:t>
            </w:r>
            <w:r>
              <w:rPr>
                <w:color w:val="auto"/>
                <w:kern w:val="21"/>
                <w:sz w:val="21"/>
                <w:szCs w:val="21"/>
              </w:rPr>
              <w:t>，</w:t>
            </w:r>
            <w:r>
              <w:rPr>
                <w:rFonts w:hint="eastAsia"/>
                <w:color w:val="auto"/>
                <w:kern w:val="21"/>
                <w:sz w:val="21"/>
                <w:szCs w:val="21"/>
                <w:lang w:val="en-US" w:eastAsia="zh-CN"/>
              </w:rPr>
              <w:t>项目与</w:t>
            </w:r>
            <w:r>
              <w:rPr>
                <w:rFonts w:hint="eastAsia"/>
                <w:b w:val="0"/>
                <w:bCs/>
                <w:color w:val="auto"/>
                <w:kern w:val="21"/>
                <w:sz w:val="21"/>
                <w:szCs w:val="21"/>
                <w:lang w:val="en-US" w:eastAsia="zh-CN"/>
              </w:rPr>
              <w:t>达州市、大竹县总体生态环境管控要求符合性分析如下：</w:t>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pacing w:val="0"/>
                <w:kern w:val="21"/>
                <w:position w:val="0"/>
                <w:sz w:val="21"/>
                <w:szCs w:val="21"/>
                <w:lang w:val="en-US" w:eastAsia="zh-CN" w:bidi="ar"/>
              </w:rPr>
            </w:pPr>
            <w:r>
              <w:rPr>
                <w:rFonts w:hint="default" w:ascii="Times New Roman" w:hAnsi="Times New Roman" w:eastAsia="宋体" w:cs="Times New Roman"/>
                <w:b/>
                <w:bCs/>
                <w:color w:val="auto"/>
                <w:spacing w:val="0"/>
                <w:kern w:val="21"/>
                <w:position w:val="0"/>
                <w:sz w:val="21"/>
                <w:szCs w:val="21"/>
                <w:lang w:bidi="ar"/>
              </w:rPr>
              <w:t>表1-</w:t>
            </w:r>
            <w:r>
              <w:rPr>
                <w:rFonts w:hint="eastAsia" w:ascii="Times New Roman" w:hAnsi="Times New Roman" w:eastAsia="宋体" w:cs="Times New Roman"/>
                <w:b/>
                <w:bCs/>
                <w:color w:val="auto"/>
                <w:spacing w:val="0"/>
                <w:kern w:val="21"/>
                <w:position w:val="0"/>
                <w:sz w:val="21"/>
                <w:szCs w:val="21"/>
                <w:lang w:val="en-US" w:eastAsia="zh-CN" w:bidi="ar"/>
              </w:rPr>
              <w:t xml:space="preserve">3 </w:t>
            </w:r>
            <w:r>
              <w:rPr>
                <w:rFonts w:hint="default" w:ascii="Times New Roman" w:hAnsi="Times New Roman" w:eastAsia="宋体" w:cs="Times New Roman"/>
                <w:b/>
                <w:bCs/>
                <w:color w:val="auto"/>
                <w:spacing w:val="0"/>
                <w:kern w:val="21"/>
                <w:position w:val="0"/>
                <w:sz w:val="21"/>
                <w:szCs w:val="21"/>
                <w:lang w:bidi="ar"/>
              </w:rPr>
              <w:t>与达市府</w:t>
            </w:r>
            <w:r>
              <w:rPr>
                <w:rFonts w:hint="eastAsia" w:ascii="Times New Roman" w:hAnsi="Times New Roman" w:eastAsia="宋体" w:cs="Times New Roman"/>
                <w:b/>
                <w:bCs/>
                <w:color w:val="auto"/>
                <w:spacing w:val="0"/>
                <w:kern w:val="21"/>
                <w:position w:val="0"/>
                <w:sz w:val="21"/>
                <w:szCs w:val="21"/>
                <w:lang w:val="en-US" w:eastAsia="zh-CN" w:bidi="ar"/>
              </w:rPr>
              <w:t>办函</w:t>
            </w:r>
            <w:r>
              <w:rPr>
                <w:rFonts w:hint="default" w:ascii="Times New Roman" w:hAnsi="Times New Roman" w:eastAsia="宋体" w:cs="Times New Roman"/>
                <w:b/>
                <w:bCs/>
                <w:color w:val="auto"/>
                <w:spacing w:val="0"/>
                <w:kern w:val="21"/>
                <w:position w:val="0"/>
                <w:sz w:val="21"/>
                <w:szCs w:val="21"/>
                <w:lang w:bidi="ar"/>
              </w:rPr>
              <w:t>〔202</w:t>
            </w:r>
            <w:r>
              <w:rPr>
                <w:rFonts w:hint="eastAsia" w:ascii="Times New Roman" w:hAnsi="Times New Roman" w:eastAsia="宋体" w:cs="Times New Roman"/>
                <w:b/>
                <w:bCs/>
                <w:color w:val="auto"/>
                <w:spacing w:val="0"/>
                <w:kern w:val="21"/>
                <w:position w:val="0"/>
                <w:sz w:val="21"/>
                <w:szCs w:val="21"/>
                <w:lang w:val="en-US" w:eastAsia="zh-CN" w:bidi="ar"/>
              </w:rPr>
              <w:t>4</w:t>
            </w:r>
            <w:r>
              <w:rPr>
                <w:rFonts w:hint="default" w:ascii="Times New Roman" w:hAnsi="Times New Roman" w:eastAsia="宋体" w:cs="Times New Roman"/>
                <w:b/>
                <w:bCs/>
                <w:color w:val="auto"/>
                <w:spacing w:val="0"/>
                <w:kern w:val="21"/>
                <w:position w:val="0"/>
                <w:sz w:val="21"/>
                <w:szCs w:val="21"/>
                <w:lang w:bidi="ar"/>
              </w:rPr>
              <w:t>〕</w:t>
            </w:r>
            <w:r>
              <w:rPr>
                <w:rFonts w:hint="eastAsia" w:ascii="Times New Roman" w:hAnsi="Times New Roman" w:eastAsia="宋体" w:cs="Times New Roman"/>
                <w:b/>
                <w:bCs/>
                <w:color w:val="auto"/>
                <w:spacing w:val="0"/>
                <w:kern w:val="21"/>
                <w:position w:val="0"/>
                <w:sz w:val="21"/>
                <w:szCs w:val="21"/>
                <w:lang w:val="en-US" w:eastAsia="zh-CN" w:bidi="ar"/>
              </w:rPr>
              <w:t>31</w:t>
            </w:r>
            <w:r>
              <w:rPr>
                <w:rFonts w:hint="default" w:ascii="Times New Roman" w:hAnsi="Times New Roman" w:eastAsia="宋体" w:cs="Times New Roman"/>
                <w:b/>
                <w:bCs/>
                <w:color w:val="auto"/>
                <w:spacing w:val="0"/>
                <w:kern w:val="21"/>
                <w:position w:val="0"/>
                <w:sz w:val="21"/>
                <w:szCs w:val="21"/>
                <w:lang w:bidi="ar"/>
              </w:rPr>
              <w:t>号</w:t>
            </w:r>
            <w:r>
              <w:rPr>
                <w:rFonts w:hint="eastAsia" w:ascii="Times New Roman" w:hAnsi="Times New Roman" w:eastAsia="宋体" w:cs="Times New Roman"/>
                <w:b/>
                <w:bCs/>
                <w:color w:val="auto"/>
                <w:spacing w:val="0"/>
                <w:kern w:val="21"/>
                <w:position w:val="0"/>
                <w:sz w:val="21"/>
                <w:szCs w:val="21"/>
                <w:lang w:val="en-US" w:eastAsia="zh-CN" w:bidi="ar"/>
              </w:rPr>
              <w:t>的符合性分析</w:t>
            </w:r>
          </w:p>
          <w:tbl>
            <w:tblPr>
              <w:tblStyle w:val="28"/>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40"/>
              <w:gridCol w:w="4860"/>
              <w:gridCol w:w="2763"/>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
                      <w:color w:val="auto"/>
                      <w:sz w:val="18"/>
                      <w:szCs w:val="18"/>
                      <w:lang w:val="en-US" w:eastAsia="zh-CN"/>
                    </w:rPr>
                  </w:pPr>
                  <w:r>
                    <w:rPr>
                      <w:rFonts w:hint="eastAsia"/>
                      <w:b/>
                      <w:color w:val="auto"/>
                      <w:sz w:val="18"/>
                      <w:szCs w:val="18"/>
                      <w:lang w:val="en-US" w:eastAsia="zh-CN"/>
                    </w:rPr>
                    <w:t>管控要求</w:t>
                  </w:r>
                </w:p>
              </w:tc>
              <w:tc>
                <w:tcPr>
                  <w:tcW w:w="486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auto"/>
                      <w:sz w:val="18"/>
                      <w:szCs w:val="18"/>
                    </w:rPr>
                  </w:pPr>
                  <w:r>
                    <w:rPr>
                      <w:rFonts w:hint="eastAsia"/>
                      <w:b/>
                      <w:color w:val="auto"/>
                      <w:sz w:val="18"/>
                      <w:szCs w:val="18"/>
                      <w:lang w:val="en-US" w:eastAsia="zh-CN"/>
                    </w:rPr>
                    <w:t>管控单元总体</w:t>
                  </w:r>
                  <w:r>
                    <w:rPr>
                      <w:b/>
                      <w:color w:val="auto"/>
                      <w:sz w:val="18"/>
                      <w:szCs w:val="18"/>
                    </w:rPr>
                    <w:t>要求</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auto"/>
                      <w:sz w:val="18"/>
                      <w:szCs w:val="18"/>
                    </w:rPr>
                  </w:pPr>
                  <w:r>
                    <w:rPr>
                      <w:b/>
                      <w:color w:val="auto"/>
                      <w:sz w:val="18"/>
                      <w:szCs w:val="18"/>
                    </w:rPr>
                    <w:t>本项目情况</w:t>
                  </w:r>
                </w:p>
              </w:tc>
              <w:tc>
                <w:tcPr>
                  <w:tcW w:w="597"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
                      <w:color w:val="auto"/>
                      <w:sz w:val="18"/>
                      <w:szCs w:val="18"/>
                      <w:lang w:val="en-US" w:eastAsia="zh-CN"/>
                    </w:rPr>
                  </w:pPr>
                  <w:r>
                    <w:rPr>
                      <w:rFonts w:hint="eastAsia"/>
                      <w:b/>
                      <w:color w:val="auto"/>
                      <w:sz w:val="18"/>
                      <w:szCs w:val="18"/>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0" w:type="dxa"/>
                  <w:vMerge w:val="restart"/>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达州市总体生态环境管控要求</w:t>
                  </w:r>
                </w:p>
              </w:tc>
              <w:tc>
                <w:tcPr>
                  <w:tcW w:w="4860" w:type="dxa"/>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olor w:val="auto"/>
                      <w:sz w:val="18"/>
                      <w:szCs w:val="18"/>
                      <w:lang w:eastAsia="zh-CN"/>
                    </w:rPr>
                  </w:pPr>
                  <w:r>
                    <w:rPr>
                      <w:rFonts w:hint="eastAsia" w:ascii="Times New Roman" w:hAnsi="Times New Roman"/>
                      <w:color w:val="auto"/>
                      <w:sz w:val="18"/>
                      <w:szCs w:val="18"/>
                    </w:rPr>
                    <w:t>1.长江干支流岸线 1千米范围内，不得新建、扩建化工园区和化工项目</w:t>
                  </w:r>
                  <w:r>
                    <w:rPr>
                      <w:rFonts w:hint="eastAsia" w:ascii="Times New Roman" w:hAnsi="Times New Roman"/>
                      <w:color w:val="auto"/>
                      <w:sz w:val="18"/>
                      <w:szCs w:val="18"/>
                      <w:lang w:eastAsia="zh-CN"/>
                    </w:rPr>
                    <w:t>。</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本项目不属于化工项目</w:t>
                  </w:r>
                </w:p>
              </w:tc>
              <w:tc>
                <w:tcPr>
                  <w:tcW w:w="597" w:type="dxa"/>
                  <w:vMerge w:val="restar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rFonts w:hint="eastAsia"/>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18"/>
                      <w:szCs w:val="18"/>
                    </w:rPr>
                  </w:pPr>
                  <w:r>
                    <w:rPr>
                      <w:rFonts w:hint="eastAsia" w:ascii="Times New Roman" w:hAnsi="Times New Roman"/>
                      <w:color w:val="auto"/>
                      <w:sz w:val="18"/>
                      <w:szCs w:val="18"/>
                    </w:rPr>
                    <w:t>2.严控产业转移环境准入</w:t>
                  </w:r>
                  <w:r>
                    <w:rPr>
                      <w:rFonts w:hint="eastAsia" w:ascii="Times New Roman" w:hAnsi="Times New Roman"/>
                      <w:color w:val="auto"/>
                      <w:sz w:val="18"/>
                      <w:szCs w:val="18"/>
                      <w:lang w:eastAsia="zh-CN"/>
                    </w:rPr>
                    <w:t>。</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本项目不属于产业转移项目。</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18"/>
                      <w:szCs w:val="18"/>
                    </w:rPr>
                  </w:pPr>
                  <w:r>
                    <w:rPr>
                      <w:rFonts w:hint="eastAsia" w:ascii="Times New Roman" w:hAnsi="Times New Roman"/>
                      <w:color w:val="auto"/>
                      <w:sz w:val="18"/>
                      <w:szCs w:val="18"/>
                    </w:rPr>
                    <w:t>3.引进项目应符合园区规划环评和区域产业准入清单要求</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本项目满足园区规划环评和区域产业准入清单要求。</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18"/>
                      <w:szCs w:val="18"/>
                    </w:rPr>
                  </w:pPr>
                  <w:r>
                    <w:rPr>
                      <w:rFonts w:hint="eastAsia" w:ascii="Times New Roman" w:hAnsi="Times New Roman"/>
                      <w:color w:val="auto"/>
                      <w:sz w:val="18"/>
                      <w:szCs w:val="18"/>
                    </w:rPr>
                    <w:t>4.造纸等产业污染治理和环境管理应达到国内先进水平。优化制浆造纸产业布局，提升行业清洁生产水平，推动制浆造纸工业向节能、环保、绿色方向发展。</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本项目不属于造纸项目。</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18"/>
                      <w:szCs w:val="18"/>
                    </w:rPr>
                  </w:pPr>
                  <w:r>
                    <w:rPr>
                      <w:rFonts w:hint="eastAsia" w:ascii="Times New Roman" w:hAnsi="Times New Roman"/>
                      <w:color w:val="auto"/>
                      <w:sz w:val="18"/>
                      <w:szCs w:val="18"/>
                    </w:rPr>
                    <w:t>5.深化成都平原、川南、川东北地区大气污染联防联控工作机制加强川渝地区联防联控。强化重污染天气区域应急联动机制，深化区域重污染</w:t>
                  </w:r>
                  <w:r>
                    <w:rPr>
                      <w:rFonts w:hint="eastAsia" w:ascii="Times New Roman" w:hAnsi="Times New Roman"/>
                      <w:color w:val="auto"/>
                      <w:sz w:val="18"/>
                      <w:szCs w:val="18"/>
                      <w:lang w:val="en-US" w:eastAsia="zh-CN"/>
                    </w:rPr>
                    <w:t>天</w:t>
                  </w:r>
                  <w:r>
                    <w:rPr>
                      <w:rFonts w:hint="eastAsia" w:ascii="Times New Roman" w:hAnsi="Times New Roman"/>
                      <w:color w:val="auto"/>
                      <w:sz w:val="18"/>
                      <w:szCs w:val="18"/>
                    </w:rPr>
                    <w:t>气联合应对。</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w:t>
                  </w:r>
                  <w:r>
                    <w:rPr>
                      <w:color w:val="auto"/>
                      <w:sz w:val="18"/>
                      <w:szCs w:val="18"/>
                    </w:rPr>
                    <w:t>项目</w:t>
                  </w:r>
                  <w:r>
                    <w:rPr>
                      <w:rFonts w:hint="eastAsia"/>
                      <w:color w:val="auto"/>
                      <w:sz w:val="18"/>
                      <w:szCs w:val="18"/>
                      <w:lang w:val="en-US" w:eastAsia="zh-CN"/>
                    </w:rPr>
                    <w:t>营运期无废气排放，本项目已建成，施工期落实了重污染天气相关大气污染防治措施。</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olor w:val="auto"/>
                      <w:sz w:val="18"/>
                      <w:szCs w:val="18"/>
                    </w:rPr>
                  </w:pPr>
                  <w:r>
                    <w:rPr>
                      <w:rFonts w:hint="eastAsia" w:ascii="Times New Roman" w:hAnsi="Times New Roman"/>
                      <w:color w:val="auto"/>
                      <w:sz w:val="18"/>
                      <w:szCs w:val="18"/>
                    </w:rPr>
                    <w:t>6.钢铁行业项目新建应参考达州市“三线一单”生态环境分区管控中钢铁行业资源环境绩效准入门槛</w:t>
                  </w:r>
                  <w:r>
                    <w:rPr>
                      <w:rFonts w:hint="eastAsia" w:ascii="Times New Roman" w:hAnsi="Times New Roman"/>
                      <w:color w:val="auto"/>
                      <w:sz w:val="18"/>
                      <w:szCs w:val="18"/>
                      <w:lang w:eastAsia="zh-CN"/>
                    </w:rPr>
                    <w:t>；</w:t>
                  </w:r>
                  <w:r>
                    <w:rPr>
                      <w:rFonts w:hint="eastAsia" w:ascii="Times New Roman" w:hAnsi="Times New Roman"/>
                      <w:color w:val="auto"/>
                      <w:sz w:val="18"/>
                      <w:szCs w:val="18"/>
                    </w:rPr>
                    <w:t>达钢等高污染企业限期退城入园普光气田开发污染防治和环境管理等方面要达国内先进水平</w:t>
                  </w:r>
                  <w:r>
                    <w:rPr>
                      <w:rFonts w:hint="eastAsia" w:ascii="Times New Roman" w:hAnsi="Times New Roman"/>
                      <w:color w:val="auto"/>
                      <w:sz w:val="18"/>
                      <w:szCs w:val="18"/>
                      <w:lang w:eastAsia="zh-CN"/>
                    </w:rPr>
                    <w:t>。</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本项目不属于钢铁行业项目。</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40" w:type="dxa"/>
                  <w:vMerge w:val="restart"/>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lang w:val="en-US" w:eastAsia="zh-CN"/>
                    </w:rPr>
                    <w:t>大竹县</w:t>
                  </w:r>
                  <w:r>
                    <w:rPr>
                      <w:rFonts w:ascii="Times New Roman" w:hAnsi="Times New Roman"/>
                      <w:color w:val="auto"/>
                      <w:sz w:val="18"/>
                      <w:szCs w:val="18"/>
                    </w:rPr>
                    <w:t>总体生态环境管控要求</w:t>
                  </w:r>
                </w:p>
              </w:tc>
              <w:tc>
                <w:tcPr>
                  <w:tcW w:w="486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olor w:val="auto"/>
                      <w:sz w:val="18"/>
                      <w:szCs w:val="18"/>
                    </w:rPr>
                  </w:pPr>
                  <w:r>
                    <w:rPr>
                      <w:rFonts w:hint="eastAsia" w:ascii="Times New Roman" w:hAnsi="Times New Roman"/>
                      <w:color w:val="auto"/>
                      <w:sz w:val="18"/>
                      <w:szCs w:val="18"/>
                    </w:rPr>
                    <w:t>1.优化中心城区产业布局，引进项目应符合园区规划环评和区域产业准入清单要求。</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项目满足园区规划环评和区域产业准入清单要求。</w:t>
                  </w:r>
                </w:p>
              </w:tc>
              <w:tc>
                <w:tcPr>
                  <w:tcW w:w="597" w:type="dxa"/>
                  <w:vMerge w:val="restar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7" w:hRule="atLeast"/>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olor w:val="auto"/>
                      <w:sz w:val="18"/>
                      <w:szCs w:val="18"/>
                    </w:rPr>
                  </w:pPr>
                  <w:r>
                    <w:rPr>
                      <w:rFonts w:hint="eastAsia" w:ascii="Times New Roman" w:hAnsi="Times New Roman"/>
                      <w:color w:val="auto"/>
                      <w:sz w:val="18"/>
                      <w:szCs w:val="18"/>
                    </w:rPr>
                    <w:t>2.加强污水处理等基础设施建设。</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rFonts w:hint="eastAsia"/>
                      <w:color w:val="auto"/>
                      <w:sz w:val="18"/>
                      <w:szCs w:val="18"/>
                      <w:lang w:val="en-US" w:eastAsia="zh-CN"/>
                    </w:rPr>
                    <w:t>本项目不属于污水处理项目。</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18"/>
                      <w:szCs w:val="18"/>
                      <w:lang w:val="en-US" w:eastAsia="zh-CN"/>
                    </w:rPr>
                  </w:pPr>
                </w:p>
              </w:tc>
              <w:tc>
                <w:tcPr>
                  <w:tcW w:w="486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olor w:val="auto"/>
                      <w:sz w:val="18"/>
                      <w:szCs w:val="18"/>
                    </w:rPr>
                  </w:pPr>
                  <w:r>
                    <w:rPr>
                      <w:rFonts w:hint="eastAsia" w:ascii="Times New Roman" w:hAnsi="Times New Roman"/>
                      <w:color w:val="auto"/>
                      <w:sz w:val="18"/>
                      <w:szCs w:val="18"/>
                    </w:rPr>
                    <w:t>3.完善城镇生活污水源头减量，严格管控农业面源污染，加强规模以上畜禽养殖污染治理，鼓励工业企业开展尾水回收利用。</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本项目不属于农业面源污染项目，营运期无废水排放。</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50" w:hRule="atLeast"/>
                <w:jc w:val="center"/>
              </w:trPr>
              <w:tc>
                <w:tcPr>
                  <w:tcW w:w="640" w:type="dxa"/>
                  <w:vMerge w:val="continue"/>
                  <w:tcBorders>
                    <w:tl2br w:val="nil"/>
                    <w:tr2bl w:val="nil"/>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color w:val="auto"/>
                      <w:sz w:val="18"/>
                      <w:szCs w:val="18"/>
                    </w:rPr>
                  </w:pPr>
                </w:p>
              </w:tc>
              <w:tc>
                <w:tcPr>
                  <w:tcW w:w="486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color w:val="auto"/>
                      <w:sz w:val="18"/>
                      <w:szCs w:val="18"/>
                    </w:rPr>
                  </w:pPr>
                  <w:r>
                    <w:rPr>
                      <w:rFonts w:hint="eastAsia" w:ascii="Times New Roman" w:hAnsi="Times New Roman"/>
                      <w:color w:val="auto"/>
                      <w:sz w:val="18"/>
                      <w:szCs w:val="18"/>
                    </w:rPr>
                    <w:t>4.推进东柳河、铜钵河、黄滩河、东河等水污染防治、水生态修复、水安全保障、湿地资源保护等流域综合治理。加强矿山矿企的环境治理和生态修复，大力查处非法开采和破坏矿山地质环境行为。</w:t>
                  </w:r>
                </w:p>
              </w:tc>
              <w:tc>
                <w:tcPr>
                  <w:tcW w:w="27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本项目不属于生态修复和流域治理项目，不属于矿山开采项目。</w:t>
                  </w:r>
                </w:p>
              </w:tc>
              <w:tc>
                <w:tcPr>
                  <w:tcW w:w="597" w:type="dxa"/>
                  <w:vMerge w:val="continue"/>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p>
              </w:tc>
            </w:tr>
          </w:tbl>
          <w:p>
            <w:pPr>
              <w:keepNext w:val="0"/>
              <w:keepLines w:val="0"/>
              <w:pageBreakBefore w:val="0"/>
              <w:widowControl w:val="0"/>
              <w:numPr>
                <w:ilvl w:val="0"/>
                <w:numId w:val="6"/>
              </w:numPr>
              <w:kinsoku/>
              <w:wordWrap/>
              <w:topLinePunct w:val="0"/>
              <w:autoSpaceDE w:val="0"/>
              <w:autoSpaceDN w:val="0"/>
              <w:bidi w:val="0"/>
              <w:adjustRightInd/>
              <w:snapToGrid/>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与生态保护红线位置关系</w:t>
            </w:r>
          </w:p>
          <w:p>
            <w:pPr>
              <w:keepNext w:val="0"/>
              <w:keepLines w:val="0"/>
              <w:pageBreakBefore w:val="0"/>
              <w:widowControl w:val="0"/>
              <w:kinsoku/>
              <w:wordWrap/>
              <w:topLinePunct w:val="0"/>
              <w:autoSpaceDE w:val="0"/>
              <w:autoSpaceDN w:val="0"/>
              <w:bidi w:val="0"/>
              <w:adjustRightInd/>
              <w:snapToGrid/>
              <w:spacing w:line="360" w:lineRule="auto"/>
              <w:ind w:firstLine="420" w:firstLineChars="200"/>
              <w:jc w:val="left"/>
              <w:textAlignment w:val="auto"/>
              <w:rPr>
                <w:rFonts w:hint="eastAsia"/>
                <w:b w:val="0"/>
                <w:bCs w:val="0"/>
                <w:color w:val="auto"/>
                <w:kern w:val="0"/>
                <w:sz w:val="21"/>
                <w:szCs w:val="21"/>
                <w:lang w:val="en-US" w:eastAsia="zh-CN"/>
              </w:rPr>
            </w:pPr>
            <w:r>
              <w:rPr>
                <w:rFonts w:hint="eastAsia" w:ascii="Times New Roman" w:hAnsi="Times New Roman" w:eastAsia="宋体"/>
                <w:b w:val="0"/>
                <w:bCs w:val="0"/>
                <w:color w:val="auto"/>
                <w:kern w:val="0"/>
                <w:sz w:val="21"/>
                <w:szCs w:val="21"/>
              </w:rPr>
              <w:t>本项目位于</w:t>
            </w:r>
            <w:r>
              <w:rPr>
                <w:rFonts w:hint="eastAsia" w:cs="Times New Roman"/>
                <w:color w:val="auto"/>
                <w:spacing w:val="0"/>
                <w:kern w:val="21"/>
                <w:position w:val="0"/>
                <w:sz w:val="21"/>
                <w:szCs w:val="21"/>
                <w:lang w:val="en-US" w:eastAsia="zh-CN"/>
              </w:rPr>
              <w:t>大竹经济开发区</w:t>
            </w:r>
            <w:r>
              <w:rPr>
                <w:rFonts w:hint="eastAsia"/>
                <w:b w:val="0"/>
                <w:bCs w:val="0"/>
                <w:color w:val="auto"/>
                <w:kern w:val="0"/>
                <w:sz w:val="21"/>
                <w:szCs w:val="21"/>
                <w:lang w:val="en-US" w:eastAsia="zh-CN"/>
              </w:rPr>
              <w:t>，本项目与达州市生态红线位置关系如下：</w:t>
            </w: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color w:val="auto"/>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b w:val="0"/>
                <w:bCs w:val="0"/>
                <w:color w:val="auto"/>
                <w:kern w:val="0"/>
                <w:sz w:val="24"/>
                <w:szCs w:val="24"/>
                <w:lang w:eastAsia="zh-CN"/>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989965</wp:posOffset>
                      </wp:positionH>
                      <wp:positionV relativeFrom="paragraph">
                        <wp:posOffset>2395220</wp:posOffset>
                      </wp:positionV>
                      <wp:extent cx="836930" cy="278765"/>
                      <wp:effectExtent l="6350" t="6350" r="58420" b="273685"/>
                      <wp:wrapNone/>
                      <wp:docPr id="42" name="线形标注 1 42"/>
                      <wp:cNvGraphicFramePr/>
                      <a:graphic xmlns:a="http://schemas.openxmlformats.org/drawingml/2006/main">
                        <a:graphicData uri="http://schemas.microsoft.com/office/word/2010/wordprocessingShape">
                          <wps:wsp>
                            <wps:cNvSpPr/>
                            <wps:spPr>
                              <a:xfrm>
                                <a:off x="0" y="0"/>
                                <a:ext cx="836930" cy="278765"/>
                              </a:xfrm>
                              <a:prstGeom prst="borderCallout1">
                                <a:avLst>
                                  <a:gd name="adj1" fmla="val 102277"/>
                                  <a:gd name="adj2" fmla="val 79893"/>
                                  <a:gd name="adj3" fmla="val 192938"/>
                                  <a:gd name="adj4" fmla="val 10529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sz w:val="18"/>
                                      <w:szCs w:val="21"/>
                                      <w:lang w:val="en-US" w:eastAsia="zh-CN"/>
                                    </w:rPr>
                                  </w:pPr>
                                  <w:r>
                                    <w:rPr>
                                      <w:rFonts w:hint="eastAsia"/>
                                      <w:color w:val="FF0000"/>
                                      <w:sz w:val="18"/>
                                      <w:szCs w:val="21"/>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77.95pt;margin-top:188.6pt;height:21.95pt;width:65.9pt;z-index:251662336;v-text-anchor:middle;mso-width-relative:page;mso-height-relative:page;" filled="f" stroked="t" coordsize="21600,21600" o:gfxdata="UEsDBAoAAAAAAIdO4kAAAAAAAAAAAAAAAAAEAAAAZHJzL1BLAwQUAAAACACHTuJA/7ZbbNkAAAAL&#10;AQAADwAAAGRycy9kb3ducmV2LnhtbE2PMU/DMBCFdyT+g3VIbNRJaJsS4lQIqVsZWujA5sRHEhGf&#10;I9tJC7+eY4Lx6T699125vdhBzOhD70hBukhAIDXO9NQqeHvd3W1AhKjJ6MERKvjCANvq+qrUhXFn&#10;OuB8jK3gEgqFVtDFOBZShqZDq8PCjUh8+3De6sjRt9J4feZyO8gsSdbS6p54odMjPnfYfB4nq+A0&#10;PRE1y8P7enbf+/0L1qed9Erd3qTJI4iIl/gHw68+q0PFTrWbyAQxcF6tHhhVcJ/nGQgmsk2eg6gV&#10;LLM0BVmV8v8P1Q9QSwMEFAAAAAgAh07iQEIqramjAgAANwUAAA4AAABkcnMvZTJvRG9jLnhtbK1U&#10;zW4TMRC+I/EOlu90f5I22aibKkoVhFRBpYI4O147a+Q/bCeb8gK8BuLEnRsS4mkor8HYu21TygmR&#10;gzOzM56Z75sZn57tlUQ75rwwusbFUY4R09Q0Qm9q/Ob16tkUIx+Ibog0mtX4mnl8Nn/65LSzM1aa&#10;1siGOQRBtJ91tsZtCHaWZZ62TBF/ZCzTYOTGKRJAdZuscaSD6EpmZZ6fZJ1xjXWGMu/h63lvxPMU&#10;n3NGwyvOPQtI1hhqC+l06VzHM5ufktnGEdsKOpRB/qEKRYSGpHehzkkgaOvEo1BKUGe84eGIGpUZ&#10;zgVlCQOgKfI/0Fy1xLKEBcjx9o4m///C0pe7S4dEU+NxiZEmCnr069uPn98/33z6ePP1CyoQGICl&#10;zvoZOF/ZSzdoHsQIec+div8ABu0Ts9d3zLJ9QBQ+Tkcn1Qj4p2AqJ9PJyXGMmd1fts6H58woFIUa&#10;r6GrzC2JlGYbisQs2V34kChuhjpJ867AiCsJHdsRiYq8LCeToaUHTgDs3mlSTavRY5/RoU9RldVo&#10;+thp/MApPy6rlA1gDMWBdAskVqrNSkiZRkxq1MF+lJM8skBg0rkkAURlgXuvNxgRuYEVosEluN5I&#10;0cTrMZB3m/VSOgQoa7xa5fAb+HvgFnOfE9/2fsnUg1AiwJZJoaAT8fLtbamhCbGzfS+jFPbr/dDg&#10;tWmuYTic6bfGW7oSkOGC+HBJHJAOUGD1wys4uDSAzwwSRq1xH/72PfrD9IIVow7WDrC/3xLHMJIv&#10;NMx1VYzHcU+TMj6elKC4Q8v60KK3ammAEhgDqC6J0T/IW5E7o97CLC1iVjARTSF3z/KgLEP/HMAb&#10;Q9likdxgNy0JF/rK0hi87+ViGwwXIc5tJKpnZ1BgO9M4Dy9JXP9DPXndv3f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2W2zZAAAACwEAAA8AAAAAAAAAAQAgAAAAIgAAAGRycy9kb3ducmV2Lnht&#10;bFBLAQIUABQAAAAIAIdO4kBCKq2powIAADcFAAAOAAAAAAAAAAEAIAAAACgBAABkcnMvZTJvRG9j&#10;LnhtbFBLBQYAAAAABgAGAFkBAAA9BgAAAAA=&#10;" adj="22744,41675,17257,22092">
                      <v:fill on="f" focussize="0,0"/>
                      <v:stroke weight="1pt" color="#FF0000 [2404]" miterlimit="8" joinstyle="miter"/>
                      <v:imagedata o:title=""/>
                      <o:lock v:ext="edit" aspectratio="f"/>
                      <v:textbox>
                        <w:txbxContent>
                          <w:p>
                            <w:pPr>
                              <w:jc w:val="center"/>
                              <w:rPr>
                                <w:rFonts w:hint="default" w:eastAsia="宋体"/>
                                <w:color w:val="FF0000"/>
                                <w:sz w:val="18"/>
                                <w:szCs w:val="21"/>
                                <w:lang w:val="en-US" w:eastAsia="zh-CN"/>
                              </w:rPr>
                            </w:pPr>
                            <w:r>
                              <w:rPr>
                                <w:rFonts w:hint="eastAsia"/>
                                <w:color w:val="FF0000"/>
                                <w:sz w:val="18"/>
                                <w:szCs w:val="21"/>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1842135</wp:posOffset>
                      </wp:positionH>
                      <wp:positionV relativeFrom="paragraph">
                        <wp:posOffset>2898775</wp:posOffset>
                      </wp:positionV>
                      <wp:extent cx="36195" cy="36195"/>
                      <wp:effectExtent l="12700" t="12700" r="14605" b="14605"/>
                      <wp:wrapNone/>
                      <wp:docPr id="12" name="等腰三角形 12"/>
                      <wp:cNvGraphicFramePr/>
                      <a:graphic xmlns:a="http://schemas.openxmlformats.org/drawingml/2006/main">
                        <a:graphicData uri="http://schemas.microsoft.com/office/word/2010/wordprocessingShape">
                          <wps:wsp>
                            <wps:cNvSpPr/>
                            <wps:spPr>
                              <a:xfrm>
                                <a:off x="0" y="0"/>
                                <a:ext cx="36195" cy="3619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5.05pt;margin-top:228.25pt;height:2.85pt;width:2.85pt;z-index:251661312;v-text-anchor:middle;mso-width-relative:page;mso-height-relative:page;" fillcolor="#FF0000" filled="t" stroked="t" coordsize="21600,21600" o:gfxdata="UEsDBAoAAAAAAIdO4kAAAAAAAAAAAAAAAAAEAAAAZHJzL1BLAwQUAAAACACHTuJA7T/2EdsAAAAL&#10;AQAADwAAAGRycy9kb3ducmV2LnhtbE2PwU7DMAyG70i8Q2QkbixpRLu1azoxJCQ0NKENLrtlTWgr&#10;GqdqsnV7e8wJjrY//f7+cnVxPTvbMXQeFSQzAcxi7U2HjYLPj5eHBbAQNRrde7QKrjbAqrq9KXVh&#10;/IQ7e97HhlEIhkIraGMcCs5D3Vqnw8wPFun25UenI41jw82oJwp3PZdCZNzpDulDqwf73Nr6e39y&#10;Ct7XT+vDNn/dbK6Jwfm0e3OLOFfq/i4RS2DRXuIfDL/6pA4VOR39CU1gvQKZi4RQBY9plgIjQuYp&#10;lTnSJpMSeFXy/x2qH1BLAwQUAAAACACHTuJAvTjfX2ACAACyBAAADgAAAGRycy9lMm9Eb2MueG1s&#10;rVS9jhMxEO6ReAfLPdkk3G90m1OUUxDSiTvpQNQTr71ryX/YTjahp7iWR6ChQqKk4W1A3GMw9iaX&#10;HFAgxBbeGc/s/HzzzZ6dr7QiS+6DtKakg16fEm6YraSpS/rq5ezJCSUhgqlAWcNLuuaBno8fPzpr&#10;3YgPbWNVxT3BICaMWlfSJkY3KorAGq4h9KzjBo3Ceg0RVV8XlYcWo2tVDPv9o6K1vnLeMh4C3l50&#10;RjrO8YXgLF4JEXgkqqRYW8ynz+c8ncX4DEa1B9dItikD/qEKDdJg0vtQFxCBLLz8LZSWzNtgRewx&#10;qwsrhGQ894DdDPq/dHPTgOO5FwQnuHuYwv8Ly14srz2RFc5uSIkBjTP68en27t3nb19u7z6+//71&#10;A0ELwtS6MELvG3ftN1pAMfW8El6nN3ZDVhna9T20fBUJw8unR4PTQ0oYWjoRYxS7T50P8Rm3miSh&#10;pNFLMLVKvcMIlpchdu5bt3QdrJLVTCqVFV/Pp8qTJeCcZ7M+PqlmzPDATRnSpk6P0UwYIN+Egoii&#10;dohAMDUloGokMos+537wdfi7JKnICwhNV0yO0NFMy4hcV1KX9CRVuC1RGaw0wdsBmqS5rdY4F287&#10;wgbHZhLDXkKI1+CRoVg/bl28wkMoi03ZjURJY/3bP90nfyQOWilpkfHY8JsFeE6Jem6QUqeDg4O0&#10;Ilk5ODweouL3LfN9i1noqUWwB7jfjmUx+Ue1FYW3+jUu5yRlRRMYhrk7aDfKNHabiOvN+GSS3XAt&#10;HMRLc+NYCp6Ga+xkEa2QmQQ7dDag4WLkQW+WOG3evp69dr+a8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P/YR2wAAAAsBAAAPAAAAAAAAAAEAIAAAACIAAABkcnMvZG93bnJldi54bWxQSwECFAAU&#10;AAAACACHTuJAvTjfX2ACAACyBAAADgAAAAAAAAABACAAAAAqAQAAZHJzL2Uyb0RvYy54bWxQSwUG&#10;AAAAAAYABgBZAQAA/AUAAAAA&#10;" adj="10800">
                      <v:fill on="t" focussize="0,0"/>
                      <v:stroke weight="1pt" color="#FF0000 [2404]" miterlimit="8" joinstyle="miter"/>
                      <v:imagedata o:title=""/>
                      <o:lock v:ext="edit" aspectratio="f"/>
                    </v:shape>
                  </w:pict>
                </mc:Fallback>
              </mc:AlternateContent>
            </w:r>
            <w:r>
              <w:rPr>
                <w:rFonts w:hint="eastAsia" w:ascii="Times New Roman" w:hAnsi="Times New Roman" w:eastAsia="宋体"/>
                <w:b w:val="0"/>
                <w:bCs w:val="0"/>
                <w:color w:val="auto"/>
                <w:kern w:val="0"/>
                <w:sz w:val="24"/>
                <w:szCs w:val="24"/>
                <w:lang w:eastAsia="zh-CN"/>
              </w:rPr>
              <w:drawing>
                <wp:inline distT="0" distB="0" distL="114300" distR="114300">
                  <wp:extent cx="5298440" cy="3747135"/>
                  <wp:effectExtent l="0" t="0" r="10160" b="12065"/>
                  <wp:docPr id="4" name="图片 4" descr="74499fed36de489a8cf29759cdfc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499fed36de489a8cf29759cdfce69"/>
                          <pic:cNvPicPr>
                            <a:picLocks noChangeAspect="1"/>
                          </pic:cNvPicPr>
                        </pic:nvPicPr>
                        <pic:blipFill>
                          <a:blip r:embed="rId8"/>
                          <a:srcRect l="2453" t="3790" r="2647" b="10750"/>
                          <a:stretch>
                            <a:fillRect/>
                          </a:stretch>
                        </pic:blipFill>
                        <pic:spPr>
                          <a:xfrm>
                            <a:off x="0" y="0"/>
                            <a:ext cx="5298440" cy="37471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图1-</w:t>
            </w:r>
            <w:r>
              <w:rPr>
                <w:rFonts w:hint="eastAsia" w:cs="Times New Roman"/>
                <w:b/>
                <w:bCs/>
                <w:color w:val="auto"/>
                <w:kern w:val="0"/>
                <w:sz w:val="21"/>
                <w:szCs w:val="21"/>
                <w:lang w:val="en-US" w:eastAsia="zh-CN"/>
              </w:rPr>
              <w:t>1</w:t>
            </w:r>
            <w:r>
              <w:rPr>
                <w:rFonts w:hint="eastAsia" w:ascii="Times New Roman" w:hAnsi="Times New Roman" w:eastAsia="宋体" w:cs="Times New Roman"/>
                <w:b/>
                <w:bCs/>
                <w:color w:val="auto"/>
                <w:kern w:val="0"/>
                <w:sz w:val="21"/>
                <w:szCs w:val="21"/>
                <w:lang w:val="en-US" w:eastAsia="zh-CN"/>
              </w:rPr>
              <w:t xml:space="preserve"> 项目所在区域生态保护红线情况示意图</w:t>
            </w:r>
          </w:p>
          <w:p>
            <w:pPr>
              <w:keepNext w:val="0"/>
              <w:keepLines w:val="0"/>
              <w:pageBreakBefore w:val="0"/>
              <w:widowControl w:val="0"/>
              <w:kinsoku/>
              <w:wordWrap/>
              <w:topLinePunct w:val="0"/>
              <w:autoSpaceDE w:val="0"/>
              <w:autoSpaceDN w:val="0"/>
              <w:bidi w:val="0"/>
              <w:adjustRightInd/>
              <w:snapToGrid/>
              <w:spacing w:line="360" w:lineRule="auto"/>
              <w:ind w:firstLine="420" w:firstLineChars="200"/>
              <w:jc w:val="left"/>
              <w:textAlignment w:val="auto"/>
              <w:rPr>
                <w:rFonts w:hint="eastAsia"/>
                <w:b w:val="0"/>
                <w:bCs w:val="0"/>
                <w:color w:val="auto"/>
                <w:kern w:val="0"/>
                <w:sz w:val="21"/>
                <w:szCs w:val="21"/>
                <w:lang w:val="en-US" w:eastAsia="zh-CN"/>
              </w:rPr>
            </w:pPr>
            <w:r>
              <w:rPr>
                <w:color w:val="auto"/>
              </w:rPr>
              <w:drawing>
                <wp:anchor distT="0" distB="0" distL="114300" distR="114300" simplePos="0" relativeHeight="251755520" behindDoc="1" locked="0" layoutInCell="1" allowOverlap="1">
                  <wp:simplePos x="0" y="0"/>
                  <wp:positionH relativeFrom="column">
                    <wp:posOffset>69215</wp:posOffset>
                  </wp:positionH>
                  <wp:positionV relativeFrom="paragraph">
                    <wp:posOffset>507365</wp:posOffset>
                  </wp:positionV>
                  <wp:extent cx="5571490" cy="3192145"/>
                  <wp:effectExtent l="0" t="0" r="3810" b="825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5571490" cy="3192145"/>
                          </a:xfrm>
                          <a:prstGeom prst="rect">
                            <a:avLst/>
                          </a:prstGeom>
                          <a:noFill/>
                          <a:ln>
                            <a:noFill/>
                          </a:ln>
                        </pic:spPr>
                      </pic:pic>
                    </a:graphicData>
                  </a:graphic>
                </wp:anchor>
              </w:drawing>
            </w:r>
            <w:r>
              <w:rPr>
                <w:rFonts w:hint="eastAsia"/>
                <w:b w:val="0"/>
                <w:bCs w:val="0"/>
                <w:color w:val="auto"/>
                <w:kern w:val="0"/>
                <w:sz w:val="21"/>
                <w:szCs w:val="21"/>
                <w:lang w:val="en-US" w:eastAsia="zh-CN"/>
              </w:rPr>
              <w:t>同时，根据四川省生态环境厅“三线一单”系统查询结果可知，本项目不涉及生态保护红线，查询结果截图如下：</w:t>
            </w: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1938655</wp:posOffset>
                      </wp:positionH>
                      <wp:positionV relativeFrom="paragraph">
                        <wp:posOffset>7620</wp:posOffset>
                      </wp:positionV>
                      <wp:extent cx="899160" cy="278765"/>
                      <wp:effectExtent l="6350" t="6350" r="8890" b="464185"/>
                      <wp:wrapNone/>
                      <wp:docPr id="35" name="线形标注 1 35"/>
                      <wp:cNvGraphicFramePr/>
                      <a:graphic xmlns:a="http://schemas.openxmlformats.org/drawingml/2006/main">
                        <a:graphicData uri="http://schemas.microsoft.com/office/word/2010/wordprocessingShape">
                          <wps:wsp>
                            <wps:cNvSpPr/>
                            <wps:spPr>
                              <a:xfrm>
                                <a:off x="0" y="0"/>
                                <a:ext cx="899160" cy="278765"/>
                              </a:xfrm>
                              <a:prstGeom prst="borderCallout1">
                                <a:avLst>
                                  <a:gd name="adj1" fmla="val 104100"/>
                                  <a:gd name="adj2" fmla="val 50988"/>
                                  <a:gd name="adj3" fmla="val 263325"/>
                                  <a:gd name="adj4" fmla="val 32485"/>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FF00"/>
                                      <w:sz w:val="18"/>
                                      <w:szCs w:val="21"/>
                                      <w:lang w:val="en-US" w:eastAsia="zh-CN"/>
                                    </w:rPr>
                                  </w:pPr>
                                  <w:r>
                                    <w:rPr>
                                      <w:rFonts w:hint="eastAsia"/>
                                      <w:color w:val="FFFF00"/>
                                      <w:sz w:val="18"/>
                                      <w:szCs w:val="21"/>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52.65pt;margin-top:0.6pt;height:21.95pt;width:70.8pt;z-index:251660288;v-text-anchor:middle;mso-width-relative:page;mso-height-relative:page;" filled="f" stroked="t" coordsize="21600,21600" o:gfxdata="UEsDBAoAAAAAAIdO4kAAAAAAAAAAAAAAAAAEAAAAZHJzL1BLAwQUAAAACACHTuJAIRpk7dcAAAAI&#10;AQAADwAAAGRycy9kb3ducmV2LnhtbE2PsU7DMBCGdyTewTokNmonTQqEOB2QYKEDBBiyubGJI+xz&#10;FLtNeXuOiW53+n799129PXnHjmaOY0AJ2UoAM9gHPeIg4eP96eYOWEwKtXIBjYQfE2HbXF7UqtJh&#10;wTdzbNPAqARjpSTYlKaK89hb41Vchckgsa8we5VonQeuZ7VQuXc8F2LDvRqRLlg1mUdr+u/24CWU&#10;y+du9/zqXm6XwupuwC5v+07K66tMPABL5pT+w/CnT+rQkNM+HFBH5iSsRbmmKIEcGPGi2NwD29NQ&#10;ZsCbmp8/0PwCUEsDBBQAAAAIAIdO4kCmupPtpQIAADYFAAAOAAAAZHJzL2Uyb0RvYy54bWytVM1u&#10;EzEQviPxDpbvdH+S5k/dVFGqIKSKViqIs+O1EyP/YTvZlBfgNVBP3LkhIZ6G8hqMvZt2+TkhcnBm&#10;dsYz830z47Pzg5Joz5wXRle4OMkxYpqaWuhNhV+/Wj2bYOQD0TWRRrMK3zKPz+dPn5w1dsZKszWy&#10;Zg5BEO1nja3wNgQ7yzJPt0wRf2Is02DkxikSQHWbrHakgehKZmWej7LGuNo6Q5n38PWiNeJ5is85&#10;o+GKc88CkhWG2kI6XTrX8czmZ2S2ccRuBe3KIP9QhSJCQ9KHUBckELRz4o9QSlBnvOHhhBqVGc4F&#10;ZQkDoCny39DcbIllCQuQ4+0DTf7/haUv99cOibrCg1OMNFHQox9fvn3/enf/8cP950+oQGAAlhrr&#10;Z+B8Y69dp3kQI+QDdyr+Axh0SMzePjDLDgFR+DiZTosR8E/BVI4n41GKmT1ets6H58woFIUKr6Gr&#10;zC2JlGYXisQs2V/6kCiuuzpJ/bbAiCsJHdsTiYp8WOTHlvacyr7TaT6dTLq293wGfZ9yNBiUqUJo&#10;aM9p2HcalMPJEUVXG+A54oiFarMSUqYJkxo1sB7lGOpDlMCgc0kCiMoC9V5vMCJyAxtEg0tovZGi&#10;jtdjIO8266V0CEBWeLXK4RcRQLpf3GLuC+K3rV8ytUCVCLBkUihoRLx8vC01BImNbVsZpXBYH7r+&#10;rk19C7PhTLs03tKVgAyXxIdr4oBzgAKbH67g4NIAPtNJGG2Ne/+379EfhhesGDWwdYD93Y44hpF8&#10;oWGsp8VwGNc0KcPTcQmK61vWfYveqaUBSmAKoLokRv8gjyJ3Rr2BUVrErGAimkLuluVOWYb2NYAn&#10;hrLFIrnBaloSLvWNpTF428vFLhguQuQ9EtWy0ymwnKkd3UMSt7+vJ6/H52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EaZO3XAAAACAEAAA8AAAAAAAAAAQAgAAAAIgAAAGRycy9kb3ducmV2Lnht&#10;bFBLAQIUABQAAAAIAIdO4kCmupPtpQIAADYFAAAOAAAAAAAAAAEAIAAAACYBAABkcnMvZTJvRG9j&#10;LnhtbFBLBQYAAAAABgAGAFkBAAA9BgAAAAA=&#10;" adj="7017,56878,11013,22486">
                      <v:fill on="f" focussize="0,0"/>
                      <v:stroke weight="1pt" color="#FF0000 [2404]" miterlimit="8" joinstyle="miter"/>
                      <v:imagedata o:title=""/>
                      <o:lock v:ext="edit" aspectratio="f"/>
                      <v:textbox>
                        <w:txbxContent>
                          <w:p>
                            <w:pPr>
                              <w:jc w:val="center"/>
                              <w:rPr>
                                <w:rFonts w:hint="default" w:eastAsia="宋体"/>
                                <w:color w:val="FFFF00"/>
                                <w:sz w:val="18"/>
                                <w:szCs w:val="21"/>
                                <w:lang w:val="en-US" w:eastAsia="zh-CN"/>
                              </w:rPr>
                            </w:pPr>
                            <w:r>
                              <w:rPr>
                                <w:rFonts w:hint="eastAsia"/>
                                <w:color w:val="FFFF00"/>
                                <w:sz w:val="18"/>
                                <w:szCs w:val="21"/>
                                <w:lang w:val="en-US" w:eastAsia="zh-CN"/>
                              </w:rPr>
                              <w:t>本项目所在地</w:t>
                            </w:r>
                          </w:p>
                        </w:txbxContent>
                      </v:textbox>
                    </v:shape>
                  </w:pict>
                </mc:Fallback>
              </mc:AlternateContent>
            </w:r>
          </w:p>
          <w:p>
            <w:pPr>
              <w:rPr>
                <w:rFonts w:hint="eastAsia"/>
                <w:b w:val="0"/>
                <w:bCs w:val="0"/>
                <w:color w:val="auto"/>
                <w:kern w:val="0"/>
                <w:sz w:val="21"/>
                <w:szCs w:val="21"/>
                <w:lang w:val="en-US" w:eastAsia="zh-CN"/>
              </w:rPr>
            </w:pPr>
            <w:r>
              <w:rPr>
                <w:color w:val="auto"/>
                <w:sz w:val="21"/>
              </w:rPr>
              <mc:AlternateContent>
                <mc:Choice Requires="wps">
                  <w:drawing>
                    <wp:anchor distT="0" distB="0" distL="114300" distR="114300" simplePos="0" relativeHeight="251757568" behindDoc="0" locked="0" layoutInCell="1" allowOverlap="1">
                      <wp:simplePos x="0" y="0"/>
                      <wp:positionH relativeFrom="column">
                        <wp:posOffset>2081530</wp:posOffset>
                      </wp:positionH>
                      <wp:positionV relativeFrom="paragraph">
                        <wp:posOffset>133350</wp:posOffset>
                      </wp:positionV>
                      <wp:extent cx="306705" cy="187960"/>
                      <wp:effectExtent l="3175" t="5715" r="7620" b="9525"/>
                      <wp:wrapNone/>
                      <wp:docPr id="160" name="直接连接符 160"/>
                      <wp:cNvGraphicFramePr/>
                      <a:graphic xmlns:a="http://schemas.openxmlformats.org/drawingml/2006/main">
                        <a:graphicData uri="http://schemas.microsoft.com/office/word/2010/wordprocessingShape">
                          <wps:wsp>
                            <wps:cNvCnPr>
                              <a:stCxn id="162" idx="0"/>
                              <a:endCxn id="35" idx="1"/>
                            </wps:cNvCnPr>
                            <wps:spPr>
                              <a:xfrm flipV="1">
                                <a:off x="3340735" y="6533515"/>
                                <a:ext cx="306705" cy="18796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3.9pt;margin-top:10.5pt;height:14.8pt;width:24.15pt;z-index:251757568;mso-width-relative:page;mso-height-relative:page;" filled="f" stroked="t" coordsize="21600,21600" o:gfxdata="UEsDBAoAAAAAAIdO4kAAAAAAAAAAAAAAAAAEAAAAZHJzL1BLAwQUAAAACACHTuJAsjWdQ9gAAAAJ&#10;AQAADwAAAGRycy9kb3ducmV2LnhtbE2PzU7DMBCE70i8g7VI3KjjBNIqZFMhpF74OZCWuxsvSZTY&#10;DrbbhLfHnMpxNKOZb8rtokd2Jud7axDEKgFGprGqNy3CYb+72wDzQRolR2sI4Yc8bKvrq1IWys7m&#10;g851aFksMb6QCF0IU8G5bzrS0q/sRCZ6X9ZpGaJ0LVdOzrFcjzxNkpxr2Zu40MmJnjtqhvqkEfbZ&#10;03vt3l7FPGzscv+yG8T35wHx9kYkj8ACLeEShj/8iA5VZDrak1GejQhZuo7oASEV8VMMZOtcADsi&#10;PCQ58Krk/x9Uv1BLAwQUAAAACACHTuJAypmTQfwBAADFAwAADgAAAGRycy9lMm9Eb2MueG1srZO7&#10;rhMxEIZ7JN7Bck92k5ALq2xOkSg0CI7EpZ947V1Lvsk22eQleAEkOqgo6XkbDo/B2JvkHKBDbDGy&#10;PTP/znwer26OWpED90FaU9PxqKSEG2Ybadqavn2ze7KkJEQwDShreE1PPNCb9eNHq95VfGI7qxru&#10;CYqYUPWupl2MriqKwDquIYys4wadwnoNEbe+LRoPPaprVUzKcl701jfOW8ZDwNPt4KTrrC8EZ/GV&#10;EIFHomqKtcVsfbb7ZIv1CqrWg+skO5cB/1CFBmnwp1epLUQg7738S0pL5m2wIo6Y1YUVQjKee8Bu&#10;xuUf3bzuwPHcC8IJ7oop/D9Z9vJw64ls8O7myMeAxku6+/jtx4fPP79/Qnv39QtJLgTVu1Bh/Mbc&#10;+tRqiJujOadOKC6OV6DcNBffdHZ2jZNE8ZtG2gQ3qB2F10Qo6d5hKRklwiEoOZ0+LRdJ5VTT+Ww6&#10;nY1nw63xYyQsBZTzRYl+hgHj5eLZUGwBVZJMhTof4nNuNUmLmippElSo4PAixFTUfUg6NnYnlcqD&#10;oQzpUXSyKJENA5xPoSDiUjskFkxLCagWB59FnyWDVbJJ6RmQb/cb5ckBcPh2uxK/zADRPQxLVW0h&#10;dENcdg0NahnxbSipa7pMyZdsZc4gB3aJ4t42p1t/AYyzkrs6z3Uaxof7nH3/+t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1nUPYAAAACQEAAA8AAAAAAAAAAQAgAAAAIgAAAGRycy9kb3ducmV2&#10;LnhtbFBLAQIUABQAAAAIAIdO4kDKmZNB/AEAAMUDAAAOAAAAAAAAAAEAIAAAACcBAABkcnMvZTJv&#10;RG9jLnhtbFBLBQYAAAAABgAGAFkBAACVBQAAAAA=&#10;">
                      <v:fill on="f" focussize="0,0"/>
                      <v:stroke weight="1pt" color="#FF0000 [3204]" miterlimit="8" joinstyle="miter"/>
                      <v:imagedata o:title=""/>
                      <o:lock v:ext="edit" aspectratio="f"/>
                    </v:line>
                  </w:pict>
                </mc:Fallback>
              </mc:AlternateContent>
            </w: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r>
              <w:rPr>
                <w:color w:val="auto"/>
                <w:sz w:val="21"/>
              </w:rPr>
              <mc:AlternateContent>
                <mc:Choice Requires="wpg">
                  <w:drawing>
                    <wp:anchor distT="0" distB="0" distL="114300" distR="114300" simplePos="0" relativeHeight="251758592" behindDoc="0" locked="0" layoutInCell="1" allowOverlap="1">
                      <wp:simplePos x="0" y="0"/>
                      <wp:positionH relativeFrom="column">
                        <wp:posOffset>2004060</wp:posOffset>
                      </wp:positionH>
                      <wp:positionV relativeFrom="paragraph">
                        <wp:posOffset>14605</wp:posOffset>
                      </wp:positionV>
                      <wp:extent cx="102870" cy="165735"/>
                      <wp:effectExtent l="0" t="6350" r="11430" b="5715"/>
                      <wp:wrapNone/>
                      <wp:docPr id="165" name="组合 165"/>
                      <wp:cNvGraphicFramePr/>
                      <a:graphic xmlns:a="http://schemas.openxmlformats.org/drawingml/2006/main">
                        <a:graphicData uri="http://schemas.microsoft.com/office/word/2010/wordprocessingGroup">
                          <wpg:wgp>
                            <wpg:cNvGrpSpPr/>
                            <wpg:grpSpPr>
                              <a:xfrm>
                                <a:off x="0" y="0"/>
                                <a:ext cx="102870" cy="165735"/>
                                <a:chOff x="5429" y="149205"/>
                                <a:chExt cx="242" cy="369"/>
                              </a:xfrm>
                            </wpg:grpSpPr>
                            <wps:wsp>
                              <wps:cNvPr id="162" name="矩形 162"/>
                              <wps:cNvSpPr/>
                              <wps:spPr>
                                <a:xfrm>
                                  <a:off x="5551" y="149205"/>
                                  <a:ext cx="120" cy="120"/>
                                </a:xfrm>
                                <a:prstGeom prst="rect">
                                  <a:avLst/>
                                </a:prstGeom>
                                <a:no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3" name="直接连接符 163"/>
                              <wps:cNvCnPr/>
                              <wps:spPr>
                                <a:xfrm flipV="1">
                                  <a:off x="5618" y="149330"/>
                                  <a:ext cx="5" cy="244"/>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64" name="直接连接符 164"/>
                              <wps:cNvCnPr/>
                              <wps:spPr>
                                <a:xfrm>
                                  <a:off x="5429" y="149255"/>
                                  <a:ext cx="128" cy="3"/>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57.8pt;margin-top:1.15pt;height:13.05pt;width:8.1pt;z-index:251758592;mso-width-relative:page;mso-height-relative:page;" coordorigin="5429,149205" coordsize="242,369" o:gfxdata="UEsDBAoAAAAAAIdO4kAAAAAAAAAAAAAAAAAEAAAAZHJzL1BLAwQUAAAACACHTuJASIU/DtcAAAAI&#10;AQAADwAAAGRycy9kb3ducmV2LnhtbE2PQUvDQBSE74L/YXmCN7vZri0lZlOkqKci2AribZt9TUKz&#10;b0N2m7T/3udJj8MMM98U64vvxIhDbAMZULMMBFIVXEu1gc/968MKREyWnO0CoYErRliXtzeFzV2Y&#10;6APHXaoFl1DMrYEmpT6XMlYNehtnoUdi7xgGbxPLoZZusBOX+07Os2wpvW2JFxrb46bB6rQ7ewNv&#10;k52etXoZt6fj5vq9X7x/bRUac3+nsicQCS/pLwy/+IwOJTMdwplcFJ0BrRZLjhqYaxDsa634yoH1&#10;6hFkWcj/B8ofUEsDBBQAAAAIAIdO4kChO9MXSwMAAHcJAAAOAAAAZHJzL2Uyb0RvYy54bWzlVktv&#10;EzEQviPxHyzf6SabTdKsmlRRSiqkilYqj7PjeDcreW1jO9mUMwdOiDsSSEggIXHkhhC/ppSfwdj7&#10;aOiDQ5F6gBwc2zMez3zfzHh3dtc5RyumTSbFELe3WhgxQeU8E+kQP340vbeNkbFEzAmXgg3xCTN4&#10;d3T3zk6hYhbKheRzphEYESYu1BAvrFVxEBi6YDkxW1IxAcJE6pxYWOo0mGtSgPWcB2Gr1QsKqedK&#10;S8qMgd29UohH3n6SMGoPk8Qwi/gQg2/Wj9qPMzcGox0Sp5qoRUYrN8gNvMhJJuDSxtQesQQtdXbJ&#10;VJ5RLY1M7BaVeSCTJKPMxwDRtFsXotnXcql8LGlcpKqBCaC9gNONzdKHqyONsjlw1+tiJEgOJJ19&#10;fXH6+iVyO4BPodIY1Pa1OlZHutpIy5ULeZ3o3P1DMGjtkT1pkGVriyhstlvhdh/wpyACs/2Ot0xi&#10;ugB63KluFA4wctJoELYa6f3qfBiF5eFOb+B8CuprA+dd40yhIIvMOVDm74A6XhDFPP7GIdAABb5U&#10;QL37dPrtPQAVlkB5tQYlExsA7AqIut1u+1KwDVRhjRNMNkMlsdLG7jOZIzcZYg3Z7ZOOrA6MLVVr&#10;FXerkNOMc9gnMReoAGzDfssZJ1BoCScWprkC6o1IMSI8hQqmVnuTRvJs7o6700answnXaEWgiqbT&#10;Fvwqz35Tc3fvEbMo9bzIqZE4zywUOc/yId52h+vTXACTjrMSJzebyfkJ4KxlWalG0WkGZg+IsUdE&#10;Q2mC/9Bu7CEMCZcQlKxmGC2kfn7VvtOHRAApRgWUOgT8bEk0w4g/EJAig3YUgVnrF1G37wjQm5LZ&#10;pkQs84kEHIBB8M5Pnb7l9TTRMn8KXWnsbgURERTuLqGtFhNbtiDoa5SNx14N+oEi9kAcK+qMlwSO&#10;l1Ymmef2HJ0KNEh0V5y3kvGdJuPffPnx6sPP729hPPv8EVK/s5H6E1E1iJrSskxRwjP1pI6q6hPd&#10;XhvehrLiO52qE9dFAK3ItYowiv5cAjwTrkBJ/M+VgCvnitxbYzm6nmXPg/MH+uA1LDsaam43u3m3&#10;6uY1t+0QeHfs+sxpOvml9vafcOtfMHjd/aNWfYm4z4fNtc+F8++l0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IhT8O1wAAAAgBAAAPAAAAAAAAAAEAIAAAACIAAABkcnMvZG93bnJldi54bWxQSwEC&#10;FAAUAAAACACHTuJAoTvTF0sDAAB3CQAADgAAAAAAAAABACAAAAAmAQAAZHJzL2Uyb0RvYy54bWxQ&#10;SwUGAAAAAAYABgBZAQAA4wYAAAAA&#10;">
                      <o:lock v:ext="edit" aspectratio="f"/>
                      <v:rect id="_x0000_s1026" o:spid="_x0000_s1026" o:spt="1" style="position:absolute;left:5551;top:149205;height:120;width:120;v-text-anchor:middle;" filled="f" stroked="t" coordsize="21600,21600" o:gfxdata="UEsDBAoAAAAAAIdO4kAAAAAAAAAAAAAAAAAEAAAAZHJzL1BLAwQUAAAACACHTuJAidPuer0AAADc&#10;AAAADwAAAGRycy9kb3ducmV2LnhtbEWPQWvCQBCF7wX/wzKCt7pJDmmJrh5EodBDWxW8DtkxCWZn&#10;l901Sf+9Wyh4m+G9782b9XYyvRjIh86ygnyZgSCure64UXA+HV7fQYSIrLG3TAp+KcB2M3tZY6Xt&#10;yD80HGMjUgiHChW0MbpKylC3ZDAsrSNO2tV6gzGtvpHa45jCTS+LLCulwY7ThRYd7Vqqb8e7STVc&#10;/+30/et2vuTTwe/1Z8DmTanFPM9WICJN8Wn+pz904soC/p5JE8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56vQAA&#10;ANwAAAAPAAAAAAAAAAEAIAAAACIAAABkcnMvZG93bnJldi54bWxQSwECFAAUAAAACACHTuJAMy8F&#10;njsAAAA5AAAAEAAAAAAAAAABACAAAAAMAQAAZHJzL3NoYXBleG1sLnhtbFBLBQYAAAAABgAGAFsB&#10;AAC2AwAAAAA=&#10;">
                        <v:fill on="f" focussize="0,0"/>
                        <v:stroke weight="1pt" color="#FF0000 [2404]" miterlimit="8" joinstyle="miter"/>
                        <v:imagedata o:title=""/>
                        <o:lock v:ext="edit" aspectratio="f"/>
                      </v:rect>
                      <v:line id="_x0000_s1026" o:spid="_x0000_s1026" o:spt="20" style="position:absolute;left:5618;top:149330;flip:y;height:244;width:5;" filled="f" stroked="t" coordsize="21600,21600" o:gfxdata="UEsDBAoAAAAAAIdO4kAAAAAAAAAAAAAAAAAEAAAAZHJzL1BLAwQUAAAACACHTuJAq10IxLwAAADc&#10;AAAADwAAAGRycy9kb3ducmV2LnhtbEVPTWvCQBC9F/oflil4q5tUEYmuUgqCaD006n3IjklIdjbd&#10;XU38911B6G0e73OW68G04kbO15YVpOMEBHFhdc2lgtNx8z4H4QOyxtYyKbiTh/Xq9WWJmbY9/9At&#10;D6WIIewzVFCF0GVS+qIig35sO+LIXawzGCJ0pdQO+xhuWvmRJDNpsObYUGFHXxUVTX41Co6Tz0Pu&#10;vvdp38ztMN1tmvT3fFJq9JYmCxCBhvAvfrq3Os6fTeDxTLx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dCMS8AAAA&#10;3A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line>
                      <v:line id="_x0000_s1026" o:spid="_x0000_s1026" o:spt="20" style="position:absolute;left:5429;top:149255;height:3;width:128;" filled="f" stroked="t" coordsize="21600,21600" o:gfxdata="UEsDBAoAAAAAAIdO4kAAAAAAAAAAAAAAAAAEAAAAZHJzL1BLAwQUAAAACACHTuJAYPA6EL0AAADc&#10;AAAADwAAAGRycy9kb3ducmV2LnhtbEVPTWsCMRC9F/wPYQRvNbHYxa5GkYJiDz1ULfQ4Tcbd1c1k&#10;2cR1+++bQsHbPN7nLFa9q0VHbag8a5iMFQhi423FhYbjYfM4AxEissXaM2n4oQCr5eBhgbn1N/6g&#10;bh8LkUI45KihjLHJpQymJIdh7BvixJ186zAm2BbStnhL4a6WT0pl0mHFqaHEhl5LMpf91Wn43Liv&#10;4+49k89n86bW25dT/206rUfDiZqDiNTHu/jfvbNpfjaF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8DoQvQAA&#10;ANwAAAAPAAAAAAAAAAEAIAAAACIAAABkcnMvZG93bnJldi54bWxQSwECFAAUAAAACACHTuJAMy8F&#10;njsAAAA5AAAAEAAAAAAAAAABACAAAAAMAQAAZHJzL3NoYXBleG1sLnhtbFBLBQYAAAAABgAGAFsB&#10;AAC2AwAAAAA=&#10;">
                        <v:fill on="f" focussize="0,0"/>
                        <v:stroke weight="1pt" color="#FF0000 [3204]" miterlimit="8" joinstyle="miter"/>
                        <v:imagedata o:title=""/>
                        <o:lock v:ext="edit" aspectratio="f"/>
                      </v:line>
                    </v:group>
                  </w:pict>
                </mc:Fallback>
              </mc:AlternateContent>
            </w:r>
            <w:r>
              <w:rPr>
                <w:color w:val="auto"/>
                <w:sz w:val="21"/>
              </w:rPr>
              <mc:AlternateContent>
                <mc:Choice Requires="wps">
                  <w:drawing>
                    <wp:anchor distT="0" distB="0" distL="114300" distR="114300" simplePos="0" relativeHeight="251756544" behindDoc="0" locked="0" layoutInCell="1" allowOverlap="1">
                      <wp:simplePos x="0" y="0"/>
                      <wp:positionH relativeFrom="column">
                        <wp:posOffset>2098040</wp:posOffset>
                      </wp:positionH>
                      <wp:positionV relativeFrom="paragraph">
                        <wp:posOffset>78105</wp:posOffset>
                      </wp:positionV>
                      <wp:extent cx="688975" cy="667385"/>
                      <wp:effectExtent l="6350" t="0" r="3175" b="18415"/>
                      <wp:wrapNone/>
                      <wp:docPr id="157" name="任意多边形 157"/>
                      <wp:cNvGraphicFramePr/>
                      <a:graphic xmlns:a="http://schemas.openxmlformats.org/drawingml/2006/main">
                        <a:graphicData uri="http://schemas.microsoft.com/office/word/2010/wordprocessingShape">
                          <wps:wsp>
                            <wps:cNvSpPr/>
                            <wps:spPr>
                              <a:xfrm>
                                <a:off x="0" y="0"/>
                                <a:ext cx="688975" cy="667385"/>
                              </a:xfrm>
                              <a:custGeom>
                                <a:avLst/>
                                <a:gdLst>
                                  <a:gd name="connsiteX0" fmla="*/ 0 w 1085"/>
                                  <a:gd name="connsiteY0" fmla="*/ 0 h 1051"/>
                                  <a:gd name="connsiteX1" fmla="*/ 4 w 1085"/>
                                  <a:gd name="connsiteY1" fmla="*/ 148 h 1051"/>
                                  <a:gd name="connsiteX2" fmla="*/ 110 w 1085"/>
                                  <a:gd name="connsiteY2" fmla="*/ 146 h 1051"/>
                                  <a:gd name="connsiteX3" fmla="*/ 141 w 1085"/>
                                  <a:gd name="connsiteY3" fmla="*/ 164 h 1051"/>
                                  <a:gd name="connsiteX4" fmla="*/ 175 w 1085"/>
                                  <a:gd name="connsiteY4" fmla="*/ 201 h 1051"/>
                                  <a:gd name="connsiteX5" fmla="*/ 194 w 1085"/>
                                  <a:gd name="connsiteY5" fmla="*/ 249 h 1051"/>
                                  <a:gd name="connsiteX6" fmla="*/ 193 w 1085"/>
                                  <a:gd name="connsiteY6" fmla="*/ 256 h 1051"/>
                                  <a:gd name="connsiteX7" fmla="*/ 181 w 1085"/>
                                  <a:gd name="connsiteY7" fmla="*/ 377 h 1051"/>
                                  <a:gd name="connsiteX8" fmla="*/ 181 w 1085"/>
                                  <a:gd name="connsiteY8" fmla="*/ 594 h 1051"/>
                                  <a:gd name="connsiteX9" fmla="*/ 189 w 1085"/>
                                  <a:gd name="connsiteY9" fmla="*/ 691 h 1051"/>
                                  <a:gd name="connsiteX10" fmla="*/ 141 w 1085"/>
                                  <a:gd name="connsiteY10" fmla="*/ 762 h 1051"/>
                                  <a:gd name="connsiteX11" fmla="*/ 134 w 1085"/>
                                  <a:gd name="connsiteY11" fmla="*/ 809 h 1051"/>
                                  <a:gd name="connsiteX12" fmla="*/ 123 w 1085"/>
                                  <a:gd name="connsiteY12" fmla="*/ 883 h 1051"/>
                                  <a:gd name="connsiteX13" fmla="*/ 123 w 1085"/>
                                  <a:gd name="connsiteY13" fmla="*/ 929 h 1051"/>
                                  <a:gd name="connsiteX14" fmla="*/ 133 w 1085"/>
                                  <a:gd name="connsiteY14" fmla="*/ 970 h 1051"/>
                                  <a:gd name="connsiteX15" fmla="*/ 137 w 1085"/>
                                  <a:gd name="connsiteY15" fmla="*/ 1009 h 1051"/>
                                  <a:gd name="connsiteX16" fmla="*/ 168 w 1085"/>
                                  <a:gd name="connsiteY16" fmla="*/ 1051 h 1051"/>
                                  <a:gd name="connsiteX17" fmla="*/ 224 w 1085"/>
                                  <a:gd name="connsiteY17" fmla="*/ 1027 h 1051"/>
                                  <a:gd name="connsiteX18" fmla="*/ 240 w 1085"/>
                                  <a:gd name="connsiteY18" fmla="*/ 992 h 1051"/>
                                  <a:gd name="connsiteX19" fmla="*/ 251 w 1085"/>
                                  <a:gd name="connsiteY19" fmla="*/ 947 h 1051"/>
                                  <a:gd name="connsiteX20" fmla="*/ 280 w 1085"/>
                                  <a:gd name="connsiteY20" fmla="*/ 937 h 1051"/>
                                  <a:gd name="connsiteX21" fmla="*/ 313 w 1085"/>
                                  <a:gd name="connsiteY21" fmla="*/ 922 h 1051"/>
                                  <a:gd name="connsiteX22" fmla="*/ 386 w 1085"/>
                                  <a:gd name="connsiteY22" fmla="*/ 920 h 1051"/>
                                  <a:gd name="connsiteX23" fmla="*/ 450 w 1085"/>
                                  <a:gd name="connsiteY23" fmla="*/ 913 h 1051"/>
                                  <a:gd name="connsiteX24" fmla="*/ 580 w 1085"/>
                                  <a:gd name="connsiteY24" fmla="*/ 908 h 1051"/>
                                  <a:gd name="connsiteX25" fmla="*/ 675 w 1085"/>
                                  <a:gd name="connsiteY25" fmla="*/ 923 h 1051"/>
                                  <a:gd name="connsiteX26" fmla="*/ 827 w 1085"/>
                                  <a:gd name="connsiteY26" fmla="*/ 937 h 1051"/>
                                  <a:gd name="connsiteX27" fmla="*/ 906 w 1085"/>
                                  <a:gd name="connsiteY27" fmla="*/ 951 h 1051"/>
                                  <a:gd name="connsiteX28" fmla="*/ 954 w 1085"/>
                                  <a:gd name="connsiteY28" fmla="*/ 957 h 1051"/>
                                  <a:gd name="connsiteX29" fmla="*/ 1085 w 1085"/>
                                  <a:gd name="connsiteY29" fmla="*/ 975 h 1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pathLst>
                                  <a:path w="1085" h="1051">
                                    <a:moveTo>
                                      <a:pt x="0" y="0"/>
                                    </a:moveTo>
                                    <a:lnTo>
                                      <a:pt x="4" y="148"/>
                                    </a:lnTo>
                                    <a:lnTo>
                                      <a:pt x="110" y="146"/>
                                    </a:lnTo>
                                    <a:lnTo>
                                      <a:pt x="141" y="164"/>
                                    </a:lnTo>
                                    <a:lnTo>
                                      <a:pt x="175" y="201"/>
                                    </a:lnTo>
                                    <a:lnTo>
                                      <a:pt x="194" y="249"/>
                                    </a:lnTo>
                                    <a:lnTo>
                                      <a:pt x="193" y="256"/>
                                    </a:lnTo>
                                    <a:lnTo>
                                      <a:pt x="181" y="377"/>
                                    </a:lnTo>
                                    <a:lnTo>
                                      <a:pt x="181" y="594"/>
                                    </a:lnTo>
                                    <a:lnTo>
                                      <a:pt x="189" y="691"/>
                                    </a:lnTo>
                                    <a:lnTo>
                                      <a:pt x="141" y="762"/>
                                    </a:lnTo>
                                    <a:lnTo>
                                      <a:pt x="134" y="809"/>
                                    </a:lnTo>
                                    <a:lnTo>
                                      <a:pt x="123" y="883"/>
                                    </a:lnTo>
                                    <a:lnTo>
                                      <a:pt x="123" y="929"/>
                                    </a:lnTo>
                                    <a:lnTo>
                                      <a:pt x="133" y="970"/>
                                    </a:lnTo>
                                    <a:lnTo>
                                      <a:pt x="137" y="1009"/>
                                    </a:lnTo>
                                    <a:lnTo>
                                      <a:pt x="168" y="1051"/>
                                    </a:lnTo>
                                    <a:lnTo>
                                      <a:pt x="224" y="1027"/>
                                    </a:lnTo>
                                    <a:lnTo>
                                      <a:pt x="240" y="992"/>
                                    </a:lnTo>
                                    <a:lnTo>
                                      <a:pt x="251" y="947"/>
                                    </a:lnTo>
                                    <a:lnTo>
                                      <a:pt x="280" y="937"/>
                                    </a:lnTo>
                                    <a:lnTo>
                                      <a:pt x="313" y="922"/>
                                    </a:lnTo>
                                    <a:lnTo>
                                      <a:pt x="386" y="920"/>
                                    </a:lnTo>
                                    <a:lnTo>
                                      <a:pt x="450" y="913"/>
                                    </a:lnTo>
                                    <a:lnTo>
                                      <a:pt x="580" y="908"/>
                                    </a:lnTo>
                                    <a:lnTo>
                                      <a:pt x="675" y="923"/>
                                    </a:lnTo>
                                    <a:lnTo>
                                      <a:pt x="827" y="937"/>
                                    </a:lnTo>
                                    <a:lnTo>
                                      <a:pt x="906" y="951"/>
                                    </a:lnTo>
                                    <a:lnTo>
                                      <a:pt x="954" y="957"/>
                                    </a:lnTo>
                                    <a:lnTo>
                                      <a:pt x="1085" y="975"/>
                                    </a:lnTo>
                                  </a:path>
                                </a:pathLst>
                              </a:custGeom>
                              <a:noFill/>
                              <a:ln w="12700" cap="flat" cmpd="sng">
                                <a:solidFill>
                                  <a:srgbClr val="FF0000"/>
                                </a:solidFill>
                                <a:prstDash val="solid"/>
                                <a:headEnd type="none" w="med" len="med"/>
                                <a:tailEnd type="none" w="med" len="med"/>
                              </a:ln>
                            </wps:spPr>
                            <wps:txbx>
                              <w:txbxContent>
                                <w:p>
                                  <w:pPr>
                                    <w:jc w:val="center"/>
                                  </w:pPr>
                                </w:p>
                                <w:p>
                                  <w:pPr>
                                    <w:pStyle w:val="22"/>
                                  </w:pPr>
                                </w:p>
                                <w:p/>
                              </w:txbxContent>
                            </wps:txbx>
                            <wps:bodyPr upright="1"/>
                          </wps:wsp>
                        </a:graphicData>
                      </a:graphic>
                    </wp:anchor>
                  </w:drawing>
                </mc:Choice>
                <mc:Fallback>
                  <w:pict>
                    <v:shape id="_x0000_s1026" o:spid="_x0000_s1026" o:spt="100" style="position:absolute;left:0pt;margin-left:165.2pt;margin-top:6.15pt;height:52.55pt;width:54.25pt;z-index:251756544;mso-width-relative:page;mso-height-relative:page;" filled="f" stroked="t" coordsize="1085,1051" o:gfxdata="UEsDBAoAAAAAAIdO4kAAAAAAAAAAAAAAAAAEAAAAZHJzL1BLAwQUAAAACACHTuJA0VwjGdgAAAAK&#10;AQAADwAAAGRycy9kb3ducmV2LnhtbE2Pu1LDMBBFe2b4B80yQ0ckxw5xHMspYNKECpuCUpEU21gP&#10;j6Q8+HuWCsrde+bu2Xp3s4ZcdIijdxyyBQOinfRqdD2Hj27/VAKJSTgljHeaw7eOsGvu72pRKX91&#10;7/rSpp5giYuV4DCkNFeURjloK+LCz9phdvLBioRj6KkK4orl1tAlY8/UitHhhUHM+mXQcmrPlsNU&#10;rkJ4/VpNp71cd/KtO7Sf5sD540PGtkCSvqU/GH71UR0adDr6s1ORGA55zgpEMVjmQBAo8nID5IiL&#10;bF0AbWr6/4XmB1BLAwQUAAAACACHTuJAy9rHx6sFAAADGwAADgAAAGRycy9lMm9Eb2MueG1srVnN&#10;juQ0EL4j8Q5Rjkhsx046nYxmZg8swwXBSrtIyzGTpLsj5U9Jdrrnzp07R8RLoBU8DYt4DD7HyUw5&#10;iFQbMYdOPP6qUi5/ZVfZ1y/PVek85F1fNPWNK154rpPXaZMV9eHG/e7t3eeR6/RDUmdJ2dT5jfuY&#10;9+7L208/uT61V7lsjk2Z5Z0DJXV/dWpv3OMwtFebTZ8e8yrpXzRtXqNz33RVMqDZHTZZl5ygvSo3&#10;0vPCzanpsrZr0rzv8d9XutO9HfXv93k6fLvf9/nglDcubBvG3278vVe/m9vr5OrQJe2xSCczkv9g&#10;RZUUNT76pOpVMiTO+674h6qqSLumb/bDi7SpNs1+X6T5OAaMRniL0bw5Jm0+jgXO6dsnN/X/n9r0&#10;m4fXnVNkmLvtznXqpMIk/fHhw58//Pjxl5/++v3Xj7/97KguOOrU9lfAv2lfd1Orx6sa9XnfVeqJ&#10;8Tjn0bmPT87Nz4OT4p9hFMW7reuk6ArDnR9tlc7Ns3D6vh++yptRUfLwdT/oucnwNno2m6xLm7ru&#10;iyF/h/ncVyWm67ON4zknR3haJ2Zhif3exB6B3Ypp8pfYd4LoDRi9FCuCyFnXLIlmITibDXQQMrp9&#10;qjsQjN0GOgwY3QHVvdsyuikarGZ0gxJPsyhizt8ULYOY0R0aun3GboqWW87fiJZnuyPO3xTt73aM&#10;3Vg0LXRT9BYeXOdgbOiOGZ9QdBhzcylomAmWhAZ8F0rGcmEEm89RxYBHHscVYYSb5MhiwKPI52w3&#10;Ao7XTuGxZG2nISd81nYKj3ceZzsNOuHvGMoIA+7xjqdxJ8KIU2/AsYxz1tPQk5JlDYULT3KhKmj0&#10;yYBb0w14HLOUp/EnMdb1XU5QeBxwtksarjLibDfgMXiwvtBIGq6+4EhpwGPJeUbScPWjkPGMAY8l&#10;R3lJ4y/Ysp6h8BhDZTxD42/L+53CY49NMmj8hexuLSk8xsrE2E7DL0J4rDNSUvgFnKHRF3vsrBpw&#10;dimQNFbjLbcULOAs32nwqVyUcw3FIzUmjkdWfJjz3uQ4p8LpuZ5yYbw5iaqwvLHoaJtepd00MUaS&#10;PTeR++pEG1IqkWaEEbVUeMySYc9lwghKKiytvowgosK+lTBihAoHVsIIASo8VyaXjRkMp8Kh1ZdB&#10;YCo81lkXext0psKR1ZfBPiocWwmrzI1Ko23FsSXJ7Fimci/j63Y8EwuioW1l/IJqwo5rKj0yjLdj&#10;m1jQDW0r4xeEE3aMU+mLYbwd51R+YojbsU4lIFQcbZuxqwzDELdjnUohDHE71qmUwhC3Y51csA5t&#10;q7EvWIdd30p8wTps61biC9ZJO9apjdhwnR3r5IJ1aBPj9Wo7baxtMqjtVm2T6tU54VxMnSo5R/WC&#10;IyPVUzUP+dtmxAyL4y4oe+4ta4rS84czounjc+/8bEddOBUaxyqC2cNz//yccIEmswhnHsz983PC&#10;qSM3+A7nMOvfjbV9OFNhcJrGOB9Zx0XaPpx1XITDuQWD05OIM4h13OQXnCas43w9XpwLrOOmsEWF&#10;fxEOtfo6ztf+Q9XN4HTICNTP68BQB8d8oAkGzgyYn5oJKH01s1DTrmpEETsCUZ2u4xAOilqoM9dx&#10;0aTPX8ehRNT6sNDq+JwHMD/1QFDsTbh1F6Js07in/X3WMz+1PhRgGuethyZKqem761RAUaRxzHhR&#10;3micPon+14lDoTLh1v2nFyo1ITCUOhCa1WI2HrY/LXD4Jz1wr5u7oiwhpegzLnty58EvaYJLmX2Z&#10;DHitWlwT9PVhXAT7piwyJaNE+u5w/0XZOQ8Jrlnu7jz8TRYYsLbrh1dJf9S4sUvBkqtjnmRf1pkz&#10;PLa4fqhxU+QqG6o8c50yx8WSehuRQ1KUlyBHb2LE6s5C31Kot+F8f4Ya9XrfZI+4+XjfdsXhiGsh&#10;vayoHty0jK6aboXUVQ5tj0qf765u/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DRXCMZ2AAAAAoB&#10;AAAPAAAAAAAAAAEAIAAAACIAAABkcnMvZG93bnJldi54bWxQSwECFAAUAAAACACHTuJAy9rHx6sF&#10;AAADGwAADgAAAAAAAAABACAAAAAnAQAAZHJzL2Uyb0RvYy54bWxQSwUGAAAAAAYABgBZAQAARAkA&#10;AAAA&#10;" path="m0,0l4,148,110,146,141,164,175,201,194,249,193,256,181,377,181,594,189,691,141,762,134,809,123,883,123,929,133,970,137,1009,168,1051,224,1027,240,992,251,947,280,937,313,922,386,920,450,913,580,908,675,923,827,937,906,951,954,957,1085,975e">
                      <v:path textboxrect="0,0,1085,1051" o:connectlocs="0,0;2540,93980;69850,92710;89535,104140;111125,127635;123190,158115;122555,162560;114935,239395;114935,377190;120015,438785;89535,483870;85090,513715;78105,560705;78105,589915;84455,615950;86995,640715;106680,667385;142240,652145;152400,629920;159385,601345;177800,594995;198755,585470;245110,584200;285750,579755;368300,576580;428625,586105;525145,594995;575310,603885;605790,607695;688975,619125" o:connectangles="0,0,0,0,0,0,0,0,0,0,0,0,0,0,0,0,0,0,0,0,0,0,0,0,0,0,0,0,0,0"/>
                      <v:fill on="f" focussize="0,0"/>
                      <v:stroke weight="1pt" color="#FF0000" joinstyle="round"/>
                      <v:imagedata o:title=""/>
                      <o:lock v:ext="edit" aspectratio="f"/>
                      <v:textbox>
                        <w:txbxContent>
                          <w:p>
                            <w:pPr>
                              <w:jc w:val="center"/>
                            </w:pPr>
                          </w:p>
                          <w:p>
                            <w:pPr>
                              <w:pStyle w:val="22"/>
                            </w:pPr>
                          </w:p>
                          <w:p/>
                        </w:txbxContent>
                      </v:textbox>
                    </v:shape>
                  </w:pict>
                </mc:Fallback>
              </mc:AlternateContent>
            </w:r>
          </w:p>
          <w:p>
            <w:pPr>
              <w:pStyle w:val="22"/>
              <w:rPr>
                <w:rFonts w:hint="eastAsia"/>
                <w:color w:val="auto"/>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color w:val="auto"/>
                <w:lang w:val="en-US" w:eastAsia="zh-CN"/>
              </w:rPr>
            </w:pPr>
          </w:p>
          <w:p>
            <w:pPr>
              <w:pStyle w:val="22"/>
              <w:rPr>
                <w:rFonts w:hint="eastAsia"/>
                <w:b w:val="0"/>
                <w:bCs w:val="0"/>
                <w:color w:val="auto"/>
                <w:kern w:val="0"/>
                <w:sz w:val="21"/>
                <w:szCs w:val="21"/>
                <w:lang w:val="en-US" w:eastAsia="zh-CN"/>
              </w:rPr>
            </w:pPr>
          </w:p>
          <w:p>
            <w:pPr>
              <w:rPr>
                <w:rFonts w:hint="eastAsia"/>
                <w:b w:val="0"/>
                <w:bCs w:val="0"/>
                <w:color w:val="auto"/>
                <w:kern w:val="0"/>
                <w:sz w:val="21"/>
                <w:szCs w:val="21"/>
                <w:lang w:val="en-US" w:eastAsia="zh-CN"/>
              </w:rPr>
            </w:pPr>
          </w:p>
          <w:p>
            <w:pPr>
              <w:pStyle w:val="22"/>
              <w:rPr>
                <w:rFonts w:hint="eastAsia"/>
                <w:color w:val="auto"/>
                <w:lang w:val="en-US" w:eastAsia="zh-CN"/>
              </w:rPr>
            </w:pP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val="0"/>
                <w:color w:val="auto"/>
                <w:kern w:val="0"/>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图1-</w:t>
            </w:r>
            <w:r>
              <w:rPr>
                <w:rFonts w:hint="eastAsia" w:cs="Times New Roman"/>
                <w:b/>
                <w:bCs/>
                <w:color w:val="auto"/>
                <w:kern w:val="0"/>
                <w:sz w:val="21"/>
                <w:szCs w:val="21"/>
                <w:highlight w:val="none"/>
                <w:lang w:val="en-US" w:eastAsia="zh-CN"/>
              </w:rPr>
              <w:t>2</w:t>
            </w:r>
            <w:r>
              <w:rPr>
                <w:rFonts w:hint="eastAsia" w:ascii="Times New Roman" w:hAnsi="Times New Roman" w:eastAsia="宋体" w:cs="Times New Roman"/>
                <w:b/>
                <w:bCs/>
                <w:color w:val="auto"/>
                <w:kern w:val="0"/>
                <w:sz w:val="21"/>
                <w:szCs w:val="21"/>
                <w:highlight w:val="none"/>
                <w:lang w:val="en-US" w:eastAsia="zh-CN"/>
              </w:rPr>
              <w:t xml:space="preserve"> </w:t>
            </w:r>
            <w:r>
              <w:rPr>
                <w:rFonts w:hint="eastAsia" w:cs="Times New Roman"/>
                <w:b/>
                <w:bCs/>
                <w:color w:val="auto"/>
                <w:kern w:val="0"/>
                <w:sz w:val="21"/>
                <w:szCs w:val="21"/>
                <w:highlight w:val="none"/>
                <w:lang w:val="en-US" w:eastAsia="zh-CN"/>
              </w:rPr>
              <w:t>本</w:t>
            </w:r>
            <w:r>
              <w:rPr>
                <w:rFonts w:hint="eastAsia" w:ascii="Times New Roman" w:hAnsi="Times New Roman" w:eastAsia="宋体" w:cs="Times New Roman"/>
                <w:b/>
                <w:bCs/>
                <w:color w:val="auto"/>
                <w:kern w:val="0"/>
                <w:sz w:val="21"/>
                <w:szCs w:val="21"/>
                <w:highlight w:val="none"/>
                <w:lang w:val="en-US" w:eastAsia="zh-CN"/>
              </w:rPr>
              <w:t>项目</w:t>
            </w:r>
            <w:r>
              <w:rPr>
                <w:rFonts w:hint="eastAsia" w:cs="Times New Roman"/>
                <w:b/>
                <w:bCs/>
                <w:color w:val="auto"/>
                <w:kern w:val="0"/>
                <w:sz w:val="21"/>
                <w:szCs w:val="21"/>
                <w:highlight w:val="none"/>
                <w:lang w:val="en-US" w:eastAsia="zh-CN"/>
              </w:rPr>
              <w:t>与大竹县</w:t>
            </w:r>
            <w:r>
              <w:rPr>
                <w:rFonts w:hint="eastAsia" w:ascii="Times New Roman" w:hAnsi="Times New Roman" w:eastAsia="宋体" w:cs="Times New Roman"/>
                <w:b/>
                <w:bCs/>
                <w:color w:val="auto"/>
                <w:kern w:val="0"/>
                <w:sz w:val="21"/>
                <w:szCs w:val="21"/>
                <w:highlight w:val="none"/>
                <w:lang w:val="en-US" w:eastAsia="zh-CN"/>
              </w:rPr>
              <w:t>生态保护红线</w:t>
            </w:r>
            <w:r>
              <w:rPr>
                <w:rFonts w:hint="eastAsia" w:cs="Times New Roman"/>
                <w:b/>
                <w:bCs/>
                <w:color w:val="auto"/>
                <w:kern w:val="0"/>
                <w:sz w:val="21"/>
                <w:szCs w:val="21"/>
                <w:highlight w:val="none"/>
                <w:lang w:val="en-US" w:eastAsia="zh-CN"/>
              </w:rPr>
              <w:t>位置关系</w:t>
            </w:r>
            <w:r>
              <w:rPr>
                <w:rFonts w:hint="eastAsia" w:ascii="Times New Roman" w:hAnsi="Times New Roman" w:eastAsia="宋体" w:cs="Times New Roman"/>
                <w:b/>
                <w:bCs/>
                <w:color w:val="auto"/>
                <w:kern w:val="0"/>
                <w:sz w:val="21"/>
                <w:szCs w:val="21"/>
                <w:highlight w:val="none"/>
                <w:lang w:val="en-US" w:eastAsia="zh-CN"/>
              </w:rPr>
              <w:t>示意图</w:t>
            </w:r>
          </w:p>
          <w:p>
            <w:pPr>
              <w:keepNext w:val="0"/>
              <w:keepLines w:val="0"/>
              <w:pageBreakBefore w:val="0"/>
              <w:widowControl w:val="0"/>
              <w:kinsoku/>
              <w:wordWrap/>
              <w:topLinePunct w:val="0"/>
              <w:autoSpaceDE w:val="0"/>
              <w:autoSpaceDN w:val="0"/>
              <w:bidi w:val="0"/>
              <w:adjustRightInd/>
              <w:snapToGrid/>
              <w:spacing w:line="360" w:lineRule="auto"/>
              <w:ind w:firstLine="422" w:firstLineChars="200"/>
              <w:textAlignment w:val="auto"/>
              <w:rPr>
                <w:rFonts w:hint="eastAsia" w:ascii="Times New Roman" w:hAnsi="Times New Roman"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2、与环境管控单元位置关系</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pacing w:val="0"/>
                <w:kern w:val="21"/>
                <w:positio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w:t>
            </w:r>
            <w:r>
              <w:rPr>
                <w:rFonts w:hint="eastAsia" w:cs="Times New Roman"/>
                <w:color w:val="auto"/>
                <w:sz w:val="21"/>
                <w:szCs w:val="21"/>
                <w:highlight w:val="none"/>
                <w:lang w:val="en-US" w:eastAsia="zh-CN"/>
              </w:rPr>
              <w:t>项目位于大竹县经开区、乌木镇</w:t>
            </w:r>
            <w:r>
              <w:rPr>
                <w:rFonts w:hint="eastAsia" w:cs="Times New Roman"/>
                <w:b w:val="0"/>
                <w:bCs w:val="0"/>
                <w:snapToGrid/>
                <w:color w:val="auto"/>
                <w:spacing w:val="0"/>
                <w:w w:val="100"/>
                <w:kern w:val="21"/>
                <w:sz w:val="21"/>
                <w:szCs w:val="24"/>
                <w:highlight w:val="none"/>
                <w:lang w:eastAsia="zh-CN"/>
              </w:rPr>
              <w:t>，通过查询</w:t>
            </w:r>
            <w:r>
              <w:rPr>
                <w:rFonts w:ascii="Times New Roman" w:hAnsi="Times New Roman" w:eastAsia="宋体" w:cs="Times New Roman"/>
                <w:color w:val="auto"/>
                <w:spacing w:val="0"/>
                <w:kern w:val="21"/>
                <w:position w:val="0"/>
                <w:sz w:val="21"/>
                <w:szCs w:val="21"/>
                <w:highlight w:val="none"/>
              </w:rPr>
              <w:t>四川省</w:t>
            </w:r>
            <w:r>
              <w:rPr>
                <w:rFonts w:hint="eastAsia" w:ascii="Times New Roman" w:hAnsi="Times New Roman" w:eastAsia="宋体" w:cs="Times New Roman"/>
                <w:color w:val="auto"/>
                <w:spacing w:val="0"/>
                <w:kern w:val="21"/>
                <w:position w:val="0"/>
                <w:sz w:val="21"/>
                <w:szCs w:val="21"/>
                <w:highlight w:val="none"/>
              </w:rPr>
              <w:t>“</w:t>
            </w:r>
            <w:r>
              <w:rPr>
                <w:rFonts w:ascii="Times New Roman" w:hAnsi="Times New Roman" w:eastAsia="宋体" w:cs="Times New Roman"/>
                <w:color w:val="auto"/>
                <w:spacing w:val="0"/>
                <w:kern w:val="21"/>
                <w:position w:val="0"/>
                <w:sz w:val="21"/>
                <w:szCs w:val="21"/>
                <w:highlight w:val="none"/>
              </w:rPr>
              <w:t>三线一单</w:t>
            </w:r>
            <w:r>
              <w:rPr>
                <w:rFonts w:hint="eastAsia" w:ascii="Times New Roman" w:hAnsi="Times New Roman" w:eastAsia="宋体" w:cs="Times New Roman"/>
                <w:color w:val="auto"/>
                <w:spacing w:val="0"/>
                <w:kern w:val="21"/>
                <w:position w:val="0"/>
                <w:sz w:val="21"/>
                <w:szCs w:val="21"/>
                <w:highlight w:val="none"/>
              </w:rPr>
              <w:t>”</w:t>
            </w:r>
            <w:r>
              <w:rPr>
                <w:rFonts w:ascii="Times New Roman" w:hAnsi="Times New Roman" w:eastAsia="宋体" w:cs="Times New Roman"/>
                <w:color w:val="auto"/>
                <w:spacing w:val="0"/>
                <w:kern w:val="21"/>
                <w:position w:val="0"/>
                <w:sz w:val="21"/>
                <w:szCs w:val="21"/>
                <w:highlight w:val="none"/>
              </w:rPr>
              <w:t>符合性分析平台（</w:t>
            </w:r>
            <w:r>
              <w:rPr>
                <w:rFonts w:ascii="宋体" w:hAnsi="宋体" w:eastAsia="宋体" w:cs="宋体"/>
                <w:color w:val="auto"/>
                <w:sz w:val="21"/>
                <w:szCs w:val="21"/>
                <w:highlight w:val="none"/>
              </w:rPr>
              <w:fldChar w:fldCharType="begin"/>
            </w:r>
            <w:r>
              <w:rPr>
                <w:rFonts w:ascii="宋体" w:hAnsi="宋体" w:eastAsia="宋体" w:cs="宋体"/>
                <w:color w:val="auto"/>
                <w:sz w:val="21"/>
                <w:szCs w:val="21"/>
                <w:highlight w:val="none"/>
              </w:rPr>
              <w:instrText xml:space="preserve"> HYPERLINK "https://www.sczwfw.gov.cn/tftb/jmopenpub/jmopen_files/webapp/html5/sxydctfx/index.html?areaCode=510000000000" </w:instrText>
            </w:r>
            <w:r>
              <w:rPr>
                <w:rFonts w:ascii="宋体" w:hAnsi="宋体" w:eastAsia="宋体" w:cs="宋体"/>
                <w:color w:val="auto"/>
                <w:sz w:val="21"/>
                <w:szCs w:val="21"/>
                <w:highlight w:val="none"/>
              </w:rPr>
              <w:fldChar w:fldCharType="separate"/>
            </w:r>
            <w:r>
              <w:rPr>
                <w:rStyle w:val="36"/>
                <w:rFonts w:ascii="宋体" w:hAnsi="宋体" w:eastAsia="宋体" w:cs="宋体"/>
                <w:color w:val="auto"/>
                <w:sz w:val="21"/>
                <w:szCs w:val="21"/>
                <w:highlight w:val="none"/>
              </w:rPr>
              <w:t>三线一单冲突分析(</w:t>
            </w:r>
            <w:r>
              <w:rPr>
                <w:rStyle w:val="36"/>
                <w:rFonts w:hint="default" w:ascii="Times New Roman" w:hAnsi="Times New Roman" w:eastAsia="宋体" w:cs="Times New Roman"/>
                <w:color w:val="auto"/>
                <w:sz w:val="21"/>
                <w:szCs w:val="21"/>
                <w:highlight w:val="none"/>
              </w:rPr>
              <w:t>sczwfw.gov.cn</w:t>
            </w:r>
            <w:r>
              <w:rPr>
                <w:rStyle w:val="36"/>
                <w:rFonts w:ascii="宋体" w:hAnsi="宋体" w:eastAsia="宋体" w:cs="宋体"/>
                <w:color w:val="auto"/>
                <w:sz w:val="21"/>
                <w:szCs w:val="21"/>
                <w:highlight w:val="none"/>
              </w:rPr>
              <w:t>)</w:t>
            </w:r>
            <w:r>
              <w:rPr>
                <w:rFonts w:ascii="宋体" w:hAnsi="宋体" w:eastAsia="宋体" w:cs="宋体"/>
                <w:color w:val="auto"/>
                <w:sz w:val="21"/>
                <w:szCs w:val="21"/>
                <w:highlight w:val="none"/>
              </w:rPr>
              <w:fldChar w:fldCharType="end"/>
            </w:r>
            <w:r>
              <w:rPr>
                <w:rFonts w:ascii="Times New Roman" w:hAnsi="Times New Roman" w:eastAsia="宋体" w:cs="Times New Roman"/>
                <w:color w:val="auto"/>
                <w:spacing w:val="0"/>
                <w:kern w:val="21"/>
                <w:position w:val="0"/>
                <w:sz w:val="21"/>
                <w:szCs w:val="21"/>
                <w:highlight w:val="none"/>
              </w:rPr>
              <w:t>，输入本项目相关信息后</w:t>
            </w:r>
            <w:r>
              <w:rPr>
                <w:rFonts w:hint="eastAsia" w:ascii="Times New Roman" w:hAnsi="Times New Roman" w:eastAsia="宋体" w:cs="Times New Roman"/>
                <w:color w:val="auto"/>
                <w:spacing w:val="0"/>
                <w:kern w:val="21"/>
                <w:position w:val="0"/>
                <w:sz w:val="21"/>
                <w:szCs w:val="21"/>
                <w:highlight w:val="none"/>
                <w:lang w:val="en-US" w:eastAsia="zh-CN"/>
              </w:rPr>
              <w:t>查询结果如下：</w:t>
            </w:r>
          </w:p>
          <w:p>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5410835" cy="3256915"/>
                  <wp:effectExtent l="0" t="0" r="12065" b="698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0"/>
                          <a:stretch>
                            <a:fillRect/>
                          </a:stretch>
                        </pic:blipFill>
                        <pic:spPr>
                          <a:xfrm>
                            <a:off x="0" y="0"/>
                            <a:ext cx="5410835" cy="3256915"/>
                          </a:xfrm>
                          <a:prstGeom prst="rect">
                            <a:avLst/>
                          </a:prstGeom>
                          <a:noFill/>
                          <a:ln>
                            <a:noFill/>
                          </a:ln>
                        </pic:spPr>
                      </pic:pic>
                    </a:graphicData>
                  </a:graphic>
                </wp:inline>
              </w:drawing>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r>
              <w:rPr>
                <w:rFonts w:hint="default" w:ascii="Times New Roman" w:hAnsi="Times New Roman" w:eastAsia="宋体" w:cs="Times New Roman"/>
                <w:b/>
                <w:bCs/>
                <w:color w:val="auto"/>
                <w:spacing w:val="0"/>
                <w:kern w:val="21"/>
                <w:position w:val="0"/>
                <w:sz w:val="21"/>
                <w:szCs w:val="21"/>
                <w:highlight w:val="none"/>
                <w:lang w:val="en-US" w:eastAsia="zh-CN"/>
              </w:rPr>
              <w:t>图1-</w:t>
            </w:r>
            <w:r>
              <w:rPr>
                <w:rFonts w:hint="eastAsia" w:ascii="Times New Roman" w:hAnsi="Times New Roman" w:eastAsia="宋体" w:cs="Times New Roman"/>
                <w:b/>
                <w:bCs/>
                <w:color w:val="auto"/>
                <w:spacing w:val="0"/>
                <w:kern w:val="21"/>
                <w:position w:val="0"/>
                <w:sz w:val="21"/>
                <w:szCs w:val="21"/>
                <w:highlight w:val="none"/>
                <w:lang w:val="en-US" w:eastAsia="zh-CN"/>
              </w:rPr>
              <w:t>3</w:t>
            </w:r>
            <w:r>
              <w:rPr>
                <w:rFonts w:hint="default" w:ascii="Times New Roman" w:hAnsi="Times New Roman" w:eastAsia="宋体" w:cs="Times New Roman"/>
                <w:b/>
                <w:bCs/>
                <w:color w:val="auto"/>
                <w:spacing w:val="0"/>
                <w:kern w:val="21"/>
                <w:position w:val="0"/>
                <w:sz w:val="21"/>
                <w:szCs w:val="21"/>
                <w:highlight w:val="none"/>
                <w:lang w:val="en-US" w:eastAsia="zh-CN"/>
              </w:rPr>
              <w:t xml:space="preserve">  </w:t>
            </w:r>
            <w:r>
              <w:rPr>
                <w:rFonts w:hint="eastAsia" w:ascii="Times New Roman" w:hAnsi="Times New Roman" w:eastAsia="宋体" w:cs="Times New Roman"/>
                <w:b/>
                <w:bCs/>
                <w:color w:val="auto"/>
                <w:spacing w:val="0"/>
                <w:kern w:val="21"/>
                <w:position w:val="0"/>
                <w:sz w:val="21"/>
                <w:szCs w:val="21"/>
                <w:highlight w:val="none"/>
                <w:lang w:val="en-US" w:eastAsia="zh-CN"/>
              </w:rPr>
              <w:t>本项目</w:t>
            </w:r>
            <w:r>
              <w:rPr>
                <w:rFonts w:hint="default" w:ascii="Times New Roman" w:hAnsi="Times New Roman" w:eastAsia="宋体" w:cs="Times New Roman"/>
                <w:b/>
                <w:bCs/>
                <w:color w:val="auto"/>
                <w:spacing w:val="0"/>
                <w:kern w:val="21"/>
                <w:position w:val="0"/>
                <w:sz w:val="21"/>
                <w:szCs w:val="21"/>
                <w:highlight w:val="none"/>
                <w:lang w:val="en-US" w:eastAsia="zh-CN"/>
              </w:rPr>
              <w:t>分区管控单元</w:t>
            </w:r>
            <w:r>
              <w:rPr>
                <w:rFonts w:hint="eastAsia" w:cs="Times New Roman"/>
                <w:b/>
                <w:bCs/>
                <w:color w:val="auto"/>
                <w:spacing w:val="0"/>
                <w:kern w:val="21"/>
                <w:position w:val="0"/>
                <w:sz w:val="21"/>
                <w:szCs w:val="21"/>
                <w:highlight w:val="none"/>
                <w:lang w:val="en-US" w:eastAsia="zh-CN"/>
              </w:rPr>
              <w:t>查询截图（本项目加压泵站处）</w:t>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5414645" cy="3470275"/>
                  <wp:effectExtent l="0" t="0" r="8255" b="9525"/>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pic:cNvPicPr>
                        </pic:nvPicPr>
                        <pic:blipFill>
                          <a:blip r:embed="rId11"/>
                          <a:stretch>
                            <a:fillRect/>
                          </a:stretch>
                        </pic:blipFill>
                        <pic:spPr>
                          <a:xfrm>
                            <a:off x="0" y="0"/>
                            <a:ext cx="5414645" cy="3470275"/>
                          </a:xfrm>
                          <a:prstGeom prst="rect">
                            <a:avLst/>
                          </a:prstGeom>
                          <a:noFill/>
                          <a:ln>
                            <a:noFill/>
                          </a:ln>
                        </pic:spPr>
                      </pic:pic>
                    </a:graphicData>
                  </a:graphic>
                </wp:inline>
              </w:drawing>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r>
              <w:rPr>
                <w:rFonts w:hint="default" w:ascii="Times New Roman" w:hAnsi="Times New Roman" w:eastAsia="宋体" w:cs="Times New Roman"/>
                <w:b/>
                <w:bCs/>
                <w:color w:val="auto"/>
                <w:spacing w:val="0"/>
                <w:kern w:val="21"/>
                <w:position w:val="0"/>
                <w:sz w:val="21"/>
                <w:szCs w:val="21"/>
                <w:highlight w:val="none"/>
                <w:lang w:val="en-US" w:eastAsia="zh-CN"/>
              </w:rPr>
              <w:t>图1-</w:t>
            </w:r>
            <w:r>
              <w:rPr>
                <w:rFonts w:hint="eastAsia" w:ascii="Times New Roman" w:hAnsi="Times New Roman" w:eastAsia="宋体" w:cs="Times New Roman"/>
                <w:b/>
                <w:bCs/>
                <w:color w:val="auto"/>
                <w:spacing w:val="0"/>
                <w:kern w:val="21"/>
                <w:position w:val="0"/>
                <w:sz w:val="21"/>
                <w:szCs w:val="21"/>
                <w:highlight w:val="none"/>
                <w:lang w:val="en-US" w:eastAsia="zh-CN"/>
              </w:rPr>
              <w:t>4</w:t>
            </w:r>
            <w:r>
              <w:rPr>
                <w:rFonts w:hint="default" w:ascii="Times New Roman" w:hAnsi="Times New Roman" w:eastAsia="宋体" w:cs="Times New Roman"/>
                <w:b/>
                <w:bCs/>
                <w:color w:val="auto"/>
                <w:spacing w:val="0"/>
                <w:kern w:val="21"/>
                <w:position w:val="0"/>
                <w:sz w:val="21"/>
                <w:szCs w:val="21"/>
                <w:highlight w:val="none"/>
                <w:lang w:val="en-US" w:eastAsia="zh-CN"/>
              </w:rPr>
              <w:t xml:space="preserve">  </w:t>
            </w:r>
            <w:r>
              <w:rPr>
                <w:rFonts w:hint="eastAsia" w:ascii="Times New Roman" w:hAnsi="Times New Roman" w:eastAsia="宋体" w:cs="Times New Roman"/>
                <w:b/>
                <w:bCs/>
                <w:color w:val="auto"/>
                <w:spacing w:val="0"/>
                <w:kern w:val="21"/>
                <w:position w:val="0"/>
                <w:sz w:val="21"/>
                <w:szCs w:val="21"/>
                <w:highlight w:val="none"/>
                <w:lang w:val="en-US" w:eastAsia="zh-CN"/>
              </w:rPr>
              <w:t>本项目</w:t>
            </w:r>
            <w:r>
              <w:rPr>
                <w:rFonts w:hint="default" w:ascii="Times New Roman" w:hAnsi="Times New Roman" w:eastAsia="宋体" w:cs="Times New Roman"/>
                <w:b/>
                <w:bCs/>
                <w:color w:val="auto"/>
                <w:spacing w:val="0"/>
                <w:kern w:val="21"/>
                <w:position w:val="0"/>
                <w:sz w:val="21"/>
                <w:szCs w:val="21"/>
                <w:highlight w:val="none"/>
                <w:lang w:val="en-US" w:eastAsia="zh-CN"/>
              </w:rPr>
              <w:t>分区管控单元</w:t>
            </w:r>
            <w:r>
              <w:rPr>
                <w:rFonts w:hint="eastAsia" w:cs="Times New Roman"/>
                <w:b/>
                <w:bCs/>
                <w:color w:val="auto"/>
                <w:spacing w:val="0"/>
                <w:kern w:val="21"/>
                <w:position w:val="0"/>
                <w:sz w:val="21"/>
                <w:szCs w:val="21"/>
                <w:highlight w:val="none"/>
                <w:lang w:val="en-US" w:eastAsia="zh-CN"/>
              </w:rPr>
              <w:t>查询截图（东柳二水厂泵站处）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项目涉及到环境管控单元</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个，涉及到管控单元</w:t>
            </w:r>
            <w:r>
              <w:rPr>
                <w:rFonts w:hint="eastAsia" w:ascii="Times New Roman" w:hAnsi="Times New Roman" w:eastAsia="宋体" w:cs="Times New Roman"/>
                <w:color w:val="auto"/>
                <w:sz w:val="21"/>
                <w:szCs w:val="21"/>
                <w:highlight w:val="none"/>
                <w:lang w:val="en-US" w:eastAsia="zh-CN"/>
              </w:rPr>
              <w:t>统计</w:t>
            </w:r>
            <w:r>
              <w:rPr>
                <w:rFonts w:hint="default" w:ascii="Times New Roman" w:hAnsi="Times New Roman" w:eastAsia="宋体" w:cs="Times New Roman"/>
                <w:color w:val="auto"/>
                <w:sz w:val="21"/>
                <w:szCs w:val="21"/>
                <w:highlight w:val="none"/>
              </w:rPr>
              <w:t>见下表。</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表1-</w:t>
            </w:r>
            <w:r>
              <w:rPr>
                <w:rFonts w:hint="eastAsia" w:cs="Times New Roman"/>
                <w:b/>
                <w:bCs/>
                <w:color w:val="auto"/>
                <w:kern w:val="0"/>
                <w:sz w:val="21"/>
                <w:szCs w:val="21"/>
                <w:highlight w:val="none"/>
                <w:lang w:val="en-US" w:eastAsia="zh-CN"/>
              </w:rPr>
              <w:t>4</w:t>
            </w:r>
            <w:r>
              <w:rPr>
                <w:rFonts w:hint="eastAsia" w:ascii="Times New Roman" w:hAnsi="Times New Roman" w:eastAsia="宋体" w:cs="Times New Roman"/>
                <w:b/>
                <w:bCs/>
                <w:color w:val="auto"/>
                <w:kern w:val="0"/>
                <w:sz w:val="21"/>
                <w:szCs w:val="21"/>
                <w:highlight w:val="none"/>
                <w:lang w:val="en-US" w:eastAsia="zh-CN"/>
              </w:rPr>
              <w:t xml:space="preserve">  </w:t>
            </w:r>
            <w:r>
              <w:rPr>
                <w:rFonts w:hint="eastAsia" w:cs="Times New Roman"/>
                <w:b/>
                <w:bCs/>
                <w:color w:val="auto"/>
                <w:kern w:val="0"/>
                <w:sz w:val="21"/>
                <w:szCs w:val="21"/>
                <w:highlight w:val="none"/>
                <w:lang w:val="en-US" w:eastAsia="zh-CN"/>
              </w:rPr>
              <w:t>本项目所在地</w:t>
            </w:r>
            <w:r>
              <w:rPr>
                <w:rFonts w:hint="eastAsia" w:ascii="Times New Roman" w:hAnsi="Times New Roman" w:eastAsia="宋体" w:cs="Times New Roman"/>
                <w:b/>
                <w:bCs/>
                <w:color w:val="auto"/>
                <w:kern w:val="0"/>
                <w:sz w:val="21"/>
                <w:szCs w:val="21"/>
                <w:highlight w:val="none"/>
                <w:lang w:val="en-US" w:eastAsia="zh-CN"/>
              </w:rPr>
              <w:t>环境管控单元</w:t>
            </w:r>
            <w:r>
              <w:rPr>
                <w:rFonts w:hint="eastAsia" w:eastAsia="宋体" w:cs="Times New Roman"/>
                <w:b/>
                <w:bCs/>
                <w:color w:val="auto"/>
                <w:kern w:val="0"/>
                <w:sz w:val="21"/>
                <w:szCs w:val="21"/>
                <w:highlight w:val="none"/>
                <w:lang w:val="en-US" w:eastAsia="zh-CN"/>
              </w:rPr>
              <w:t>统计表</w:t>
            </w:r>
          </w:p>
          <w:tbl>
            <w:tblPr>
              <w:tblStyle w:val="29"/>
              <w:tblW w:w="8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31"/>
              <w:gridCol w:w="2676"/>
              <w:gridCol w:w="1565"/>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rPr>
              <w:tc>
                <w:tcPr>
                  <w:tcW w:w="1531"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18"/>
                      <w:szCs w:val="18"/>
                      <w:highlight w:val="none"/>
                      <w:vertAlign w:val="baseline"/>
                    </w:rPr>
                  </w:pPr>
                  <w:r>
                    <w:rPr>
                      <w:rStyle w:val="31"/>
                      <w:rFonts w:hint="eastAsia" w:ascii="Times New Roman" w:hAnsi="Times New Roman" w:eastAsia="宋体" w:cs="Times New Roman"/>
                      <w:b/>
                      <w:bCs/>
                      <w:color w:val="auto"/>
                      <w:kern w:val="2"/>
                      <w:sz w:val="18"/>
                      <w:szCs w:val="18"/>
                      <w:highlight w:val="none"/>
                      <w:lang w:val="en-US" w:eastAsia="zh-CN" w:bidi="ar-SA"/>
                    </w:rPr>
                    <w:t>管控单元编码</w:t>
                  </w:r>
                </w:p>
              </w:tc>
              <w:tc>
                <w:tcPr>
                  <w:tcW w:w="2676"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18"/>
                      <w:szCs w:val="18"/>
                      <w:highlight w:val="none"/>
                      <w:vertAlign w:val="baseline"/>
                    </w:rPr>
                  </w:pPr>
                  <w:r>
                    <w:rPr>
                      <w:rStyle w:val="31"/>
                      <w:rFonts w:hint="eastAsia" w:ascii="Times New Roman" w:hAnsi="Times New Roman" w:eastAsia="宋体" w:cs="Times New Roman"/>
                      <w:b/>
                      <w:bCs/>
                      <w:color w:val="auto"/>
                      <w:kern w:val="2"/>
                      <w:sz w:val="18"/>
                      <w:szCs w:val="18"/>
                      <w:highlight w:val="none"/>
                      <w:lang w:val="en-US" w:eastAsia="zh-CN" w:bidi="ar-SA"/>
                    </w:rPr>
                    <w:t>环境管控单元名称</w:t>
                  </w:r>
                </w:p>
              </w:tc>
              <w:tc>
                <w:tcPr>
                  <w:tcW w:w="1565"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18"/>
                      <w:szCs w:val="18"/>
                      <w:highlight w:val="none"/>
                      <w:vertAlign w:val="baseline"/>
                    </w:rPr>
                  </w:pPr>
                  <w:r>
                    <w:rPr>
                      <w:rStyle w:val="31"/>
                      <w:rFonts w:hint="eastAsia" w:ascii="Times New Roman" w:hAnsi="Times New Roman" w:eastAsia="宋体" w:cs="Times New Roman"/>
                      <w:b/>
                      <w:bCs/>
                      <w:color w:val="auto"/>
                      <w:kern w:val="2"/>
                      <w:sz w:val="18"/>
                      <w:szCs w:val="18"/>
                      <w:highlight w:val="none"/>
                      <w:lang w:val="en-US" w:eastAsia="zh-CN" w:bidi="ar-SA"/>
                    </w:rPr>
                    <w:t>准入清单类型</w:t>
                  </w:r>
                </w:p>
              </w:tc>
              <w:tc>
                <w:tcPr>
                  <w:tcW w:w="3097" w:type="dxa"/>
                  <w:vAlign w:val="center"/>
                </w:tcPr>
                <w:p>
                  <w:pPr>
                    <w:pStyle w:val="91"/>
                    <w:widowControl/>
                    <w:spacing w:line="240" w:lineRule="auto"/>
                    <w:ind w:firstLine="0" w:firstLineChars="0"/>
                    <w:jc w:val="center"/>
                    <w:rPr>
                      <w:rFonts w:hint="default" w:ascii="Times New Roman" w:hAnsi="Times New Roman" w:eastAsia="宋体" w:cs="Times New Roman"/>
                      <w:b/>
                      <w:bCs/>
                      <w:color w:val="auto"/>
                      <w:sz w:val="18"/>
                      <w:szCs w:val="18"/>
                      <w:highlight w:val="none"/>
                      <w:vertAlign w:val="baseline"/>
                    </w:rPr>
                  </w:pPr>
                  <w:r>
                    <w:rPr>
                      <w:rStyle w:val="31"/>
                      <w:rFonts w:hint="eastAsia" w:ascii="Times New Roman" w:hAnsi="Times New Roman" w:eastAsia="宋体" w:cs="Times New Roman"/>
                      <w:b/>
                      <w:bCs/>
                      <w:color w:val="auto"/>
                      <w:kern w:val="2"/>
                      <w:sz w:val="18"/>
                      <w:szCs w:val="18"/>
                      <w:highlight w:val="none"/>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4" w:hRule="atLeast"/>
              </w:trPr>
              <w:tc>
                <w:tcPr>
                  <w:tcW w:w="1531"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YS5117242310001</w:t>
                  </w:r>
                </w:p>
              </w:tc>
              <w:tc>
                <w:tcPr>
                  <w:tcW w:w="2676"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四川大竹经济开发区</w:t>
                  </w:r>
                </w:p>
              </w:tc>
              <w:tc>
                <w:tcPr>
                  <w:tcW w:w="156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大气环境管控分区</w:t>
                  </w:r>
                </w:p>
              </w:tc>
              <w:tc>
                <w:tcPr>
                  <w:tcW w:w="3097"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8" w:hRule="atLeast"/>
              </w:trPr>
              <w:tc>
                <w:tcPr>
                  <w:tcW w:w="1531"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YS5117242530001</w:t>
                  </w:r>
                </w:p>
              </w:tc>
              <w:tc>
                <w:tcPr>
                  <w:tcW w:w="2676"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大竹县城镇开发边界</w:t>
                  </w:r>
                </w:p>
              </w:tc>
              <w:tc>
                <w:tcPr>
                  <w:tcW w:w="156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资源管控分区</w:t>
                  </w:r>
                </w:p>
              </w:tc>
              <w:tc>
                <w:tcPr>
                  <w:tcW w:w="3097"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土地资源重点管控区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10" w:hRule="atLeast"/>
              </w:trPr>
              <w:tc>
                <w:tcPr>
                  <w:tcW w:w="1531"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YS5117242550001</w:t>
                  </w:r>
                </w:p>
              </w:tc>
              <w:tc>
                <w:tcPr>
                  <w:tcW w:w="2676"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大竹县自然资源重点管控区</w:t>
                  </w:r>
                </w:p>
              </w:tc>
              <w:tc>
                <w:tcPr>
                  <w:tcW w:w="156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资源管控分区</w:t>
                  </w:r>
                </w:p>
              </w:tc>
              <w:tc>
                <w:tcPr>
                  <w:tcW w:w="3097"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自然资源重点管控区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rPr>
              <w:tc>
                <w:tcPr>
                  <w:tcW w:w="1531"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ZH51172420002</w:t>
                  </w:r>
                </w:p>
              </w:tc>
              <w:tc>
                <w:tcPr>
                  <w:tcW w:w="2676"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四川大竹经济开发区</w:t>
                  </w:r>
                </w:p>
              </w:tc>
              <w:tc>
                <w:tcPr>
                  <w:tcW w:w="1565"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环境综合管控单元</w:t>
                  </w:r>
                </w:p>
              </w:tc>
              <w:tc>
                <w:tcPr>
                  <w:tcW w:w="3097" w:type="dxa"/>
                  <w:vAlign w:val="center"/>
                </w:tcPr>
                <w:p>
                  <w:pPr>
                    <w:pStyle w:val="91"/>
                    <w:widowControl/>
                    <w:spacing w:line="240" w:lineRule="auto"/>
                    <w:ind w:firstLine="0" w:firstLineChars="0"/>
                    <w:jc w:val="center"/>
                    <w:rPr>
                      <w:rFonts w:hint="default" w:ascii="Times New Roman" w:hAnsi="Times New Roman" w:eastAsia="宋体" w:cs="Times New Roman"/>
                      <w:color w:val="auto"/>
                      <w:sz w:val="18"/>
                      <w:szCs w:val="18"/>
                      <w:highlight w:val="none"/>
                      <w:vertAlign w:val="baseline"/>
                    </w:rPr>
                  </w:pPr>
                  <w:r>
                    <w:rPr>
                      <w:rStyle w:val="31"/>
                      <w:rFonts w:hint="eastAsia" w:ascii="Times New Roman" w:hAnsi="Times New Roman" w:eastAsia="宋体" w:cs="Times New Roman"/>
                      <w:color w:val="auto"/>
                      <w:kern w:val="2"/>
                      <w:sz w:val="18"/>
                      <w:szCs w:val="18"/>
                      <w:highlight w:val="none"/>
                      <w:lang w:val="en-US" w:eastAsia="zh-CN" w:bidi="ar-SA"/>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71" w:hRule="atLeast"/>
              </w:trPr>
              <w:tc>
                <w:tcPr>
                  <w:tcW w:w="1531"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YS5117242230001</w:t>
                  </w:r>
                </w:p>
              </w:tc>
              <w:tc>
                <w:tcPr>
                  <w:tcW w:w="2676"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东柳河-大竹县-墩子河-控制单元</w:t>
                  </w:r>
                </w:p>
              </w:tc>
              <w:tc>
                <w:tcPr>
                  <w:tcW w:w="1565"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水环境管控分区</w:t>
                  </w:r>
                </w:p>
              </w:tc>
              <w:tc>
                <w:tcPr>
                  <w:tcW w:w="3097"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4" w:hRule="atLeast"/>
              </w:trPr>
              <w:tc>
                <w:tcPr>
                  <w:tcW w:w="1531"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YS5117242340001</w:t>
                  </w:r>
                </w:p>
              </w:tc>
              <w:tc>
                <w:tcPr>
                  <w:tcW w:w="2676"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大竹县城镇集中建设区</w:t>
                  </w:r>
                </w:p>
              </w:tc>
              <w:tc>
                <w:tcPr>
                  <w:tcW w:w="1565"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大气环境管控分区</w:t>
                  </w:r>
                </w:p>
              </w:tc>
              <w:tc>
                <w:tcPr>
                  <w:tcW w:w="3097"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39" w:hRule="atLeast"/>
              </w:trPr>
              <w:tc>
                <w:tcPr>
                  <w:tcW w:w="1531"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ZH51172420001</w:t>
                  </w:r>
                </w:p>
              </w:tc>
              <w:tc>
                <w:tcPr>
                  <w:tcW w:w="2676"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大竹县城镇空间</w:t>
                  </w:r>
                </w:p>
              </w:tc>
              <w:tc>
                <w:tcPr>
                  <w:tcW w:w="1565"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环境综合管控单元</w:t>
                  </w:r>
                </w:p>
              </w:tc>
              <w:tc>
                <w:tcPr>
                  <w:tcW w:w="3097" w:type="dxa"/>
                  <w:vAlign w:val="center"/>
                </w:tcPr>
                <w:p>
                  <w:pPr>
                    <w:pStyle w:val="91"/>
                    <w:widowControl/>
                    <w:spacing w:line="240" w:lineRule="auto"/>
                    <w:ind w:firstLine="0" w:firstLineChars="0"/>
                    <w:jc w:val="center"/>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环境综合管控单元城镇重点管控单元</w:t>
                  </w:r>
                </w:p>
              </w:tc>
            </w:tr>
          </w:tbl>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bCs/>
                <w:color w:val="auto"/>
                <w:spacing w:val="0"/>
                <w:kern w:val="21"/>
                <w:position w:val="0"/>
                <w:sz w:val="21"/>
                <w:szCs w:val="21"/>
                <w:lang w:val="en-US" w:eastAsia="zh-CN"/>
              </w:rPr>
            </w:pPr>
            <w:r>
              <w:rPr>
                <w:color w:val="auto"/>
                <w:sz w:val="21"/>
              </w:rPr>
              <mc:AlternateContent>
                <mc:Choice Requires="wps">
                  <w:drawing>
                    <wp:anchor distT="0" distB="0" distL="114300" distR="114300" simplePos="0" relativeHeight="251760640" behindDoc="0" locked="0" layoutInCell="1" allowOverlap="1">
                      <wp:simplePos x="0" y="0"/>
                      <wp:positionH relativeFrom="column">
                        <wp:posOffset>2684145</wp:posOffset>
                      </wp:positionH>
                      <wp:positionV relativeFrom="paragraph">
                        <wp:posOffset>1678940</wp:posOffset>
                      </wp:positionV>
                      <wp:extent cx="328930" cy="330200"/>
                      <wp:effectExtent l="6350" t="0" r="7620" b="12700"/>
                      <wp:wrapNone/>
                      <wp:docPr id="205" name="任意多边形 205"/>
                      <wp:cNvGraphicFramePr/>
                      <a:graphic xmlns:a="http://schemas.openxmlformats.org/drawingml/2006/main">
                        <a:graphicData uri="http://schemas.microsoft.com/office/word/2010/wordprocessingShape">
                          <wps:wsp>
                            <wps:cNvSpPr/>
                            <wps:spPr>
                              <a:xfrm>
                                <a:off x="0" y="0"/>
                                <a:ext cx="328930" cy="330200"/>
                              </a:xfrm>
                              <a:custGeom>
                                <a:avLst/>
                                <a:gdLst>
                                  <a:gd name="connsiteX0" fmla="*/ 0 w 1085"/>
                                  <a:gd name="connsiteY0" fmla="*/ 0 h 1051"/>
                                  <a:gd name="connsiteX1" fmla="*/ 4 w 1085"/>
                                  <a:gd name="connsiteY1" fmla="*/ 148 h 1051"/>
                                  <a:gd name="connsiteX2" fmla="*/ 110 w 1085"/>
                                  <a:gd name="connsiteY2" fmla="*/ 146 h 1051"/>
                                  <a:gd name="connsiteX3" fmla="*/ 141 w 1085"/>
                                  <a:gd name="connsiteY3" fmla="*/ 164 h 1051"/>
                                  <a:gd name="connsiteX4" fmla="*/ 175 w 1085"/>
                                  <a:gd name="connsiteY4" fmla="*/ 201 h 1051"/>
                                  <a:gd name="connsiteX5" fmla="*/ 194 w 1085"/>
                                  <a:gd name="connsiteY5" fmla="*/ 249 h 1051"/>
                                  <a:gd name="connsiteX6" fmla="*/ 193 w 1085"/>
                                  <a:gd name="connsiteY6" fmla="*/ 256 h 1051"/>
                                  <a:gd name="connsiteX7" fmla="*/ 181 w 1085"/>
                                  <a:gd name="connsiteY7" fmla="*/ 377 h 1051"/>
                                  <a:gd name="connsiteX8" fmla="*/ 181 w 1085"/>
                                  <a:gd name="connsiteY8" fmla="*/ 594 h 1051"/>
                                  <a:gd name="connsiteX9" fmla="*/ 189 w 1085"/>
                                  <a:gd name="connsiteY9" fmla="*/ 691 h 1051"/>
                                  <a:gd name="connsiteX10" fmla="*/ 141 w 1085"/>
                                  <a:gd name="connsiteY10" fmla="*/ 762 h 1051"/>
                                  <a:gd name="connsiteX11" fmla="*/ 134 w 1085"/>
                                  <a:gd name="connsiteY11" fmla="*/ 809 h 1051"/>
                                  <a:gd name="connsiteX12" fmla="*/ 123 w 1085"/>
                                  <a:gd name="connsiteY12" fmla="*/ 883 h 1051"/>
                                  <a:gd name="connsiteX13" fmla="*/ 123 w 1085"/>
                                  <a:gd name="connsiteY13" fmla="*/ 929 h 1051"/>
                                  <a:gd name="connsiteX14" fmla="*/ 133 w 1085"/>
                                  <a:gd name="connsiteY14" fmla="*/ 970 h 1051"/>
                                  <a:gd name="connsiteX15" fmla="*/ 137 w 1085"/>
                                  <a:gd name="connsiteY15" fmla="*/ 1009 h 1051"/>
                                  <a:gd name="connsiteX16" fmla="*/ 168 w 1085"/>
                                  <a:gd name="connsiteY16" fmla="*/ 1051 h 1051"/>
                                  <a:gd name="connsiteX17" fmla="*/ 224 w 1085"/>
                                  <a:gd name="connsiteY17" fmla="*/ 1027 h 1051"/>
                                  <a:gd name="connsiteX18" fmla="*/ 240 w 1085"/>
                                  <a:gd name="connsiteY18" fmla="*/ 992 h 1051"/>
                                  <a:gd name="connsiteX19" fmla="*/ 251 w 1085"/>
                                  <a:gd name="connsiteY19" fmla="*/ 947 h 1051"/>
                                  <a:gd name="connsiteX20" fmla="*/ 280 w 1085"/>
                                  <a:gd name="connsiteY20" fmla="*/ 937 h 1051"/>
                                  <a:gd name="connsiteX21" fmla="*/ 313 w 1085"/>
                                  <a:gd name="connsiteY21" fmla="*/ 922 h 1051"/>
                                  <a:gd name="connsiteX22" fmla="*/ 386 w 1085"/>
                                  <a:gd name="connsiteY22" fmla="*/ 920 h 1051"/>
                                  <a:gd name="connsiteX23" fmla="*/ 450 w 1085"/>
                                  <a:gd name="connsiteY23" fmla="*/ 913 h 1051"/>
                                  <a:gd name="connsiteX24" fmla="*/ 580 w 1085"/>
                                  <a:gd name="connsiteY24" fmla="*/ 908 h 1051"/>
                                  <a:gd name="connsiteX25" fmla="*/ 675 w 1085"/>
                                  <a:gd name="connsiteY25" fmla="*/ 923 h 1051"/>
                                  <a:gd name="connsiteX26" fmla="*/ 827 w 1085"/>
                                  <a:gd name="connsiteY26" fmla="*/ 937 h 1051"/>
                                  <a:gd name="connsiteX27" fmla="*/ 906 w 1085"/>
                                  <a:gd name="connsiteY27" fmla="*/ 951 h 1051"/>
                                  <a:gd name="connsiteX28" fmla="*/ 954 w 1085"/>
                                  <a:gd name="connsiteY28" fmla="*/ 957 h 1051"/>
                                  <a:gd name="connsiteX29" fmla="*/ 1085 w 1085"/>
                                  <a:gd name="connsiteY29" fmla="*/ 975 h 1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pathLst>
                                  <a:path w="1085" h="1051">
                                    <a:moveTo>
                                      <a:pt x="0" y="0"/>
                                    </a:moveTo>
                                    <a:lnTo>
                                      <a:pt x="4" y="148"/>
                                    </a:lnTo>
                                    <a:lnTo>
                                      <a:pt x="110" y="146"/>
                                    </a:lnTo>
                                    <a:lnTo>
                                      <a:pt x="141" y="164"/>
                                    </a:lnTo>
                                    <a:lnTo>
                                      <a:pt x="175" y="201"/>
                                    </a:lnTo>
                                    <a:lnTo>
                                      <a:pt x="194" y="249"/>
                                    </a:lnTo>
                                    <a:lnTo>
                                      <a:pt x="193" y="256"/>
                                    </a:lnTo>
                                    <a:lnTo>
                                      <a:pt x="181" y="377"/>
                                    </a:lnTo>
                                    <a:lnTo>
                                      <a:pt x="181" y="594"/>
                                    </a:lnTo>
                                    <a:lnTo>
                                      <a:pt x="189" y="691"/>
                                    </a:lnTo>
                                    <a:lnTo>
                                      <a:pt x="141" y="762"/>
                                    </a:lnTo>
                                    <a:lnTo>
                                      <a:pt x="134" y="809"/>
                                    </a:lnTo>
                                    <a:lnTo>
                                      <a:pt x="123" y="883"/>
                                    </a:lnTo>
                                    <a:lnTo>
                                      <a:pt x="123" y="929"/>
                                    </a:lnTo>
                                    <a:lnTo>
                                      <a:pt x="133" y="970"/>
                                    </a:lnTo>
                                    <a:lnTo>
                                      <a:pt x="137" y="1009"/>
                                    </a:lnTo>
                                    <a:lnTo>
                                      <a:pt x="168" y="1051"/>
                                    </a:lnTo>
                                    <a:lnTo>
                                      <a:pt x="224" y="1027"/>
                                    </a:lnTo>
                                    <a:lnTo>
                                      <a:pt x="240" y="992"/>
                                    </a:lnTo>
                                    <a:lnTo>
                                      <a:pt x="251" y="947"/>
                                    </a:lnTo>
                                    <a:lnTo>
                                      <a:pt x="280" y="937"/>
                                    </a:lnTo>
                                    <a:lnTo>
                                      <a:pt x="313" y="922"/>
                                    </a:lnTo>
                                    <a:lnTo>
                                      <a:pt x="386" y="920"/>
                                    </a:lnTo>
                                    <a:lnTo>
                                      <a:pt x="450" y="913"/>
                                    </a:lnTo>
                                    <a:lnTo>
                                      <a:pt x="580" y="908"/>
                                    </a:lnTo>
                                    <a:lnTo>
                                      <a:pt x="675" y="923"/>
                                    </a:lnTo>
                                    <a:lnTo>
                                      <a:pt x="827" y="937"/>
                                    </a:lnTo>
                                    <a:lnTo>
                                      <a:pt x="906" y="951"/>
                                    </a:lnTo>
                                    <a:lnTo>
                                      <a:pt x="954" y="957"/>
                                    </a:lnTo>
                                    <a:lnTo>
                                      <a:pt x="1085" y="975"/>
                                    </a:lnTo>
                                  </a:path>
                                </a:pathLst>
                              </a:custGeom>
                              <a:noFill/>
                              <a:ln w="12700" cap="flat" cmpd="sng">
                                <a:solidFill>
                                  <a:srgbClr val="FF0000"/>
                                </a:solidFill>
                                <a:prstDash val="solid"/>
                                <a:headEnd type="none" w="med" len="med"/>
                                <a:tailEnd type="none" w="med" len="med"/>
                              </a:ln>
                            </wps:spPr>
                            <wps:txbx>
                              <w:txbxContent>
                                <w:p>
                                  <w:pPr>
                                    <w:jc w:val="center"/>
                                  </w:pPr>
                                </w:p>
                                <w:p>
                                  <w:pPr>
                                    <w:pStyle w:val="22"/>
                                  </w:pPr>
                                </w:p>
                                <w:p/>
                              </w:txbxContent>
                            </wps:txbx>
                            <wps:bodyPr upright="1"/>
                          </wps:wsp>
                        </a:graphicData>
                      </a:graphic>
                    </wp:anchor>
                  </w:drawing>
                </mc:Choice>
                <mc:Fallback>
                  <w:pict>
                    <v:shape id="_x0000_s1026" o:spid="_x0000_s1026" o:spt="100" style="position:absolute;left:0pt;margin-left:211.35pt;margin-top:132.2pt;height:26pt;width:25.9pt;z-index:251760640;mso-width-relative:page;mso-height-relative:page;" filled="f" stroked="t" coordsize="1085,1051" o:gfxdata="UEsDBAoAAAAAAIdO4kAAAAAAAAAAAAAAAAAEAAAAZHJzL1BLAwQUAAAACACHTuJAzqULQ9oAAAAL&#10;AQAADwAAAGRycy9kb3ducmV2LnhtbE2PPW+DMBRF90r9D9aL1K0xUAMRxWRolSWdChk6OvYLELCN&#10;bOej/77u1I5P9+je8+rtXc/kis6P1nBI1wkQNNKq0fQcDt3ueQPEB2GUmK1BDt/oYds8PtSiUvZm&#10;PvHahp7EEuMrwWEIYako9XJALfzaLmhidrJOixBP11PlxC2W65lmSVJQLUYTFwax4NuAcmovmsO0&#10;yZ17P+fTaSfLTn50+/Zr3nP+tEqTVyAB7+EPhl/9qA5NdDrai1GezBxYlpUR5ZAVjAGJBCtZDuTI&#10;4SUtGNCmpv9/aH4AUEsDBBQAAAAIAIdO4kDmkO2sqQUAAAMbAAAOAAAAZHJzL2Uyb0RvYy54bWyt&#10;Wc2O5DQQviPxDlGOSGzHTro7GU3PHhiGC4KVdpGWYyZJd0fKn5LMdM+dO3eOiJdAK3gaFvEYfI6T&#10;mXIQqTZiDp14/FWlXP7KrrKvX5/LwnnM2i6vq50rXnmuk1VJnebVYed+9+7u89B1uj6u0rioq2zn&#10;PmWd+/rm00+uT81VJutjXaRZ60BJ1V2dmp177PvmarXqkmNWxt2ruskqdO7rtox7NNvDKm3jE7SX&#10;xUp63mZ1qtu0aesk6zr891Z3ujeD/v0+S/pv9/su651i58K2fvhth9979bu6uY6vDm3cHPNkNCP+&#10;D1aUcV7ho8+qbuM+dh7a/B+qyjxp667e96+SulzV+32eZMMYMBrhzUbz9hg32TAWOKdrnt3U/X9q&#10;k28e37ROnu5c6a1dp4pLTNIfHz78+cOPH3/56a/ff/3428+O6oKjTk13Bfzb5k07tjq8qlGf922p&#10;nhiPcx6c+/Ts3OzcOwn+6csw8jEFCbp838PkKZ2rF+Hkoeu/yupBUfz4ddfruUnxNng2Ha1L6qrq&#10;8j57D2X7ssB0fbZyPOfkCC8c7MQszLHfm9gjsGsxTv4c+14QvQGjl2JFEDrLmiXRLARns4EONoxu&#10;n+oOBGO3gd4EjO6A6t6uGd0UDVYzusG651kUEedvipZBxOjeGLp9xm6KlmvO31uqO+T8TdH+dsvY&#10;jUXzxSesbopew4PLHIwM3RHjE4reRNxcChpmgiWhAd9uJGO5MILN56hiwEOP44owwk1yZDHgYehz&#10;thsBx2un8EiyttOQEz5rO4VHW4+znQad8LcMZYQB93jH07gTm5BTb8CxjHPW09CTkmUNhQtPcqEq&#10;aPTJgFvTDXgUsZSn8Scx1uVdTlB4FHC2SxquMuRsN+AReLC80Egarr7gSGnAI8l5RtJw9cMN4xkD&#10;HkmO8pLGX7BmPUPhEYbKeIbG35r3O4VHHptk0PjbsLu1pPAIKxNjOw2/EOGxzEhJ4RdwhkZf5LGz&#10;asDZpUDSWI3W3FIwg7N8p8GnclHONRQfYZ5eHI+s+DDlvfFxSoWTczXmwnhzYlVheUPR0dSdSrtp&#10;Yowke2oi99WJNqRUIs0II2qp8JAlw57LhBGUVFhafRlBRIV9K2HECBUOrIQRAlR4qCIuHjMYToU3&#10;Vl8Gganw1koYdKbCoZUw2EeFIythlblRabStODYnmR3LVO5lfN2OZ2JGNLStjJ9RTdhxTaVHhvF2&#10;bBMzuqFtZfyMcMKOcSp9MYy345zKTwxxO9apBISKo20zdpVhGOJ2rFMphCFuxzqVUhjidqyTM9ah&#10;bTX2Geuw61uJz1iHbd1KfMY6acc6tREbrrNjnZyxDm1ivF7nx421iXu13aptUr06J5xpqlMl56he&#10;cGSkesr6MXtXD5h+dtwFZS+9RUVRev5wRjR+fOqdns2gC6dCw1hFMHl46p+eIy7QZBabiQdT//Qc&#10;cVs98TiHWf5upO3DmQqD0zTG+cgyLtT24azjIhzOLRicnkScQSzjRr/gNGEZ5+vx4lxgGTeGLSr8&#10;i3Co1ZdxvvYfqm4Gp0NGoH5eBm50cEwHmmDgxIDpqZmA0lczCzXtokYUsQMQ1ekyDuGgwhJ15jIu&#10;HPX5yziUiFofFlodn9MApqceCIq9EbfsQpRtGve8v096pqfWhwJM47zl0EQpNX53mQooijSOGS/K&#10;G43TJ9H/OnEoVEbcsv/0QqUmBIZSB0KzWsyGw/bnBQ7/pAfuVX2XFwWkFH2GZU9ucULvJDEuZfZF&#10;3OO1bHBN0FWHYRHs6iJPlYwS6drD/RdF6zzGuGa5u/PwN1pgwJq262/j7qhxQ5eCxVfHLE6/rFKn&#10;f2pw/VDhpshVNpRZ6jpFhosl9TYg+zgvLkEO3sSI1Z2FvqVQb/35/gw16vW+Tp9w8/HQtPnhiGsh&#10;vayoHty0DK4ab4XUVQ5tD0pf7q5u/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DOpQtD2gAAAAsB&#10;AAAPAAAAAAAAAAEAIAAAACIAAABkcnMvZG93bnJldi54bWxQSwECFAAUAAAACACHTuJA5pDtrKkF&#10;AAADGwAADgAAAAAAAAABACAAAAApAQAAZHJzL2Uyb0RvYy54bWxQSwUGAAAAAAYABgBZAQAARAkA&#10;AAAA&#10;" path="m0,0l4,148,110,146,141,164,175,201,194,249,193,256,181,377,181,594,189,691,141,762,134,809,123,883,123,929,133,970,137,1009,168,1051,224,1027,240,992,251,947,280,937,313,922,386,920,450,913,580,908,675,923,827,937,906,951,954,957,1085,975e">
                      <v:path textboxrect="0,0,1085,1051" o:connectlocs="0,0;1212,46498;33347,45869;42745,51525;53053,63149;58813,78230;58510,80429;54872,118444;54872,186621;57297,217096;42745,239402;40623,254169;37288,277418;37288,291870;40320,304751;41533,317004;50931,330200;67908,322659;72758,311663;76093,297525;84885,294383;94889,289671;117020,289042;136422,286843;175833,285272;204633,289985;250714,294383;274664,298782;289215,300667;328930,306322" o:connectangles="0,0,0,0,0,0,0,0,0,0,0,0,0,0,0,0,0,0,0,0,0,0,0,0,0,0,0,0,0,0"/>
                      <v:fill on="f" focussize="0,0"/>
                      <v:stroke weight="1pt" color="#FF0000" joinstyle="round"/>
                      <v:imagedata o:title=""/>
                      <o:lock v:ext="edit" aspectratio="f"/>
                      <v:textbox>
                        <w:txbxContent>
                          <w:p>
                            <w:pPr>
                              <w:jc w:val="center"/>
                            </w:pPr>
                          </w:p>
                          <w:p>
                            <w:pPr>
                              <w:pStyle w:val="22"/>
                            </w:pPr>
                          </w:p>
                          <w:p/>
                        </w:txbxContent>
                      </v:textbox>
                    </v:shape>
                  </w:pict>
                </mc:Fallback>
              </mc:AlternateContent>
            </w:r>
            <w:r>
              <w:rPr>
                <w:color w:val="auto"/>
                <w:sz w:val="21"/>
              </w:rPr>
              <mc:AlternateContent>
                <mc:Choice Requires="wpg">
                  <w:drawing>
                    <wp:anchor distT="0" distB="0" distL="114300" distR="114300" simplePos="0" relativeHeight="251761664" behindDoc="0" locked="0" layoutInCell="1" allowOverlap="1">
                      <wp:simplePos x="0" y="0"/>
                      <wp:positionH relativeFrom="column">
                        <wp:posOffset>2606675</wp:posOffset>
                      </wp:positionH>
                      <wp:positionV relativeFrom="paragraph">
                        <wp:posOffset>1647825</wp:posOffset>
                      </wp:positionV>
                      <wp:extent cx="76200" cy="76200"/>
                      <wp:effectExtent l="0" t="6350" r="12700" b="6350"/>
                      <wp:wrapNone/>
                      <wp:docPr id="214" name="组合 214"/>
                      <wp:cNvGraphicFramePr/>
                      <a:graphic xmlns:a="http://schemas.openxmlformats.org/drawingml/2006/main">
                        <a:graphicData uri="http://schemas.microsoft.com/office/word/2010/wordprocessingGroup">
                          <wpg:wgp>
                            <wpg:cNvGrpSpPr/>
                            <wpg:grpSpPr>
                              <a:xfrm>
                                <a:off x="0" y="0"/>
                                <a:ext cx="76200" cy="76200"/>
                                <a:chOff x="5429" y="149205"/>
                                <a:chExt cx="242" cy="369"/>
                              </a:xfrm>
                            </wpg:grpSpPr>
                            <wps:wsp>
                              <wps:cNvPr id="215" name="矩形 162"/>
                              <wps:cNvSpPr/>
                              <wps:spPr>
                                <a:xfrm>
                                  <a:off x="5551" y="149205"/>
                                  <a:ext cx="120" cy="120"/>
                                </a:xfrm>
                                <a:prstGeom prst="rect">
                                  <a:avLst/>
                                </a:prstGeom>
                                <a:no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直接连接符 163"/>
                              <wps:cNvCnPr/>
                              <wps:spPr>
                                <a:xfrm flipV="1">
                                  <a:off x="5618" y="149330"/>
                                  <a:ext cx="5" cy="244"/>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217" name="直接连接符 164"/>
                              <wps:cNvCnPr/>
                              <wps:spPr>
                                <a:xfrm>
                                  <a:off x="5429" y="149255"/>
                                  <a:ext cx="128" cy="3"/>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05.25pt;margin-top:129.75pt;height:6pt;width:6pt;z-index:251761664;mso-width-relative:page;mso-height-relative:page;" coordorigin="5429,149205" coordsize="242,369" o:gfxdata="UEsDBAoAAAAAAIdO4kAAAAAAAAAAAAAAAAAEAAAAZHJzL1BLAwQUAAAACACHTuJAdbMc49sAAAAL&#10;AQAADwAAAGRycy9kb3ducmV2LnhtbE2PzU7DMBCE70i8g7VI3FrboeEnxKlQBZwqJFokxM1NtknU&#10;eB3FbtK+Pcup3GZ3RrPf5suT68SIQ2g9GdBzBQKp9FVLtYGv7dvsEUSIlirbeUIDZwywLK6vcptV&#10;fqJPHDexFlxCIbMGmhj7TMpQNuhsmPseib29H5yNPA61rAY7cbnrZKLUvXS2Jb7Q2B5XDZaHzdEZ&#10;eJ/s9HKnX8f1Yb86/2zTj++1RmNub7R6BhHxFC9h+MNndCiYaeePVAXRGVholXLUQJI+seDEIklY&#10;7HjzoFOQRS7//1D8AlBLAwQUAAAACACHTuJA0zh6JUYDAAB1CQAADgAAAGRycy9lMm9Eb2MueG1s&#10;5VZLbxMxEL4j8R8s3+lmN9m0WXVbVSmpkCpaqTzOjuN9SF7b2E635cyBE+KOBBISSEgcuSHErynl&#10;ZzD2Phr6uBSJA+TgjD3jsef7Zsa7uX1ScXTMtCmlSHG4NsCICSoXpchT/PjR7N4GRsYSsSBcCpbi&#10;U2bw9tbdO5u1SlgkC8kXTCNwIkxSqxQX1qokCAwtWEXMmlRMgDKTuiIWpjoPFprU4L3iQTQYjINa&#10;6oXSkjJjYHW3UeIt7z/LGLUHWWaYRTzFcDfrR+3HuRuDrU2S5JqooqTtNcgtblGRUsChvatdYgla&#10;6vKKq6qkWhqZ2TUqq0BmWUmZjwGiCQeXotnTcql8LHlS56qHCaC9hNOt3dKHx4calYsUR+EII0Eq&#10;IOn864uz1y+RWwF8apUnYLan1ZE61O1C3sxcyCeZrtw/BINOPLKnPbLsxCIKi+tjIAsjCppG9LjT&#10;Ashxe+JRNMEIlOFoEg3ihhVa3G93R6Oo2TscT5wu6A4N3N36q9QKcshcwGT+DKajgijm0Tcu/h6m&#10;uIfp3aezb+9ROI4amLxZj5FJDMB1DUBxHIdXgu2ACqMWJieshkoSpY3dY7JCTkixhtz2KUeO941t&#10;TDsTd6qQs5JzjzMXqAZso3XPAYEyyzixAGmlgHgjcowIz6F+qdXepZG8XLjtzpHR+XzKNTomUEOz&#10;2QB+7c1+M3Nn7xJTNHZe5cxIUpUWSpyXVYo33OZuNxfApOOswclJc7k4BZy1bOrUKDorwe0+MfaQ&#10;aChMAAeajT2AIeMSgpKthFEh9fPr1p09JAJoMaqh0CHgZ0uiGUb8gYAUmYSjkesMfjKK1x0BelUz&#10;X9WIZTWVgAMwCLfzorO3vBMzLaun0JN23KmgIoLC2Q207WRqmwYEXY2ynR1vBt1AEbsvjhR1zhsC&#10;d5ZWZqXn9gKdFjRIdFeafyXjx33Gv/ny49WHn9/fwnj++SOk/nAl9aeibQ8dpU2ZooyX6kkXVdsl&#10;4nEIL0NT8cNh24e7IoAKc50iGvn+01f7lRLgpXAFSpJ/rgRcObfk/jWW129muX0HfIO7gWVHQ8ft&#10;ajeP227ecRtGwLtj12fOf8+tf8HgbfePWvsd4j4eVuc+Fy6+lr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WzHOPbAAAACwEAAA8AAAAAAAAAAQAgAAAAIgAAAGRycy9kb3ducmV2LnhtbFBLAQIU&#10;ABQAAAAIAIdO4kDTOHolRgMAAHUJAAAOAAAAAAAAAAEAIAAAACoBAABkcnMvZTJvRG9jLnhtbFBL&#10;BQYAAAAABgAGAFkBAADiBgAAAAA=&#10;">
                      <o:lock v:ext="edit" aspectratio="f"/>
                      <v:rect id="矩形 162" o:spid="_x0000_s1026" o:spt="1" style="position:absolute;left:5551;top:149205;height:120;width:120;v-text-anchor:middle;" filled="f" stroked="t" coordsize="21600,21600" o:gfxdata="UEsDBAoAAAAAAIdO4kAAAAAAAAAAAAAAAAAEAAAAZHJzL1BLAwQUAAAACACHTuJAhRlkD70AAADc&#10;AAAADwAAAGRycy9kb3ducmV2LnhtbEWPzWrDMBCE74G+g9hAb7HsQH9wreQQGgjkkDYx9LpYW9vE&#10;WglJsd23rwKFHofZ+Wan2s5mECP50FtWUGQ5COLG6p5bBfVlv3oFESKyxsEyKfihANvNw6LCUtuJ&#10;P2k8x1YkCIcSFXQxulLK0HRkMGTWESfv23qDMUnfSu1xSnAzyHWeP0uDPaeGDh3tOmqu55tJb7jh&#10;w+nb6Vp/FfPev+tjwPZFqcdlkb+BiDTH/+O/9EErWBdPcB+TC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WQPvQAA&#10;ANwAAAAPAAAAAAAAAAEAIAAAACIAAABkcnMvZG93bnJldi54bWxQSwECFAAUAAAACACHTuJAMy8F&#10;njsAAAA5AAAAEAAAAAAAAAABACAAAAAMAQAAZHJzL3NoYXBleG1sLnhtbFBLBQYAAAAABgAGAFsB&#10;AAC2AwAAAAA=&#10;">
                        <v:fill on="f" focussize="0,0"/>
                        <v:stroke weight="1pt" color="#FF0000 [2404]" miterlimit="8" joinstyle="miter"/>
                        <v:imagedata o:title=""/>
                        <o:lock v:ext="edit" aspectratio="f"/>
                      </v:rect>
                      <v:line id="直接连接符 163" o:spid="_x0000_s1026" o:spt="20" style="position:absolute;left:5618;top:149330;flip:y;height:244;width:5;" filled="f" stroked="t" coordsize="21600,21600" o:gfxdata="UEsDBAoAAAAAAIdO4kAAAAAAAAAAAAAAAAAEAAAAZHJzL1BLAwQUAAAACACHTuJAOAm5Xb4AAADc&#10;AAAADwAAAGRycy9kb3ducmV2LnhtbEWPQWvCQBSE74X+h+UVequbtSISXaUUhGLroVHvj+wzCcm+&#10;TXdXk/77riD0OMzMN8xqM9pOXMmHxrEGNclAEJfONFxpOB62LwsQISIb7ByThl8KsFk/PqwwN27g&#10;b7oWsRIJwiFHDXWMfS5lKGuyGCauJ07e2XmLMUlfSeNxSHDbyWmWzaXFhtNCjT2911S2xcVqOLy+&#10;7Qv/9amGduHG2W7bqp/TUevnJ5UtQUQa43/43v4wGqZqDrc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m5Xb4A&#10;AADc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line id="直接连接符 164" o:spid="_x0000_s1026" o:spt="20" style="position:absolute;left:5429;top:149255;height:3;width:128;" filled="f" stroked="t" coordsize="21600,21600" o:gfxdata="UEsDBAoAAAAAAIdO4kAAAAAAAAAAAAAAAAAEAAAAZHJzL1BLAwQUAAAACACHTuJAEwG2Zr8AAADc&#10;AAAADwAAAGRycy9kb3ducmV2LnhtbEWPQWsCMRSE7wX/Q3hCbzVZQdtujSKCogcPVQs9vibP3W03&#10;L8smXdd/bwoFj8PMfMPMFr2rRUdtqDxryEYKBLHxtuJCw+m4fnoBESKyxdozabhSgMV88DDD3PoL&#10;v1N3iIVIEA45aihjbHIpgynJYRj5hjh5Z986jEm2hbQtXhLc1XKs1FQ6rDgtlNjQqiTzc/h1Gj7W&#10;7vO03U/l5Nvs1HLzeu6/TKf14zBTbyAi9fEe/m9vrYZx9gx/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Btma/&#10;AAAA3AAAAA8AAAAAAAAAAQAgAAAAIgAAAGRycy9kb3ducmV2LnhtbFBLAQIUABQAAAAIAIdO4kAz&#10;LwWeOwAAADkAAAAQAAAAAAAAAAEAIAAAAA4BAABkcnMvc2hhcGV4bWwueG1sUEsFBgAAAAAGAAYA&#10;WwEAALgDAAAAAA==&#10;">
                        <v:fill on="f" focussize="0,0"/>
                        <v:stroke weight="1pt" color="#FF0000 [3204]" miterlimit="8" joinstyle="miter"/>
                        <v:imagedata o:title=""/>
                        <o:lock v:ext="edit" aspectratio="f"/>
                      </v:line>
                    </v:group>
                  </w:pict>
                </mc:Fallback>
              </mc:AlternateContent>
            </w:r>
            <w:r>
              <w:rPr>
                <w:color w:val="auto"/>
                <w:sz w:val="24"/>
              </w:rPr>
              <mc:AlternateContent>
                <mc:Choice Requires="wps">
                  <w:drawing>
                    <wp:anchor distT="0" distB="0" distL="114300" distR="114300" simplePos="0" relativeHeight="251759616" behindDoc="0" locked="0" layoutInCell="1" allowOverlap="1">
                      <wp:simplePos x="0" y="0"/>
                      <wp:positionH relativeFrom="column">
                        <wp:posOffset>2439670</wp:posOffset>
                      </wp:positionH>
                      <wp:positionV relativeFrom="paragraph">
                        <wp:posOffset>868680</wp:posOffset>
                      </wp:positionV>
                      <wp:extent cx="899160" cy="278765"/>
                      <wp:effectExtent l="6350" t="6350" r="8890" b="527685"/>
                      <wp:wrapNone/>
                      <wp:docPr id="192" name="线形标注 1 192"/>
                      <wp:cNvGraphicFramePr/>
                      <a:graphic xmlns:a="http://schemas.openxmlformats.org/drawingml/2006/main">
                        <a:graphicData uri="http://schemas.microsoft.com/office/word/2010/wordprocessingShape">
                          <wps:wsp>
                            <wps:cNvSpPr/>
                            <wps:spPr>
                              <a:xfrm>
                                <a:off x="0" y="0"/>
                                <a:ext cx="899160" cy="278765"/>
                              </a:xfrm>
                              <a:prstGeom prst="borderCallout1">
                                <a:avLst>
                                  <a:gd name="adj1" fmla="val 104100"/>
                                  <a:gd name="adj2" fmla="val 50988"/>
                                  <a:gd name="adj3" fmla="val 284738"/>
                                  <a:gd name="adj4" fmla="val 26836"/>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FF00"/>
                                      <w:sz w:val="18"/>
                                      <w:szCs w:val="21"/>
                                      <w:lang w:val="en-US" w:eastAsia="zh-CN"/>
                                    </w:rPr>
                                  </w:pPr>
                                  <w:r>
                                    <w:rPr>
                                      <w:rFonts w:hint="eastAsia"/>
                                      <w:color w:val="FFFF00"/>
                                      <w:sz w:val="18"/>
                                      <w:szCs w:val="21"/>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92.1pt;margin-top:68.4pt;height:21.95pt;width:70.8pt;z-index:251759616;v-text-anchor:middle;mso-width-relative:page;mso-height-relative:page;" filled="f" stroked="t" coordsize="21600,21600" o:gfxdata="UEsDBAoAAAAAAIdO4kAAAAAAAAAAAAAAAAAEAAAAZHJzL1BLAwQUAAAACACHTuJAXhsJnNgAAAAL&#10;AQAADwAAAGRycy9kb3ducmV2LnhtbE2PQU/DMAyF70j8h8hI3FjSjpWuNJ0GEruibSBxzBqvrWic&#10;qkm38e9nTnCz/Z6ev1euLq4XJxxD50lDMlMgkGpvO2o0fOzfHnIQIRqypveEGn4wwKq6vSlNYf2Z&#10;tnjaxUZwCIXCaGhjHAopQ92iM2HmByTWjn50JvI6NtKO5szhrpepUpl0piP+0JoBX1usv3eT00Dr&#10;JFt/2fd9evyc3GbZviw9brW+v0vUM4iIl/hnhl98RoeKmQ5+IhtEr2GeP6ZsZWGecQd2LNIFDwe+&#10;5OoJZFXK/x2qK1BLAwQUAAAACACHTuJAc1sLjaQCAAA4BQAADgAAAGRycy9lMm9Eb2MueG1srVTN&#10;bhMxEL4j8Q6W73R/miabqJsqShWEVNFKBXF2vHZi5D9sJ5vyArwG6ok7NyTE01Beg7F306bQEyIH&#10;Z2ZnPDPfNzM+PdspibbMeWF0jYujHCOmqWmEXtX47ZvFiwojH4huiDSa1fiGeXw2ff7stLUTVpq1&#10;kQ1zCIJoP2ltjdch2EmWebpmivgjY5kGIzdOkQCqW2WNIy1EVzIr83yYtcY11hnKvIev550RT1N8&#10;zhkNl5x7FpCsMdQW0unSuYxnNj0lk5Ujdi1oXwb5hyoUERqS3oc6J4GgjRN/hVKCOuMND0fUqMxw&#10;LihLGABNkf+B5npNLEtYgBxv72ny/y8sfb29ckg00LtxiZEmCpr069uPn99v7z5/uvv6BRUoWoCn&#10;1voJuF/bK9drHsQIesediv8AB+0Stzf33LJdQBQ+VuNxMYQOUDCVo2o0PIkxs4fL1vnwkhmFolDj&#10;JfSVuTmR0mxCkbgl2wsfEslNXyhp3hcYcSWhZ1siUZEPinzf1AMnQPbgdJKPq6pv/IHP8aFPWQ1G&#10;x084DR45DavjYY+irw3w7HHEQrVZCCnTjEmNWiC5HEF9iBIYdS5JAFFZIN/rFUZErmCHaHAJrTdS&#10;NPF6DOTdajmXDgHIGi8WOfz6xI/cYu5z4tedXzJ1QJUIsGZSKGhEvLy/LTX0IDa2a2WUwm656/u7&#10;NM0NTIcz3dp4SxcCMlwQH66IA84BCux+uISDSwP4TC9htDbu41Pfoz+ML1gxamHvAPuHDXEMI/lK&#10;w2CPi8EgLmpSBiejEhR3aFkeWvRGzQ1QAlMA1SUx+ge5F7kz6h2M0ixmBRPRFHJ3LPfKPHTvATwy&#10;lM1myQ2W05Jwoa8tjcG7Xs42wXAR4thGojp2egXWM01z/5TE/T/Uk9fDgzf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4bCZzYAAAACwEAAA8AAAAAAAAAAQAgAAAAIgAAAGRycy9kb3ducmV2Lnht&#10;bFBLAQIUABQAAAAIAIdO4kBzWwuNpAIAADgFAAAOAAAAAAAAAAEAIAAAACcBAABkcnMvZTJvRG9j&#10;LnhtbFBLBQYAAAAABgAGAFkBAAA9BgAAAAA=&#10;" adj="5797,61503,11013,22486">
                      <v:fill on="f" focussize="0,0"/>
                      <v:stroke weight="1pt" color="#FF0000 [2404]" miterlimit="8" joinstyle="miter"/>
                      <v:imagedata o:title=""/>
                      <o:lock v:ext="edit" aspectratio="f"/>
                      <v:textbox>
                        <w:txbxContent>
                          <w:p>
                            <w:pPr>
                              <w:jc w:val="center"/>
                              <w:rPr>
                                <w:rFonts w:hint="default" w:eastAsia="宋体"/>
                                <w:color w:val="FFFF00"/>
                                <w:sz w:val="18"/>
                                <w:szCs w:val="21"/>
                                <w:lang w:val="en-US" w:eastAsia="zh-CN"/>
                              </w:rPr>
                            </w:pPr>
                            <w:r>
                              <w:rPr>
                                <w:rFonts w:hint="eastAsia"/>
                                <w:color w:val="FFFF00"/>
                                <w:sz w:val="18"/>
                                <w:szCs w:val="21"/>
                                <w:lang w:val="en-US" w:eastAsia="zh-CN"/>
                              </w:rPr>
                              <w:t>本项目所在地</w:t>
                            </w:r>
                          </w:p>
                        </w:txbxContent>
                      </v:textbox>
                    </v:shape>
                  </w:pict>
                </mc:Fallback>
              </mc:AlternateContent>
            </w:r>
            <w:r>
              <w:rPr>
                <w:rFonts w:hint="eastAsia" w:ascii="Times New Roman" w:hAnsi="Times New Roman" w:eastAsia="宋体" w:cs="Times New Roman"/>
                <w:color w:val="auto"/>
                <w:spacing w:val="0"/>
                <w:kern w:val="21"/>
                <w:position w:val="0"/>
                <w:sz w:val="21"/>
                <w:szCs w:val="21"/>
              </w:rPr>
              <w:t>项目与</w:t>
            </w:r>
            <w:r>
              <w:rPr>
                <w:rFonts w:hint="eastAsia" w:ascii="Times New Roman" w:hAnsi="Times New Roman" w:eastAsia="宋体" w:cs="Times New Roman"/>
                <w:color w:val="auto"/>
                <w:spacing w:val="0"/>
                <w:kern w:val="21"/>
                <w:position w:val="0"/>
                <w:sz w:val="21"/>
                <w:szCs w:val="21"/>
                <w:lang w:val="en-US" w:eastAsia="zh-CN"/>
              </w:rPr>
              <w:t>达州市</w:t>
            </w:r>
            <w:r>
              <w:rPr>
                <w:rFonts w:hint="eastAsia" w:ascii="Times New Roman" w:hAnsi="Times New Roman" w:cs="Times New Roman"/>
                <w:color w:val="auto"/>
                <w:spacing w:val="0"/>
                <w:kern w:val="21"/>
                <w:position w:val="0"/>
                <w:sz w:val="21"/>
                <w:szCs w:val="21"/>
                <w:lang w:eastAsia="zh-CN"/>
              </w:rPr>
              <w:t>环境管控单元</w:t>
            </w:r>
            <w:r>
              <w:rPr>
                <w:rFonts w:hint="eastAsia" w:ascii="Times New Roman" w:hAnsi="Times New Roman" w:eastAsia="宋体" w:cs="Times New Roman"/>
                <w:color w:val="auto"/>
                <w:spacing w:val="0"/>
                <w:kern w:val="21"/>
                <w:position w:val="0"/>
                <w:sz w:val="21"/>
                <w:szCs w:val="21"/>
              </w:rPr>
              <w:t>的位置关系见下图：</w:t>
            </w:r>
            <w:r>
              <w:rPr>
                <w:color w:val="auto"/>
              </w:rPr>
              <w:drawing>
                <wp:inline distT="0" distB="0" distL="114300" distR="114300">
                  <wp:extent cx="5560060" cy="3062605"/>
                  <wp:effectExtent l="0" t="0" r="2540" b="1079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2"/>
                          <a:stretch>
                            <a:fillRect/>
                          </a:stretch>
                        </pic:blipFill>
                        <pic:spPr>
                          <a:xfrm>
                            <a:off x="0" y="0"/>
                            <a:ext cx="5560060" cy="3062605"/>
                          </a:xfrm>
                          <a:prstGeom prst="rect">
                            <a:avLst/>
                          </a:prstGeom>
                          <a:noFill/>
                          <a:ln>
                            <a:noFill/>
                          </a:ln>
                        </pic:spPr>
                      </pic:pic>
                    </a:graphicData>
                  </a:graphic>
                </wp:inline>
              </w:drawing>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r>
              <w:rPr>
                <w:rFonts w:hint="default" w:ascii="Times New Roman" w:hAnsi="Times New Roman" w:eastAsia="宋体" w:cs="Times New Roman"/>
                <w:b/>
                <w:bCs/>
                <w:color w:val="auto"/>
                <w:spacing w:val="0"/>
                <w:kern w:val="21"/>
                <w:position w:val="0"/>
                <w:sz w:val="21"/>
                <w:szCs w:val="21"/>
                <w:highlight w:val="none"/>
                <w:lang w:val="en-US" w:eastAsia="zh-CN"/>
              </w:rPr>
              <w:t>图1-</w:t>
            </w:r>
            <w:r>
              <w:rPr>
                <w:rFonts w:hint="eastAsia" w:ascii="Times New Roman" w:hAnsi="Times New Roman" w:eastAsia="宋体" w:cs="Times New Roman"/>
                <w:b/>
                <w:bCs/>
                <w:color w:val="auto"/>
                <w:spacing w:val="0"/>
                <w:kern w:val="21"/>
                <w:position w:val="0"/>
                <w:sz w:val="21"/>
                <w:szCs w:val="21"/>
                <w:highlight w:val="none"/>
                <w:lang w:val="en-US" w:eastAsia="zh-CN"/>
              </w:rPr>
              <w:t>5</w:t>
            </w:r>
            <w:r>
              <w:rPr>
                <w:rFonts w:hint="default" w:ascii="Times New Roman" w:hAnsi="Times New Roman" w:eastAsia="宋体" w:cs="Times New Roman"/>
                <w:b/>
                <w:bCs/>
                <w:color w:val="auto"/>
                <w:spacing w:val="0"/>
                <w:kern w:val="21"/>
                <w:position w:val="0"/>
                <w:sz w:val="21"/>
                <w:szCs w:val="21"/>
                <w:highlight w:val="none"/>
                <w:lang w:val="en-US" w:eastAsia="zh-CN"/>
              </w:rPr>
              <w:t xml:space="preserve"> 本项目</w:t>
            </w:r>
            <w:r>
              <w:rPr>
                <w:rFonts w:hint="eastAsia" w:ascii="Times New Roman" w:hAnsi="Times New Roman" w:eastAsia="宋体" w:cs="Times New Roman"/>
                <w:b/>
                <w:bCs/>
                <w:color w:val="auto"/>
                <w:spacing w:val="0"/>
                <w:kern w:val="21"/>
                <w:position w:val="0"/>
                <w:sz w:val="21"/>
                <w:szCs w:val="21"/>
                <w:highlight w:val="none"/>
                <w:lang w:val="en-US" w:eastAsia="zh-CN"/>
              </w:rPr>
              <w:t>与</w:t>
            </w:r>
            <w:r>
              <w:rPr>
                <w:rFonts w:hint="default" w:ascii="Times New Roman" w:hAnsi="Times New Roman" w:eastAsia="宋体" w:cs="Times New Roman"/>
                <w:b/>
                <w:bCs/>
                <w:color w:val="auto"/>
                <w:spacing w:val="0"/>
                <w:kern w:val="21"/>
                <w:position w:val="0"/>
                <w:sz w:val="21"/>
                <w:szCs w:val="21"/>
                <w:highlight w:val="none"/>
                <w:lang w:val="en-US" w:eastAsia="zh-CN"/>
              </w:rPr>
              <w:t>分区管控单元位置关系图</w:t>
            </w: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pStyle w:val="120"/>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1"/>
                <w:position w:val="0"/>
                <w:sz w:val="21"/>
                <w:szCs w:val="21"/>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0"/>
                <w:kern w:val="21"/>
                <w:position w:val="0"/>
                <w:sz w:val="24"/>
                <w:szCs w:val="24"/>
                <w:highlight w:val="yellow"/>
              </w:rPr>
            </w:pPr>
            <w:r>
              <w:rPr>
                <w:color w:val="auto"/>
                <w:sz w:val="24"/>
                <w:highlight w:val="yellow"/>
              </w:rPr>
              <mc:AlternateContent>
                <mc:Choice Requires="wps">
                  <w:drawing>
                    <wp:anchor distT="0" distB="0" distL="114300" distR="114300" simplePos="0" relativeHeight="251663360" behindDoc="0" locked="0" layoutInCell="1" allowOverlap="1">
                      <wp:simplePos x="0" y="0"/>
                      <wp:positionH relativeFrom="column">
                        <wp:posOffset>1831975</wp:posOffset>
                      </wp:positionH>
                      <wp:positionV relativeFrom="paragraph">
                        <wp:posOffset>3096260</wp:posOffset>
                      </wp:positionV>
                      <wp:extent cx="76200" cy="76200"/>
                      <wp:effectExtent l="6350" t="6350" r="6350" b="6350"/>
                      <wp:wrapNone/>
                      <wp:docPr id="29" name="椭圆 2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4.25pt;margin-top:243.8pt;height:6pt;width:6pt;z-index:251663360;v-text-anchor:middle;mso-width-relative:page;mso-height-relative:page;" fillcolor="#FF0000" filled="t" stroked="t" coordsize="21600,21600" o:gfxdata="UEsDBAoAAAAAAIdO4kAAAAAAAAAAAAAAAAAEAAAAZHJzL1BLAwQUAAAACACHTuJAX3ViBdYAAAAL&#10;AQAADwAAAGRycy9kb3ducmV2LnhtbE2PwU6EMBCG7ya+QzMm3tyWVVkWKXsw8Waioq7XAiMQ6bSh&#10;XcC3dzzpcf758s83xWG1o5hxCoMjDclGgUBqXDtQp+Ht9eEqAxGiodaMjlDDNwY4lOdnhclbt9AL&#10;zlXsBJdQyI2GPkafSxmaHq0JG+eRePfpJmsij1Mn28ksXG5HuVUqldYMxBd64/G+x+arOlkNfn2s&#10;k3f/7I4h8xaX6mM2T6T15UWi7kBEXOMfDL/6rA4lO9XuRG0Qo4Ztlt0yquEm26UgmLhWipOak/0+&#10;BVkW8v8P5Q9QSwMEFAAAAAgAh07iQHOYwHdPAgAAqAQAAA4AAABkcnMvZTJvRG9jLnhtbK1Uy24T&#10;MRTdI/EPlvdkkqj0EXVSRY2CkCpaqSDWjsfOWPIL28mkfABfwZItn1W+g2NPHi2wQIhZeO71vXMf&#10;5547l1dbo8lGhKicreloMKREWO4aZVc1/fB+8eqckpiYbZh2VtT0QUR6NX354rLzEzF2rdONCARB&#10;bJx0vqZtSn5SVZG3wrA4cF5YGKULhiWoYVU1gXWIbnQ1Hg5Pq86FxgfHRYy4nfdGOi3xpRQ83UoZ&#10;RSK6pqgtlTOUc5nPanrJJqvAfKv4rgz2D1UYpiySHkLNWWJkHdRvoYziwUUn04A7UzkpFRelB3Qz&#10;Gv7SzX3LvCi9AJzoDzDF/xeWv9vcBaKamo4vKLHMYEY/vn1//PqF4ALodD5O4HTv78JOixBzq1sZ&#10;TH6jCbItiD4cEBXbRDguz04xJEo4LL2IGNXxUx9ieiOcIVmoqdBa+Zg7ZhO2uYmp99575evotGoW&#10;SuuihNXyWgeyYZjuYjHEk0tGgmdu2pIO3ByflVIYWCY1S6jKePQd7YoSplegL0+h5H72dfy7JLnI&#10;OYttX0yJ0JPLqASGa2Vqep4r3JeoLSrN6PZ4ZmnpmgdMI7ieptHzhULYGxbTHQvgJaDErqVbHFI7&#10;NOV2EiWtC5//dJ/9QRdYKenAczT8ac2CoES/tSDSxejkJC9GUU5en42hhKeW5VOLXZtrB7BH2GrP&#10;i5j9k96LMjjzESs5y1lhYpYjdw/tTrlO/f5hqbmYzYoblsGzdGPvPc/B83Ctm62Tk6qQ4IjODjSs&#10;Qxn0bnXzvj3Vi9fxBzP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91YgXWAAAACwEAAA8AAAAA&#10;AAAAAQAgAAAAIgAAAGRycy9kb3ducmV2LnhtbFBLAQIUABQAAAAIAIdO4kBzmMB3TwIAAKgEAAAO&#10;AAAAAAAAAAEAIAAAACUBAABkcnMvZTJvRG9jLnhtbFBLBQYAAAAABgAGAFkBAADmBQAAAAA=&#10;">
                      <v:fill on="t" focussize="0,0"/>
                      <v:stroke weight="1pt" color="#FF0000 [2404]" miterlimit="8" joinstyle="miter"/>
                      <v:imagedata o:title=""/>
                      <o:lock v:ext="edit" aspectratio="f"/>
                    </v:shape>
                  </w:pict>
                </mc:Fallback>
              </mc:AlternateContent>
            </w:r>
            <w:r>
              <w:rPr>
                <w:color w:val="auto"/>
                <w:sz w:val="24"/>
                <w:highlight w:val="yellow"/>
              </w:rPr>
              <mc:AlternateContent>
                <mc:Choice Requires="wps">
                  <w:drawing>
                    <wp:anchor distT="0" distB="0" distL="114300" distR="114300" simplePos="0" relativeHeight="251664384" behindDoc="0" locked="0" layoutInCell="1" allowOverlap="1">
                      <wp:simplePos x="0" y="0"/>
                      <wp:positionH relativeFrom="column">
                        <wp:posOffset>1812925</wp:posOffset>
                      </wp:positionH>
                      <wp:positionV relativeFrom="paragraph">
                        <wp:posOffset>2489835</wp:posOffset>
                      </wp:positionV>
                      <wp:extent cx="1011555" cy="278765"/>
                      <wp:effectExtent l="6350" t="6350" r="10795" b="387985"/>
                      <wp:wrapNone/>
                      <wp:docPr id="28" name="线形标注 1 28"/>
                      <wp:cNvGraphicFramePr/>
                      <a:graphic xmlns:a="http://schemas.openxmlformats.org/drawingml/2006/main">
                        <a:graphicData uri="http://schemas.microsoft.com/office/word/2010/wordprocessingShape">
                          <wps:wsp>
                            <wps:cNvSpPr/>
                            <wps:spPr>
                              <a:xfrm>
                                <a:off x="0" y="0"/>
                                <a:ext cx="1011555" cy="278765"/>
                              </a:xfrm>
                              <a:prstGeom prst="borderCallout1">
                                <a:avLst>
                                  <a:gd name="adj1" fmla="val 97722"/>
                                  <a:gd name="adj2" fmla="val 16052"/>
                                  <a:gd name="adj3" fmla="val 235990"/>
                                  <a:gd name="adj4" fmla="val 433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highlight w:val="none"/>
                                      <w:lang w:val="en-US" w:eastAsia="zh-CN"/>
                                    </w:rPr>
                                  </w:pPr>
                                  <w:r>
                                    <w:rPr>
                                      <w:rFonts w:hint="eastAsia"/>
                                      <w:color w:val="FF0000"/>
                                      <w:highlight w:val="none"/>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42.75pt;margin-top:196.05pt;height:21.95pt;width:79.65pt;z-index:251664384;v-text-anchor:middle;mso-width-relative:page;mso-height-relative:page;" filled="f" stroked="t" coordsize="21600,21600" o:gfxdata="UEsDBAoAAAAAAIdO4kAAAAAAAAAAAAAAAAAEAAAAZHJzL1BLAwQUAAAACACHTuJA0dVOptsAAAAL&#10;AQAADwAAAGRycy9kb3ducmV2LnhtbE2PwU7DMAyG70i8Q2Qkbixt101b13RiFXDjQEHaNW1CU9Y4&#10;VZOtZU+POcHNlj/9/v58P9ueXfToO4cC4kUETGPjVIetgI/354cNMB8kKtk71AK+tYd9cXuTy0y5&#10;Cd/0pQotoxD0mRRgQhgyzn1jtJV+4QaNdPt0o5WB1rHlapQThdueJ1G05lZ2SB+MHHRpdHOqzlZA&#10;VV9PX2V5PB5ejD/Ya5ie5tdHIe7v4mgHLOg5/MHwq0/qUJBT7c6oPOsFJJvVilABy20SAyMiTVMq&#10;U9OwXEfAi5z/71D8AFBLAwQUAAAACACHTuJA7UPX/KQCAAA1BQAADgAAAGRycy9lMm9Eb2MueG1s&#10;rVTNbhMxEL4j8Q6W73R/km2aqJsqShWEVNFIBXF2vHZ2kf+wnWzKC/AaiBN3bkiIp6G8BmPvpl2g&#10;J8QevDOe8Xi+b2Z8fnGQAu2ZdY1WJc5OUoyYorpq1LbEr1+tnp1h5DxRFRFasRLfMocv5k+fnLdm&#10;xnJda1ExiyCIcrPWlLj23sySxNGaSeJOtGEKjFxbSTyodptUlrQQXYokT9PTpNW2MlZT5hzsXnZG&#10;PI/xOWfUX3PumEeixJCbj6uN6yasyfyczLaWmLqhfRrkH7KQpFFw6X2oS+IJ2tnmr1CyoVY7zf0J&#10;1TLRnDeURQyAJkv/QHNTE8MiFiDHmXua3P8LS1/u1xY1VYlzqJQiEmr08+v3H98+3X38cPflM8oQ&#10;GICl1rgZON+Yte01B2KAfOBWhj+AQYfI7O09s+zgEYXNLM2yoigwomDLJ2eT0yIETR5OG+v8c6Yl&#10;CkKJN1BWZpdECL3zWaSW7K+cjxxXfaKkepthxKWAku2JQNPJJM/7kg588qFPdpoWj/iMhj75qJhO&#10;j70xCDQeOo1Ho0gMYOgzA+mIIqSp9KoRIjaYUKgFEvJJCj1ICfQ5F8SDKA0w79QWIyK2MEDU24jV&#10;adFU4XgI5Ox2sxQWAcQSr1YpfD15v7mFuy+Jqzu/aOq4kI2HGRONLPFZOHw8LRRUINS1q2SQ/GFz&#10;6Mu70dUttIbV3cw4Q1cN3HBFnF8TC4wDFBh8fw0LFxrw6V7CqNb2/WP7wR96F6wYtTB0gP3djliG&#10;kXihoKun2XgcpjQq42KSg2KHls3QonZyqYES6AHILorB34ujyK2Wb6CRFuFWMBFF4e6O5V5Z+u4x&#10;gBeGssUiusFkGuKv1I2hIXhXy8XOa9740LSBqI6dXoHZjL3cvyNh+Id69Hp47e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HVTqbbAAAACwEAAA8AAAAAAAAAAQAgAAAAIgAAAGRycy9kb3ducmV2&#10;LnhtbFBLAQIUABQAAAAIAIdO4kDtQ9f8pAIAADUFAAAOAAAAAAAAAAEAIAAAACoBAABkcnMvZTJv&#10;RG9jLnhtbFBLBQYAAAAABgAGAFkBAABABgAAAAA=&#10;" adj="937,50974,3467,21108">
                      <v:fill on="f" focussize="0,0"/>
                      <v:stroke weight="1pt" color="#FF0000 [2404]" miterlimit="8" joinstyle="miter"/>
                      <v:imagedata o:title=""/>
                      <o:lock v:ext="edit" aspectratio="f"/>
                      <v:textbox>
                        <w:txbxContent>
                          <w:p>
                            <w:pPr>
                              <w:jc w:val="center"/>
                              <w:rPr>
                                <w:rFonts w:hint="default" w:eastAsia="宋体"/>
                                <w:color w:val="FF0000"/>
                                <w:highlight w:val="none"/>
                                <w:lang w:val="en-US" w:eastAsia="zh-CN"/>
                              </w:rPr>
                            </w:pPr>
                            <w:r>
                              <w:rPr>
                                <w:rFonts w:hint="eastAsia"/>
                                <w:color w:val="FF0000"/>
                                <w:highlight w:val="none"/>
                                <w:lang w:val="en-US" w:eastAsia="zh-CN"/>
                              </w:rPr>
                              <w:t>本项目所在地</w:t>
                            </w:r>
                          </w:p>
                        </w:txbxContent>
                      </v:textbox>
                    </v:shape>
                  </w:pict>
                </mc:Fallback>
              </mc:AlternateContent>
            </w:r>
            <w:r>
              <w:rPr>
                <w:color w:val="auto"/>
                <w:highlight w:val="yellow"/>
              </w:rPr>
              <w:drawing>
                <wp:inline distT="0" distB="0" distL="114300" distR="114300">
                  <wp:extent cx="5559425" cy="3935730"/>
                  <wp:effectExtent l="0" t="0" r="3175" b="127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3"/>
                          <a:stretch>
                            <a:fillRect/>
                          </a:stretch>
                        </pic:blipFill>
                        <pic:spPr>
                          <a:xfrm>
                            <a:off x="0" y="0"/>
                            <a:ext cx="5559425" cy="3935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图1-</w:t>
            </w:r>
            <w:r>
              <w:rPr>
                <w:rFonts w:hint="eastAsia" w:cs="Times New Roman"/>
                <w:b/>
                <w:bCs/>
                <w:color w:val="auto"/>
                <w:kern w:val="0"/>
                <w:sz w:val="21"/>
                <w:szCs w:val="21"/>
                <w:highlight w:val="none"/>
                <w:lang w:val="en-US" w:eastAsia="zh-CN"/>
              </w:rPr>
              <w:t>6</w:t>
            </w:r>
            <w:r>
              <w:rPr>
                <w:rFonts w:hint="eastAsia" w:ascii="Times New Roman" w:hAnsi="Times New Roman" w:eastAsia="宋体" w:cs="Times New Roman"/>
                <w:b/>
                <w:bCs/>
                <w:color w:val="auto"/>
                <w:kern w:val="0"/>
                <w:sz w:val="21"/>
                <w:szCs w:val="21"/>
                <w:highlight w:val="none"/>
                <w:lang w:val="en-US" w:eastAsia="zh-CN"/>
              </w:rPr>
              <w:t xml:space="preserve">  本项目与达州市生态环境管控单元的位置关系图</w:t>
            </w:r>
          </w:p>
          <w:p>
            <w:pPr>
              <w:autoSpaceDE w:val="0"/>
              <w:autoSpaceDN w:val="0"/>
              <w:spacing w:line="360" w:lineRule="auto"/>
              <w:ind w:firstLine="422" w:firstLineChars="200"/>
              <w:outlineLvl w:val="2"/>
              <w:rPr>
                <w:b/>
                <w:bCs/>
                <w:color w:val="auto"/>
                <w:sz w:val="21"/>
                <w:szCs w:val="21"/>
              </w:rPr>
            </w:pPr>
            <w:r>
              <w:rPr>
                <w:b/>
                <w:bCs/>
                <w:color w:val="auto"/>
                <w:sz w:val="21"/>
                <w:szCs w:val="21"/>
              </w:rPr>
              <w:t>（2）生态环境准入清单符合性分析</w:t>
            </w:r>
          </w:p>
          <w:p>
            <w:pPr>
              <w:autoSpaceDE w:val="0"/>
              <w:autoSpaceDN w:val="0"/>
              <w:spacing w:line="360" w:lineRule="auto"/>
              <w:ind w:firstLine="420" w:firstLineChars="200"/>
              <w:outlineLvl w:val="2"/>
              <w:rPr>
                <w:color w:val="auto"/>
                <w:sz w:val="21"/>
                <w:szCs w:val="21"/>
              </w:rPr>
            </w:pPr>
            <w:r>
              <w:rPr>
                <w:color w:val="auto"/>
                <w:sz w:val="21"/>
                <w:szCs w:val="21"/>
              </w:rPr>
              <w:t>本项目位于达州市大竹县，结合</w:t>
            </w:r>
            <w:r>
              <w:rPr>
                <w:rFonts w:hint="eastAsia"/>
                <w:color w:val="auto"/>
                <w:sz w:val="21"/>
                <w:szCs w:val="21"/>
                <w:lang w:val="en-US" w:eastAsia="zh-CN"/>
              </w:rPr>
              <w:t>达州市人民政府办公室关于加强生态环境分区管控的通知》（达市府办函</w:t>
            </w:r>
            <w:r>
              <w:rPr>
                <w:rFonts w:hint="eastAsia" w:eastAsia="宋体"/>
                <w:bCs/>
                <w:color w:val="auto"/>
                <w:kern w:val="0"/>
                <w:sz w:val="24"/>
                <w:szCs w:val="24"/>
                <w:lang w:val="en-US" w:eastAsia="zh-CN"/>
              </w:rPr>
              <w:t>〔</w:t>
            </w:r>
            <w:r>
              <w:rPr>
                <w:rFonts w:hint="default" w:eastAsia="宋体"/>
                <w:bCs/>
                <w:color w:val="auto"/>
                <w:kern w:val="0"/>
                <w:sz w:val="24"/>
                <w:szCs w:val="24"/>
                <w:lang w:val="en-US" w:eastAsia="zh-CN"/>
              </w:rPr>
              <w:t>202</w:t>
            </w:r>
            <w:r>
              <w:rPr>
                <w:rFonts w:hint="eastAsia"/>
                <w:bCs/>
                <w:color w:val="auto"/>
                <w:kern w:val="0"/>
                <w:sz w:val="24"/>
                <w:szCs w:val="24"/>
                <w:lang w:val="en-US" w:eastAsia="zh-CN"/>
              </w:rPr>
              <w:t>4</w:t>
            </w:r>
            <w:r>
              <w:rPr>
                <w:rFonts w:hint="eastAsia" w:eastAsia="宋体"/>
                <w:bCs/>
                <w:color w:val="auto"/>
                <w:kern w:val="0"/>
                <w:sz w:val="24"/>
                <w:szCs w:val="24"/>
                <w:lang w:val="en-US" w:eastAsia="zh-CN"/>
              </w:rPr>
              <w:t>〕</w:t>
            </w:r>
            <w:r>
              <w:rPr>
                <w:rFonts w:hint="eastAsia"/>
                <w:color w:val="auto"/>
                <w:sz w:val="21"/>
                <w:szCs w:val="21"/>
                <w:lang w:val="en-US" w:eastAsia="zh-CN"/>
              </w:rPr>
              <w:t>31号），同时</w:t>
            </w:r>
            <w:r>
              <w:rPr>
                <w:color w:val="auto"/>
                <w:sz w:val="21"/>
                <w:szCs w:val="21"/>
              </w:rPr>
              <w:t>参照四川</w:t>
            </w:r>
            <w:r>
              <w:rPr>
                <w:rFonts w:hint="eastAsia" w:ascii="宋体" w:hAnsi="宋体" w:eastAsia="宋体" w:cs="宋体"/>
                <w:color w:val="auto"/>
                <w:sz w:val="21"/>
                <w:szCs w:val="21"/>
              </w:rPr>
              <w:t>省“三线一单”符合性分</w:t>
            </w:r>
            <w:r>
              <w:rPr>
                <w:color w:val="auto"/>
                <w:sz w:val="21"/>
                <w:szCs w:val="21"/>
              </w:rPr>
              <w:t>析系统分析结果，分别从空间布局约束、污染物排放管控、环境风险防控、资源开发效率等四个维度进行单元级清单管控要求符合性分析。具体如下表。</w:t>
            </w: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p>
            <w:pPr>
              <w:pStyle w:val="11"/>
              <w:rPr>
                <w:color w:val="auto"/>
                <w:sz w:val="21"/>
                <w:szCs w:val="21"/>
              </w:rPr>
            </w:pPr>
          </w:p>
        </w:tc>
      </w:tr>
    </w:tbl>
    <w:p>
      <w:pPr>
        <w:autoSpaceDE w:val="0"/>
        <w:autoSpaceDN w:val="0"/>
        <w:adjustRightInd w:val="0"/>
        <w:snapToGrid w:val="0"/>
        <w:jc w:val="center"/>
        <w:rPr>
          <w:color w:val="auto"/>
          <w:kern w:val="0"/>
          <w:szCs w:val="21"/>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表1-</w:t>
      </w:r>
      <w:r>
        <w:rPr>
          <w:rFonts w:hint="eastAsia" w:eastAsia="宋体" w:cs="Times New Roman"/>
          <w:b/>
          <w:bCs/>
          <w:color w:val="auto"/>
          <w:kern w:val="0"/>
          <w:sz w:val="21"/>
          <w:szCs w:val="21"/>
          <w:highlight w:val="none"/>
          <w:lang w:val="en-US" w:eastAsia="zh-CN"/>
        </w:rPr>
        <w:t>5</w:t>
      </w:r>
      <w:r>
        <w:rPr>
          <w:rFonts w:hint="eastAsia" w:ascii="Times New Roman" w:hAnsi="Times New Roman" w:eastAsia="宋体" w:cs="Times New Roman"/>
          <w:b/>
          <w:bCs/>
          <w:color w:val="auto"/>
          <w:kern w:val="0"/>
          <w:sz w:val="21"/>
          <w:szCs w:val="21"/>
          <w:highlight w:val="none"/>
          <w:lang w:val="en-US" w:eastAsia="zh-CN"/>
        </w:rPr>
        <w:t xml:space="preserve">  本项目生态环境准入清单符合性分析一览表</w:t>
      </w:r>
    </w:p>
    <w:tbl>
      <w:tblPr>
        <w:tblStyle w:val="146"/>
        <w:tblW w:w="15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2"/>
        <w:gridCol w:w="489"/>
        <w:gridCol w:w="7847"/>
        <w:gridCol w:w="840"/>
        <w:gridCol w:w="4350"/>
        <w:gridCol w:w="1120"/>
        <w:gridCol w:w="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环境管控单元编码</w:t>
            </w:r>
          </w:p>
        </w:tc>
        <w:tc>
          <w:tcPr>
            <w:tcW w:w="4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环境管控单元名称</w:t>
            </w:r>
          </w:p>
        </w:tc>
        <w:tc>
          <w:tcPr>
            <w:tcW w:w="78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达州市普适性清单</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管控类别</w:t>
            </w:r>
          </w:p>
        </w:tc>
        <w:tc>
          <w:tcPr>
            <w:tcW w:w="435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单元特性管控要求</w:t>
            </w:r>
          </w:p>
        </w:tc>
        <w:tc>
          <w:tcPr>
            <w:tcW w:w="11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eastAsia="宋体" w:cs="Times New Roman"/>
                <w:b/>
                <w:bCs/>
                <w:color w:val="auto"/>
                <w:kern w:val="0"/>
                <w:sz w:val="18"/>
                <w:szCs w:val="18"/>
                <w:highlight w:val="none"/>
                <w:lang w:val="en-US" w:eastAsia="zh-CN" w:bidi="ar-SA"/>
              </w:rPr>
              <w:t>本项目情况</w:t>
            </w:r>
          </w:p>
        </w:tc>
        <w:tc>
          <w:tcPr>
            <w:tcW w:w="32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eastAsia="宋体" w:cs="Times New Roman"/>
                <w:b/>
                <w:bCs/>
                <w:color w:val="auto"/>
                <w:kern w:val="0"/>
                <w:sz w:val="18"/>
                <w:szCs w:val="18"/>
                <w:highlight w:val="no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YS5117242230001</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东柳河-大竹县-墩子河-控制单元</w:t>
            </w:r>
          </w:p>
        </w:tc>
        <w:tc>
          <w:tcPr>
            <w:tcW w:w="7847" w:type="dxa"/>
            <w:vMerge w:val="restart"/>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禁止开发建设活动的要求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限制开发建设活动的要求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允许开发建设活动的要求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不符合空间布局要求活动的退出要求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其他空间布局约束要求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YS5117242230001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东柳河-大竹县-墩子河-控制单元</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城镇污水污染控制措施要求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1、推进流域聚居点生活污水处理设施建设。2、保障乡镇污水收集处理设施顺畅运行。3、推进污水直排口排查与整治，落实“一口一策”整改措施。</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工业废水污染控制措施要求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1、落实主要污染物排放总量指标控制要求，加强入河排污口登记、审批和监督管理。2、强化流域内工业点源、规模化畜禽养殖场运行监管，避免偷排、漏排。</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农业面源水污染控制措施要求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1、推进农村污染治理。稳步农村污水处理设施建设，适当预留发展空间，宜集中则集中，宜分散则分散；农村生活污水处理设施排水执行《农村生活污水处理设施水污染物排放标准》（DB 51 2626-2019）要求；大力推进农村生活垃圾就地分类减量 和资源化利用，因地制宜选择农村生活垃圾治理模式；严格做好“农家乐”、种植采摘园等范围内的生活及农产品产生污水及垃圾治理。2、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3、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达到80%以上，规模以上养殖场粪污处理设施装备配套率保持100%。到2035年，畜禽粪污基本实现资源化利用，综合利用率达到95%以上。4、深入推进化肥减量增效，鼓励以循环利用与生态净化相结合的方式控制种植业污染，农企合作推进测土配方施肥；逐步推进农田径流拦截及治理。5、按照《四川省推进农村黑臭水体治理工作方案（2021-2025年）》要求，持续开展农村黑臭水体排查，实现农村黑臭水体“动态”清零。</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船舶港口水污染控制措施要求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饮用水水源和其它特殊水体保护要求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本项目营运期无废水、废气排放，满足</w:t>
            </w:r>
            <w:r>
              <w:rPr>
                <w:rStyle w:val="31"/>
                <w:rFonts w:hint="default" w:ascii="Times New Roman" w:hAnsi="Times New Roman" w:eastAsia="宋体" w:cs="Times New Roman"/>
                <w:color w:val="auto"/>
                <w:kern w:val="2"/>
                <w:sz w:val="18"/>
                <w:szCs w:val="18"/>
                <w:highlight w:val="none"/>
                <w:lang w:val="en-US" w:eastAsia="zh-CN" w:bidi="ar-SA"/>
              </w:rPr>
              <w:t>东柳河-大竹县-墩子河-控制单元</w:t>
            </w:r>
            <w:r>
              <w:rPr>
                <w:rStyle w:val="31"/>
                <w:rFonts w:hint="eastAsia" w:eastAsia="宋体" w:cs="Times New Roman"/>
                <w:color w:val="auto"/>
                <w:kern w:val="2"/>
                <w:sz w:val="18"/>
                <w:szCs w:val="18"/>
                <w:highlight w:val="none"/>
                <w:lang w:val="en-US" w:eastAsia="zh-CN" w:bidi="ar-SA"/>
              </w:rPr>
              <w:t>污染物排放管控要求</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 xml:space="preserve">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YS5117242230001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东柳河-大竹县-墩子河-控制单元</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YS5117242230001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东柳河-大竹县-墩子河-控制单元</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落实生态流量保障，强化流域内水库、水电站下泄生态流量监管。强化种植业节水；推进农村污水分质资源化利用。</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本项目不属于水电站、种植等行业。</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YS5117242340001</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大竹县城镇集中建设区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禁止开发建设活动的要求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限制开发建设活动的要求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允许开发建设活动的要求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不符合空间布局要求活动的退出要求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其他空间布局约束要求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YS5117242340001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大竹县城镇集中建设区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大气环境质量执行标准</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《环境空气质量标准》（GB3095-2012）：二级</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区域大气污染物削减/替代要求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燃煤和其他能源大气污染控制要求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工业废气污染控制要求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机动车船大气污染控制要求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扬尘污染控制要求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全面落实各类施工工地扬尘防控措施，重点、重大项目工地实现视频监控、可吸入颗粒物（PM10）在线监测全覆盖。</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农业生产经营活动大气污染控制要求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重点行业企业专项治理要求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其他大气污染物排放管控要求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eastAsia"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本项目营运期无废水、废气排放，本项目施工期已结束，</w:t>
            </w:r>
            <w:r>
              <w:rPr>
                <w:rStyle w:val="31"/>
                <w:rFonts w:hint="eastAsia" w:eastAsia="宋体" w:cs="Times New Roman"/>
                <w:color w:val="auto"/>
                <w:kern w:val="2"/>
                <w:sz w:val="18"/>
                <w:szCs w:val="18"/>
                <w:highlight w:val="none"/>
                <w:lang w:val="en-US" w:eastAsia="zh-CN" w:bidi="ar-SA"/>
              </w:rPr>
              <w:t>施工期落实扬尘防控要求，</w:t>
            </w:r>
            <w:r>
              <w:rPr>
                <w:rStyle w:val="31"/>
                <w:rFonts w:hint="eastAsia" w:ascii="Times New Roman" w:hAnsi="Times New Roman" w:eastAsia="宋体" w:cs="Times New Roman"/>
                <w:color w:val="auto"/>
                <w:kern w:val="2"/>
                <w:sz w:val="18"/>
                <w:szCs w:val="18"/>
                <w:highlight w:val="none"/>
                <w:lang w:val="en-US" w:eastAsia="zh-CN" w:bidi="ar-SA"/>
              </w:rPr>
              <w:t>施工期未造成环境污染，未收到环保投诉</w:t>
            </w:r>
            <w:r>
              <w:rPr>
                <w:rStyle w:val="31"/>
                <w:rFonts w:hint="eastAsia"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满足</w:t>
            </w:r>
            <w:r>
              <w:rPr>
                <w:rStyle w:val="31"/>
                <w:rFonts w:hint="default" w:ascii="Times New Roman" w:hAnsi="Times New Roman" w:eastAsia="宋体" w:cs="Times New Roman"/>
                <w:color w:val="auto"/>
                <w:kern w:val="2"/>
                <w:sz w:val="18"/>
                <w:szCs w:val="18"/>
                <w:highlight w:val="none"/>
                <w:lang w:val="en-US" w:eastAsia="zh-CN" w:bidi="ar-SA"/>
              </w:rPr>
              <w:t>大竹县城镇集中建设区</w:t>
            </w:r>
            <w:r>
              <w:rPr>
                <w:rStyle w:val="31"/>
                <w:rFonts w:hint="eastAsia" w:eastAsia="宋体" w:cs="Times New Roman"/>
                <w:color w:val="auto"/>
                <w:kern w:val="2"/>
                <w:sz w:val="18"/>
                <w:szCs w:val="18"/>
                <w:highlight w:val="none"/>
                <w:lang w:val="en-US" w:eastAsia="zh-CN" w:bidi="ar-SA"/>
              </w:rPr>
              <w:t>污染物排放管控要求</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YS5117242340001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大竹县城镇集中建设区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YS5117242340001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大竹县城镇集中建设区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ZH51172420001</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大竹县城镇空间</w:t>
            </w:r>
          </w:p>
        </w:tc>
        <w:tc>
          <w:tcPr>
            <w:tcW w:w="7847" w:type="dxa"/>
            <w:vMerge w:val="restart"/>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-原则上禁止新建工业企业（新建工业企业原则上都应在工业园区内建设）。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-禁止在居民区、学校、医疗和养老机构等周边新建有色金属冶炼、焦化、化工、铅蓄电池制造等行业企业，有序搬迁或依法关闭对土壤造成严重污染的现有企业。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-对不符合国土空间规划的现有工业企业，污染物排放总量及环境风险水平只降不增，引导企业适时搬迁进入对口园区。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-严格控制在城镇空间范围内新布设工业园区。若新布局工业园区，应符合达州市国土空间规划，并结合区域环境特点、三线成果、园区产业类别，充分论证选址的环境合理性。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-严格控制新增建设用地规模，法定城乡规划除外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1.按照相关规划和要求，清理整顿非法采砂、非法码头，全面清除不合规码头。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2.在全市范围深入开展集中整治“散乱污”工业企业，对不符合产业政策和规划布局的，一律责令停产、限期搬迁或关停；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4.到2025年，城镇人口密集区现有不符合安全和卫生防护距离要求的危险化学品生产企业搬迁进入规范化工园区或关闭退出。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5.不断优化长江经济带化工行业空间布局，有效控制化工污染。推进化工企业搬迁入园，加强化工园区基础设施建设。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6.加快现有高污染或高风险产品生产化学品企业“退城入园”进度，逐步退出环境敏感区。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r>
              <w:rPr>
                <w:rStyle w:val="31"/>
                <w:rFonts w:hint="eastAsia" w:ascii="Times New Roman" w:hAnsi="Times New Roman"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达州市2025年水污染物允许排放量COD33136.93t，氨氮2055.16t，TP252.53t；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-到2025年，水环境敏感地区污水处理基本达到一级A排放标准。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-燃气锅炉升级改造，达到特别排放限值。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-全面落实各类施工工地扬尘防控措施，重点、重大项目工地实现视频监控、可吸入颗粒物（PM10）在线监测全覆盖。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2.污染物排放绩效水平准入要求:严格落实建设工地管理要求，做好扬尘污染管控工作。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-实施密闭化收运，推广干湿分类收运。强化垃圾渗滤液、焚烧飞灰安全处置，城市生活垃圾无害化处理率保持100%。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3.新建噪声敏感建筑物时，建设单位应全面执行绿色建筑标准，合理确定建筑物与交通干线等的防噪声距离，落实隔声减噪措施。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4.已竣工交付使用的住宅楼、商铺、办公楼等建筑物不得在午、夜间进行产噪装修作业，在其他时间进行装修作业的，应当采取噪声防治措施。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企业环境风险防控要求:现有涉及五类重金属的企业，不得新增污染物排放，限期退城入园或关停。用地环境风险防控要求:工业企业退出用地，须经评估、修复满足相应用地功能后，方可改变用途。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r>
              <w:rPr>
                <w:rStyle w:val="31"/>
                <w:rFonts w:hint="eastAsia"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r>
              <w:rPr>
                <w:rStyle w:val="31"/>
                <w:rFonts w:hint="eastAsia" w:ascii="Times New Roman" w:hAnsi="Times New Roman"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-严控使用燃煤等高污染燃料，禁止焚烧垃圾。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-全面淘汰每小时10蒸吨以下的燃煤锅炉；在供气管网覆盖不到的其他地区，改用电、新能源或洁净煤。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r>
              <w:rPr>
                <w:rStyle w:val="31"/>
                <w:rFonts w:hint="eastAsia" w:ascii="Times New Roman" w:hAnsi="Times New Roman"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禁止开发建设活动的要求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限制开发建设活动的要求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工业用地布局在新城综合发展区的南部、“北城新区”功能片区的北部、东南部的工业组团其它同达州市城镇重点管控单元要求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允许开发建设活动的要求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不符合空间布局要求活动的退出要求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同达州市城镇重点总体管控要求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其他空间布局约束要求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本项目符合大竹县国土空间规划，符合大竹经开区土地利用规划要求。</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大竹县城镇空间</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-原则上禁止新建工业企业（新建工业企业原则上都应在工业园区内建设）。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-禁止在居民区、学校、医疗和养老机构等周边新建有色金属冶炼、焦化、化工、铅蓄电池制造等行业企业，有序搬迁或依法关闭对土壤造成严重污染的现有企业。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-对不符合国土空间规划的现有工业企业，污染物排放总量及环境风险水平只降不增，引导企业适时搬迁进入对口园区。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-严格控制在城镇空间范围内新布设工业园区。若新布局工业园区，应符合达州市国土空间规划，并结合区域环境特点、三线成果、园区产业类别，充分论证选址的环境合理性。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-严格控制新增建设用地规模，法定城乡规划除外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1.按照相关规划和要求，清理整顿非法采砂、非法码头，全面清除不合规码头。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2.在全市范围深入开展集中整治“散乱污”工业企业，对不符合产业政策和规划布局的，一律责令停产、限期搬迁或关停；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4.到2025年，城镇人口密集区现有不符合安全和卫生防护距离要求的危险化学品生产企业搬迁进入规范化工园区或关闭退出。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5.不断优化长江经济带化工行业空间布局，有效控制化工污染。推进化工企业搬迁入园，加强化工园区基础设施建设。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6.加快现有高污染或高风险产品生产化学品企业“退城入园”进度，逐步退出环境敏感区。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达州市2025年水污染物允许排放量COD33136.93t，氨氮2055.16t，TP252.53t；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-到2025年，水环境敏感地区污水处理基本达到一级A排放标准。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-燃气锅炉升级改造，达到特别排放限值。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-全面落实各类施工工地扬尘防控措施，重点、重大项目工地实现视频监控、可吸入颗粒物（PM10）在线监测全覆盖。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2.污染物排放绩效水平准入要求:严格落实建设工地管理要求，做好扬尘污染管控工作。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-实施密闭化收运，推广干湿分类收运。强化垃圾渗滤液、焚烧飞灰安全处置，城市生活垃圾无害化处理率保持100%。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3.新建噪声敏感建筑物时，建设单位应全面执行绿色建筑标准，合理确定建筑物与交通干线等的防噪声距离，落实隔声减噪措施。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4.已竣工交付使用的住宅楼、商铺、办公楼等建筑物不得在午、夜间进行产噪装修作业，在其他时间进行装修作业的，应当采取噪声防治措施。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企业环境风险防控要求:现有涉及五类重金属的企业，不得新增污染物排放，限期退城入园或关停。用地环境风险防控要求:工业企业退出用地，须经评估、修复满足相应用地功能后，方可改变用途。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-严控使用燃煤等高污染燃料，禁止焚烧垃圾。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-全面淘汰每小时10蒸吨以下的燃煤锅炉；在供气管网覆盖不到的其他地区，改用电、新能源或洁净煤。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现有源提标升级改造</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新增源等量或倍量替代</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新增源排放标准限值</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污染物排放绩效水平准入要求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其他污染物排放管控要求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本项目营运期无废水、废气排放，满足</w:t>
            </w:r>
            <w:r>
              <w:rPr>
                <w:rStyle w:val="31"/>
                <w:rFonts w:hint="default" w:ascii="Times New Roman" w:hAnsi="Times New Roman" w:eastAsia="宋体" w:cs="Times New Roman"/>
                <w:color w:val="auto"/>
                <w:kern w:val="2"/>
                <w:sz w:val="18"/>
                <w:szCs w:val="18"/>
                <w:highlight w:val="none"/>
                <w:lang w:val="en-US" w:eastAsia="zh-CN" w:bidi="ar-SA"/>
              </w:rPr>
              <w:t>大竹县城镇空间</w:t>
            </w:r>
            <w:r>
              <w:rPr>
                <w:rStyle w:val="31"/>
                <w:rFonts w:hint="eastAsia" w:eastAsia="宋体" w:cs="Times New Roman"/>
                <w:color w:val="auto"/>
                <w:kern w:val="2"/>
                <w:sz w:val="18"/>
                <w:szCs w:val="18"/>
                <w:highlight w:val="none"/>
                <w:lang w:val="en-US" w:eastAsia="zh-CN" w:bidi="ar-SA"/>
              </w:rPr>
              <w:t>污染物排放管控要求。</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大竹县城镇空间</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-原则上禁止新建工业企业（新建工业企业原则上都应在工业园区内建设）。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-禁止在居民区、学校、医疗和养老机构等周边新建有色金属冶炼、焦化、化工、铅蓄电池制造等行业企业，有序搬迁或依法关闭对土壤造成严重污染的现有企业。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-对不符合国土空间规划的现有工业企业，污染物排放总量及环境风险水平只降不增，引导企业适时搬迁进入对口园区。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-严格控制在城镇空间范围内新布设工业园区。若新布局工业园区，应符合达州市国土空间规划，并结合区域环境特点、三线成果、园区产业类别，充分论证选址的环境合理性。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-严格控制新增建设用地规模，法定城乡规划除外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1.按照相关规划和要求，清理整顿非法采砂、非法码头，全面清除不合规码头。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2.在全市范围深入开展集中整治“散乱污”工业企业，对不符合产业政策和规划布局的，一律责令停产、限期搬迁或关停；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4.到2025年，城镇人口密集区现有不符合安全和卫生防护距离要求的危险化学品生产企业搬迁进入规范化工园区或关闭退出。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5.不断优化长江经济带化工行业空间布局，有效控制化工污染。推进化工企业搬迁入园，加强化工园区基础设施建设。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6.加快现有高污染或高风险产品生产化学品企业“退城入园”进度，逐步退出环境敏感区。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达州市2025年水污染物允许排放量COD33136.93t，氨氮2055.16t，TP252.53t；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-到2025年，水环境敏感地区污水处理基本达到一级A排放标准。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-燃气锅炉升级改造，达到特别排放限值。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-全面落实各类施工工地扬尘防控措施，重点、重大项目工地实现视频监控、可吸入颗粒物（PM10）在线监测全覆盖。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2.污染物排放绩效水平准入要求:严格落实建设工地管理要求，做好扬尘污染管控工作。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-实施密闭化收运，推广干湿分类收运。强化垃圾渗滤液、焚烧飞灰安全处置，城市生活垃圾无害化处理率保持100%。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3.新建噪声敏感建筑物时，建设单位应全面执行绿色建筑标准，合理确定建筑物与交通干线等的防噪声距离，落实隔声减噪措施。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4.已竣工交付使用的住宅楼、商铺、办公楼等建筑物不得在午、夜间进行产噪装修作业，在其他时间进行装修作业的，应当采取噪声防治措施。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企业环境风险防控要求:现有涉及五类重金属的企业，不得新增污染物排放，限期退城入园或关停。用地环境风险防控要求:工业企业退出用地，须经评估、修复满足相应用地功能后，方可改变用途。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-严控使用燃煤等高污染燃料，禁止焚烧垃圾。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-全面淘汰每小时10蒸吨以下的燃煤锅炉；在供气管网覆盖不到的其他地区，改用电、新能源或洁净煤。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严格管控类农用地管控要求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安全利用类农用地管控要求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污染地块管控要求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园区环境风险防控要求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企业环境风险防控要求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其他环境风险防控要求</w:t>
            </w:r>
            <w:r>
              <w:rPr>
                <w:rStyle w:val="31"/>
                <w:rFonts w:hint="eastAsia" w:ascii="Times New Roman" w:hAnsi="Times New Roman" w:eastAsia="宋体" w:cs="Times New Roman"/>
                <w:color w:val="auto"/>
                <w:kern w:val="2"/>
                <w:sz w:val="18"/>
                <w:szCs w:val="18"/>
                <w:highlight w:val="none"/>
                <w:lang w:val="en-US" w:eastAsia="zh-CN" w:bidi="ar-SA"/>
              </w:rPr>
              <w:t>：</w:t>
            </w: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本项目不涉及风险物质使用和储存，本项目环境风险可控。</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大竹县城镇空间</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-原则上禁止新建工业企业（新建工业企业原则上都应在工业园区内建设）。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-禁止在居民区、学校、医疗和养老机构等周边新建有色金属冶炼、焦化、化工、铅蓄电池制造等行业企业，有序搬迁或依法关闭对土壤造成严重污染的现有企业。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-对不符合国土空间规划的现有工业企业，污染物排放总量及环境风险水平只降不增，引导企业适时搬迁进入对口园区。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-严格控制在城镇空间范围内新布设工业园区。若新布局工业园区，应符合达州市国土空间规划，并结合区域环境特点、三线成果、园区产业类别，充分论证选址的环境合理性。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-严格控制新增建设用地规模，法定城乡规划除外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1.按照相关规划和要求，清理整顿非法采砂、非法码头，全面清除不合规码头。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2.在全市范围深入开展集中整治“散乱污”工业企业，对不符合产业政策和规划布局的，一律责令停产、限期搬迁或关停；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3.有序搬迁或依法关闭对土壤造成严重污染的现有企业。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4.到2025年，城镇人口密集区现有不符合安全和卫生防护距离要求的危险化学品生产企业搬迁进入规范化工园区或关闭退出。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5.不断优化长江经济带化工行业空间布局，有效控制化工污染。推进化工企业搬迁入园，加强化工园区基础设施建设。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6.加快现有高污染或高风险产品生产化学品企业“退城入园”进度，逐步退出环境敏感区。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达州市2025年水污染物允许排放量COD33136.93t，氨氮2055.16t，TP252.53t；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-到2025年，水环境敏感地区污水处理基本达到一级A排放标准。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-燃气锅炉升级改造，达到特别排放限值。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-全面落实各类施工工地扬尘防控措施，重点、重大项目工地实现视频监控、可吸入颗粒物（PM10）在线监测全覆盖。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1.新增源等量或倍量替代:-上一年度水环境质量未完成目标的，新建排放水污染的建设项目按照总量管控要求进行倍量削减替代。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2.污染物排放绩效水平准入要求:严格落实建设工地管理要求，做好扬尘污染管控工作。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-实施密闭化收运，推广干湿分类收运。强化垃圾渗滤液、焚烧飞灰安全处置，城市生活垃圾无害化处理率保持100%。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3.新建噪声敏感建筑物时，建设单位应全面执行绿色建筑标准，合理确定建筑物与交通干线等的防噪声距离，落实隔声减噪措施。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4.已竣工交付使用的住宅楼、商铺、办公楼等建筑物不得在午、夜间进行产噪装修作业，在其他时间进行装修作业的，应当采取噪声防治措施。</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企业环境风险防控要求:现有涉及五类重金属的企业，不得新增污染物排放，限期退城入园或关停。用地环境风险防控要求:工业企业退出用地，须经评估、修复满足相应用地功能后，方可改变用途。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-严控使用燃煤等高污染燃料，禁止焚烧垃圾。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-全面淘汰每小时10蒸吨以下的燃煤锅炉；在供气管网覆盖不到的其他地区，改用电、新能源或洁净煤。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水资源利用效率要求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地下水开采要求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能源利用效率要求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执行达州市城镇重点管控单元总体要求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其他资源利用效率要求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禁燃区要求：同达州市城镇重点总体准入要求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本项目主要能源为电力，符合资源开发效率要求。</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YS5117242310001</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restart"/>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禁止开发建设活动的要求：/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限制开发建设活动的要求：/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允许开发建设活动的要求：/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不符合空间布局要求活动的退出要求：/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其他空间布局约束要求：/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YS5117242310001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大气环境质量执行标准</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《环境空气质量标准》（GB3095-2012）：二级</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区域大气污染物削减/替代要求：/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燃煤和其他能源大气污染控制要求：/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工业废气污染控制要求：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机动车船大气污染控制要求：/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扬尘污染控制要求：/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农业生产经营活动大气污染控制要求：/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重点行业企业专项治理要求：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其他大气污染物排放管控要求：/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本项目营运期无废气</w:t>
            </w:r>
            <w:r>
              <w:rPr>
                <w:rStyle w:val="31"/>
                <w:rFonts w:hint="eastAsia" w:eastAsia="宋体" w:cs="Times New Roman"/>
                <w:color w:val="auto"/>
                <w:kern w:val="2"/>
                <w:sz w:val="18"/>
                <w:szCs w:val="18"/>
                <w:highlight w:val="none"/>
                <w:lang w:val="en-US" w:eastAsia="zh-CN" w:bidi="ar-SA"/>
              </w:rPr>
              <w:t>、废水</w:t>
            </w:r>
            <w:r>
              <w:rPr>
                <w:rStyle w:val="31"/>
                <w:rFonts w:hint="eastAsia" w:ascii="Times New Roman" w:hAnsi="Times New Roman" w:eastAsia="宋体" w:cs="Times New Roman"/>
                <w:color w:val="auto"/>
                <w:kern w:val="2"/>
                <w:sz w:val="18"/>
                <w:szCs w:val="18"/>
                <w:highlight w:val="none"/>
                <w:lang w:val="en-US" w:eastAsia="zh-CN" w:bidi="ar-SA"/>
              </w:rPr>
              <w:t>污染物排放，本项目符合四川大竹经济开发区污染物排放管控要求</w:t>
            </w:r>
          </w:p>
        </w:tc>
        <w:tc>
          <w:tcPr>
            <w:tcW w:w="3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YS5117242310001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YS5117242310001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YS5117242530001</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大竹县城镇开发边界</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本项目位于</w:t>
            </w:r>
            <w:r>
              <w:rPr>
                <w:rStyle w:val="31"/>
                <w:rFonts w:hint="default" w:ascii="Times New Roman" w:hAnsi="Times New Roman" w:eastAsia="宋体" w:cs="Times New Roman"/>
                <w:color w:val="auto"/>
                <w:kern w:val="2"/>
                <w:sz w:val="18"/>
                <w:szCs w:val="18"/>
                <w:highlight w:val="none"/>
                <w:lang w:val="en-US" w:eastAsia="zh-CN" w:bidi="ar-SA"/>
              </w:rPr>
              <w:t>大竹县城镇开发边界</w:t>
            </w:r>
            <w:r>
              <w:rPr>
                <w:rStyle w:val="31"/>
                <w:rFonts w:hint="eastAsia" w:eastAsia="宋体" w:cs="Times New Roman"/>
                <w:color w:val="auto"/>
                <w:kern w:val="2"/>
                <w:sz w:val="18"/>
                <w:szCs w:val="18"/>
                <w:highlight w:val="none"/>
                <w:lang w:val="en-US" w:eastAsia="zh-CN" w:bidi="ar-SA"/>
              </w:rPr>
              <w:t>内，项目占地符合大竹县国土空间规划</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YS5117242530001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大竹县城镇开发边界</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YS5117242530001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大竹县城镇开发边界</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70" w:hRule="atLeast"/>
        </w:trPr>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YS5117242530001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大竹县城镇开发边界</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土地资源开发效率要求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土地资源开发利用量不得超过土地资源利用上线控制性指标。</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能源资源开发效率要求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其他资源开发效率要求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eastAsia="宋体" w:cs="Times New Roman"/>
                <w:color w:val="auto"/>
                <w:kern w:val="2"/>
                <w:sz w:val="18"/>
                <w:szCs w:val="18"/>
                <w:highlight w:val="none"/>
                <w:lang w:val="en-US" w:eastAsia="zh-CN" w:bidi="ar-SA"/>
              </w:rPr>
              <w:t>本项目占地为东柳水厂空地，未</w:t>
            </w:r>
            <w:r>
              <w:rPr>
                <w:rStyle w:val="31"/>
                <w:rFonts w:hint="default" w:ascii="Times New Roman" w:hAnsi="Times New Roman" w:eastAsia="宋体" w:cs="Times New Roman"/>
                <w:color w:val="auto"/>
                <w:kern w:val="2"/>
                <w:sz w:val="18"/>
                <w:szCs w:val="18"/>
                <w:highlight w:val="none"/>
                <w:lang w:val="en-US" w:eastAsia="zh-CN" w:bidi="ar-SA"/>
              </w:rPr>
              <w:t>超过土地资源利用上线控制性指标</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YS5117242550001</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大竹县自然资源重点管控区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vMerge w:val="restart"/>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YS5117242550001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大竹县自然资源重点管控区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YS5117242550001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大竹县自然资源重点管控区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vMerge w:val="continue"/>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11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YS5117242550001</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大竹县自然资源重点管控区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暂无</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土地资源开发效率要求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能源资源开发效率要求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其他资源开发效率要求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ZH51172420002</w:t>
            </w:r>
          </w:p>
        </w:tc>
        <w:tc>
          <w:tcPr>
            <w:tcW w:w="489" w:type="dxa"/>
            <w:vMerge w:val="restart"/>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restart"/>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钢铁行业新建应参考达州市“三线一单”生态环境分区管控中钢铁行业资源环境绩效准入门槛。</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空间布局约束</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禁止开发建设活动的要求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2、东区：禁止引入对水环境可能造成较大风险的制造业如石油加工、造纸、印染（苎麻配套印染除外）、化学原料及化学制品制造业、医药原药制造业等其它同达州市工业重点管控单元要求；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3、大竹县柏林工业园区：禁止除竹(木)加工、竹浆造纸外的企业</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限制开发建设活动的要求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1、园区西侧落地项目应充分论证大气、噪声环境影响，优化项目选址布局</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3、东区：</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1）在引进苎麻加工企业时要控制含脱胶企业的数量和规模，引进苎麻加工企业应以精干麻为原料的纯苎麻纺织项目为主，对新建的含脱胶的苎麻加工项目应限制入园（在东柳河水质达到III类标准以前，对苎麻脱胶企业限制引进）；</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（2）园区引进新建的含脱胶苎麻加工企业时，应以建设园区污水厂为前提</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4、大竹县柏林工业园区：在场镇未搬迁前，园区西侧落地项目应充分论证大气、噪声环境影响，优化项目选址布局</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其它同达州市工业重点管控单元总体要求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允许开发建设活动的要求：/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不符合空间布局要求活动的退出要求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其他空间布局约束要求：/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经对照四川大竹经济开发区规划及规划环评要求，本项目不属于禁止引入的企业类别，满足四川大竹经济开发区空间布局约束等要求。</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ZH51172420002</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企业环境风险防控要求:涉及有毒有害、易燃易爆物质新建、改扩建项目，严控准入要求。（根据《GB 8978-2002》中第一类污染物以及《优先控制化学品名录</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有毒有害大气污染物名录</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污染物排放管控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现有源提标升级改造</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项目产生的生产废水由企业自行处理达到《污水排放综合标准》三级或相应的行业排放标准（麻纺企业须达《麻纺工业水污染物排放标准》（GB 28938-2012）间接排放标准）后排入园区污水处理厂处理达《城镇污水处理厂污染物排放标准》一级A标或更严格标准后排放。</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-含五类重点控制的重金属（汞、镉、铅、砷、铬）废水实现零排放。其他同达州市工业重点总体准入要求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新增源等量或倍量替代</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大竹县柏林工业园区：东柳河执行水环境污染物允许排放量硬约束。</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新增源排放标准限值</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大竹县柏林工业园区：1、造纸需满足《四川省造纸产业差别化环境准入指标体系》中提出的污染物排放约束性和建议性环境管控指标。</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2、制浆锅炉执行超低排放限值，碱炉执行大气特别排放限值。</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3、制浆造纸企业执行《制浆造纸工业水污染物排放标准》表3水污染物特别排放限值要求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污染物排放绩效水平准入要求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其他污染物排放管控要求：/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本项目施工期已结束，施工期未造成环境污染，未收到环保投诉，项目营运期无废气污染物排放，固废处置去向合理，噪声达标排放，废水进入园区污水厂处理后达标排放，项目不涉及总量控制指标，</w:t>
            </w:r>
            <w:r>
              <w:rPr>
                <w:rStyle w:val="31"/>
                <w:rFonts w:hint="eastAsia" w:eastAsia="宋体" w:cs="Times New Roman"/>
                <w:color w:val="auto"/>
                <w:kern w:val="2"/>
                <w:sz w:val="18"/>
                <w:szCs w:val="18"/>
                <w:highlight w:val="none"/>
                <w:lang w:val="en-US" w:eastAsia="zh-CN" w:bidi="ar-SA"/>
              </w:rPr>
              <w:t>满足大竹经济开发区污染物排放管控要求。</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ZH51172420002</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企业环境风险防控要求:涉及有毒有害、易燃易爆物质新建、改扩建项目，严控准入要求。（根据《GB 8978-2002》中第一类污染物以及《优先控制化学品名录</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有毒有害大气污染物名录</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环境风险防控</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严格管控类农用地管控要求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安全利用类农用地管控要求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污染地块管控要求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园区环境风险防控要求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企业环境风险防控要求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其他环境风险防控要求：/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本项目为自来水生产及供应项目，环境风险可控，符合大竹经济开发区环境风险防控要求。</w:t>
            </w: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482"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ZH51172420002</w:t>
            </w:r>
          </w:p>
        </w:tc>
        <w:tc>
          <w:tcPr>
            <w:tcW w:w="489" w:type="dxa"/>
            <w:vMerge w:val="continue"/>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四川大竹经济开发区</w:t>
            </w:r>
          </w:p>
        </w:tc>
        <w:tc>
          <w:tcPr>
            <w:tcW w:w="7847" w:type="dxa"/>
            <w:vMerge w:val="continue"/>
            <w:noWrap w:val="0"/>
            <w:vAlign w:val="top"/>
          </w:tcPr>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空间布局约束：</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-禁止在长江干支流、重要湖泊岸线一公里范围内新建、扩建化工园区和化工项目，严控新建石油化工、煤化工、涉磷、造纸、印染、制革等项目。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-禁止从事《长江经济带发展负面清单指南（试行）》禁止准入类事项。</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-引进项目应符合园区规划环评和区域产业准入及负面清单要求。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-禁止新建不符合国家产业政策和行业准入条件的高污染项目。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-工业园区禁止新建高污染燃料锅炉。</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-禁止在长江流域河湖管理范围内倾倒、填埋、堆放、弃置、处理固体废物。</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限制开发建设活动的要求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-严格控制污染物新增排放量，对新建排放二氧化硫、氮氧化物、工业烟粉尘和 VOCS 的项目实施现役源 2 倍削减量替代。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-严格实施环评制度，将细颗粒物达标情况纳入规划环评和相关项目环评内容，加快制定颗粒物、VOCS排放总量管理配套政策。</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-严格控制新建、扩建燃煤发电项目。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-严控达州市主城区上游沿岸地区新建石油化工、煤化工、涉磷、造纸、印染、制革等项目。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不符合空间布局要求活动的退出要求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-现有属于禁止引入产业门类的企业，应按相关规定限期整治或退出。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-石化、现代煤化工项目应纳入国家产业规划。新建、扩建石化、化工、焦化、有色金属冶炼、平板玻璃项目应布设在依法合规设立并经规划环评的产业园区。</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其他空间布局约束要求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污染物排放管控：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允许排放量要求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达州市2025年水污染物允许排放量COD4396.41t，氨氮418.7t，TP45.36t；达州市2025年大气污染物一次PM2.5 5805t、SO2 12773t、NOx11892t、VOCs 13969t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现有源提标升级改造</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-污水收集处理率达100%；</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其他污染物排放管控要求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新增源等量或倍量替代:上一年度水环境质量未完成目标的，新建排放水污染的建设项目按照总量管控要求进行倍量削减替代。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上一年度空气质量年平均浓度不达标的城市，建设项目新增相关污染物按照总量管控要求进行倍量削减替代。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钢铁行业新建应参考达州市“三线一单”生态环境分区管控中钢铁行业资源环境绩效准入门槛。                         </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环境风险防控：</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联防联控要求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其他环境风险防控要求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企业环境风险防控要求:涉及有毒有害、易燃易爆物质新建、改扩建项目，严控准入要求。（根据《GB 8978-2002》中第一类污染物以及《优先控制化学品名录</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有毒有害大气污染物名录</w:t>
            </w:r>
            <w:r>
              <w:rPr>
                <w:rStyle w:val="31"/>
                <w:rFonts w:hint="eastAsia" w:eastAsia="宋体" w:cs="Times New Roman"/>
                <w:color w:val="auto"/>
                <w:kern w:val="0"/>
                <w:sz w:val="18"/>
                <w:szCs w:val="18"/>
                <w:highlight w:val="none"/>
                <w:lang w:val="en-US" w:eastAsia="zh-CN" w:bidi="ar-SA"/>
              </w:rPr>
              <w:t>》《</w:t>
            </w:r>
            <w:r>
              <w:rPr>
                <w:rStyle w:val="31"/>
                <w:rFonts w:hint="default" w:ascii="Times New Roman" w:hAnsi="Times New Roman" w:eastAsia="宋体" w:cs="Times New Roman"/>
                <w:color w:val="auto"/>
                <w:kern w:val="0"/>
                <w:sz w:val="18"/>
                <w:szCs w:val="18"/>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资源开发利用效率要求：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水资源利用总量要求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地下水开采要求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以省市下发指标为准</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能源利用总量及效率要求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-大力实施和推广以电代煤、以电代油工程，重点在城市交通、工商业等领域实施以电代油、以电代煤。</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-增加天然气对煤炭和石油的替代，提高天然气民用、交通、发电、工业领域天然气消费比重。</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-实施煤炭消费总量控制：严格控制煤炭消费总量；严格控制新建、改建、扩建耗煤项目，新增耗煤项目实行煤炭消耗减量倍量替代。</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-推进清洁能源的推广使用，全面推进散煤清洁化整治；</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-禁燃区内禁止销售、燃用高污染燃料；禁止新建、改建、扩建燃用高污染燃料的设施和设备。</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-禁燃区内已建成的高污染燃料燃用设施由辖区人民政府制定限期改造计划，改用天然气、页岩气、液化石油气、电或其他清洁能源。</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其他资源利用效率要求</w:t>
            </w:r>
          </w:p>
          <w:p>
            <w:pPr>
              <w:pStyle w:val="9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1"/>
                <w:rFonts w:hint="default" w:ascii="Times New Roman" w:hAnsi="Times New Roman" w:eastAsia="宋体" w:cs="Times New Roman"/>
                <w:color w:val="auto"/>
                <w:kern w:val="0"/>
                <w:sz w:val="18"/>
                <w:szCs w:val="18"/>
                <w:highlight w:val="none"/>
                <w:lang w:val="en-US" w:eastAsia="zh-CN" w:bidi="ar-SA"/>
              </w:rPr>
            </w:pPr>
            <w:r>
              <w:rPr>
                <w:rStyle w:val="31"/>
                <w:rFonts w:hint="default" w:ascii="Times New Roman" w:hAnsi="Times New Roman" w:eastAsia="宋体" w:cs="Times New Roman"/>
                <w:color w:val="auto"/>
                <w:kern w:val="0"/>
                <w:sz w:val="18"/>
                <w:szCs w:val="18"/>
                <w:highlight w:val="none"/>
                <w:lang w:val="en-US" w:eastAsia="zh-CN" w:bidi="ar-SA"/>
              </w:rPr>
              <w:t>/</w:t>
            </w:r>
          </w:p>
        </w:tc>
        <w:tc>
          <w:tcPr>
            <w:tcW w:w="840" w:type="dxa"/>
            <w:noWrap w:val="0"/>
            <w:vAlign w:val="center"/>
          </w:tcPr>
          <w:p>
            <w:pPr>
              <w:pStyle w:val="90"/>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资源开发效率要求</w:t>
            </w:r>
          </w:p>
        </w:tc>
        <w:tc>
          <w:tcPr>
            <w:tcW w:w="435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水资源利用效率要求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同达州市工业重点总体准入要求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地下水开采要求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执行达州市工业重点管控单元总体要求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能源利用效率要求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大竹县柏林工业园区：除制浆造纸项目外禁止使用燃煤等高污染燃料，其他项目以天然气、电等清洁能源为主。</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其他资源利用效率要求</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default" w:ascii="Times New Roman" w:hAnsi="Times New Roman" w:eastAsia="宋体" w:cs="Times New Roman"/>
                <w:color w:val="auto"/>
                <w:kern w:val="2"/>
                <w:sz w:val="18"/>
                <w:szCs w:val="18"/>
                <w:highlight w:val="none"/>
                <w:lang w:val="en-US" w:eastAsia="zh-CN" w:bidi="ar-SA"/>
              </w:rPr>
              <w:t>禁燃区要求：同达州市工业重点总体准入要求</w:t>
            </w:r>
          </w:p>
        </w:tc>
        <w:tc>
          <w:tcPr>
            <w:tcW w:w="1120" w:type="dxa"/>
            <w:noWrap w:val="0"/>
            <w:vAlign w:val="center"/>
          </w:tcPr>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eastAsia="宋体" w:cs="Times New Roman"/>
                <w:color w:val="auto"/>
                <w:kern w:val="2"/>
                <w:sz w:val="18"/>
                <w:szCs w:val="18"/>
                <w:highlight w:val="none"/>
                <w:lang w:val="en-US" w:eastAsia="zh-CN" w:bidi="ar-SA"/>
              </w:rPr>
              <w:t>本项目符合</w:t>
            </w:r>
            <w:r>
              <w:rPr>
                <w:rStyle w:val="31"/>
                <w:rFonts w:hint="default" w:ascii="Times New Roman" w:hAnsi="Times New Roman" w:eastAsia="宋体" w:cs="Times New Roman"/>
                <w:color w:val="auto"/>
                <w:kern w:val="2"/>
                <w:sz w:val="18"/>
                <w:szCs w:val="18"/>
                <w:highlight w:val="none"/>
                <w:lang w:val="en-US" w:eastAsia="zh-CN" w:bidi="ar-SA"/>
              </w:rPr>
              <w:t>达州市工业重点总体准入要求</w:t>
            </w:r>
            <w:r>
              <w:rPr>
                <w:rStyle w:val="31"/>
                <w:rFonts w:hint="eastAsia" w:eastAsia="宋体" w:cs="Times New Roman"/>
                <w:color w:val="auto"/>
                <w:kern w:val="2"/>
                <w:sz w:val="18"/>
                <w:szCs w:val="18"/>
                <w:highlight w:val="none"/>
                <w:lang w:val="en-US" w:eastAsia="zh-CN" w:bidi="ar-SA"/>
              </w:rPr>
              <w:t>，符合</w:t>
            </w:r>
            <w:r>
              <w:rPr>
                <w:rStyle w:val="31"/>
                <w:rFonts w:hint="default" w:ascii="Times New Roman" w:hAnsi="Times New Roman" w:eastAsia="宋体" w:cs="Times New Roman"/>
                <w:color w:val="auto"/>
                <w:kern w:val="2"/>
                <w:sz w:val="18"/>
                <w:szCs w:val="18"/>
                <w:highlight w:val="none"/>
                <w:lang w:val="en-US" w:eastAsia="zh-CN" w:bidi="ar-SA"/>
              </w:rPr>
              <w:t>达州市工业重点管控单元总体要求</w:t>
            </w:r>
            <w:r>
              <w:rPr>
                <w:rStyle w:val="31"/>
                <w:rFonts w:hint="eastAsia" w:eastAsia="宋体" w:cs="Times New Roman"/>
                <w:color w:val="auto"/>
                <w:kern w:val="2"/>
                <w:sz w:val="18"/>
                <w:szCs w:val="18"/>
                <w:highlight w:val="none"/>
                <w:lang w:val="en-US" w:eastAsia="zh-CN" w:bidi="ar-SA"/>
              </w:rPr>
              <w:t>。</w:t>
            </w:r>
          </w:p>
          <w:p>
            <w:pPr>
              <w:pStyle w:val="90"/>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1"/>
                <w:rFonts w:hint="default" w:ascii="Times New Roman" w:hAnsi="Times New Roman" w:eastAsia="宋体" w:cs="Times New Roman"/>
                <w:color w:val="auto"/>
                <w:kern w:val="2"/>
                <w:sz w:val="18"/>
                <w:szCs w:val="18"/>
                <w:highlight w:val="none"/>
                <w:lang w:val="en-US" w:eastAsia="zh-CN" w:bidi="ar-SA"/>
              </w:rPr>
            </w:pPr>
          </w:p>
        </w:tc>
        <w:tc>
          <w:tcPr>
            <w:tcW w:w="320"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1"/>
                <w:rFonts w:hint="default" w:ascii="Times New Roman" w:hAnsi="Times New Roman" w:eastAsia="宋体" w:cs="Times New Roman"/>
                <w:color w:val="auto"/>
                <w:kern w:val="2"/>
                <w:sz w:val="18"/>
                <w:szCs w:val="18"/>
                <w:highlight w:val="none"/>
                <w:lang w:val="en-US" w:eastAsia="zh-CN" w:bidi="ar-SA"/>
              </w:rPr>
            </w:pPr>
            <w:r>
              <w:rPr>
                <w:rStyle w:val="31"/>
                <w:rFonts w:hint="eastAsia" w:ascii="Times New Roman" w:hAnsi="Times New Roman" w:eastAsia="宋体" w:cs="Times New Roman"/>
                <w:color w:val="auto"/>
                <w:kern w:val="2"/>
                <w:sz w:val="18"/>
                <w:szCs w:val="18"/>
                <w:highlight w:val="none"/>
                <w:lang w:val="en-US" w:eastAsia="zh-CN" w:bidi="ar-SA"/>
              </w:rPr>
              <w:t>符合</w:t>
            </w:r>
          </w:p>
        </w:tc>
      </w:tr>
    </w:tbl>
    <w:p>
      <w:pPr>
        <w:pStyle w:val="38"/>
        <w:ind w:firstLine="0"/>
        <w:jc w:val="both"/>
        <w:rPr>
          <w:rFonts w:ascii="Times New Roman"/>
          <w:color w:val="auto"/>
        </w:rPr>
      </w:pPr>
    </w:p>
    <w:p>
      <w:pPr>
        <w:pStyle w:val="11"/>
        <w:rPr>
          <w:color w:val="auto"/>
        </w:rPr>
        <w:sectPr>
          <w:pgSz w:w="16838" w:h="11906" w:orient="landscape"/>
          <w:pgMar w:top="720" w:right="720" w:bottom="720" w:left="720" w:header="851" w:footer="1077" w:gutter="0"/>
          <w:pgBorders>
            <w:top w:val="none" w:sz="0" w:space="0"/>
            <w:left w:val="none" w:sz="0" w:space="0"/>
            <w:bottom w:val="none" w:sz="0" w:space="0"/>
            <w:right w:val="none" w:sz="0" w:space="0"/>
          </w:pgBorders>
          <w:cols w:space="720" w:num="1"/>
          <w:docGrid w:linePitch="312" w:charSpace="0"/>
        </w:sectPr>
      </w:pPr>
    </w:p>
    <w:tbl>
      <w:tblPr>
        <w:tblStyle w:val="28"/>
        <w:tblW w:w="896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79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21" w:type="dxa"/>
            <w:vAlign w:val="center"/>
          </w:tcPr>
          <w:p>
            <w:pPr>
              <w:autoSpaceDE w:val="0"/>
              <w:autoSpaceDN w:val="0"/>
              <w:adjustRightInd w:val="0"/>
              <w:snapToGrid w:val="0"/>
              <w:jc w:val="center"/>
              <w:rPr>
                <w:color w:val="auto"/>
                <w:kern w:val="0"/>
                <w:szCs w:val="21"/>
              </w:rPr>
            </w:pPr>
            <w:r>
              <w:rPr>
                <w:color w:val="auto"/>
                <w:kern w:val="0"/>
                <w:szCs w:val="21"/>
              </w:rPr>
              <w:t>其他符合性分析</w:t>
            </w:r>
          </w:p>
        </w:tc>
        <w:tc>
          <w:tcPr>
            <w:tcW w:w="7947" w:type="dxa"/>
            <w:vAlign w:val="center"/>
          </w:tcPr>
          <w:p>
            <w:pPr>
              <w:pStyle w:val="173"/>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22" w:firstLineChars="200"/>
              <w:jc w:val="both"/>
              <w:textAlignment w:val="auto"/>
              <w:rPr>
                <w:rFonts w:hint="eastAsia" w:cs="Times New Roman"/>
                <w:b/>
                <w:bCs/>
                <w:snapToGrid/>
                <w:color w:val="auto"/>
                <w:spacing w:val="0"/>
                <w:w w:val="100"/>
                <w:kern w:val="21"/>
                <w:position w:val="0"/>
                <w:sz w:val="21"/>
                <w:szCs w:val="18"/>
                <w:lang w:val="en-US" w:eastAsia="zh-CN"/>
              </w:rPr>
            </w:pPr>
            <w:r>
              <w:rPr>
                <w:rFonts w:hint="eastAsia" w:cs="Times New Roman"/>
                <w:b/>
                <w:bCs/>
                <w:snapToGrid/>
                <w:color w:val="auto"/>
                <w:spacing w:val="0"/>
                <w:w w:val="100"/>
                <w:kern w:val="21"/>
                <w:position w:val="0"/>
                <w:sz w:val="21"/>
                <w:szCs w:val="18"/>
                <w:lang w:val="en-US" w:eastAsia="zh-CN"/>
              </w:rPr>
              <w:t>四、其他符合性分析</w:t>
            </w:r>
          </w:p>
          <w:p>
            <w:pPr>
              <w:overflowPunct w:val="0"/>
              <w:spacing w:line="360" w:lineRule="auto"/>
              <w:ind w:firstLine="482"/>
              <w:jc w:val="left"/>
              <w:rPr>
                <w:b/>
                <w:bCs/>
                <w:color w:val="auto"/>
                <w:kern w:val="21"/>
                <w:sz w:val="21"/>
                <w:szCs w:val="21"/>
                <w:lang w:bidi="ar"/>
              </w:rPr>
            </w:pPr>
            <w:r>
              <w:rPr>
                <w:b/>
                <w:bCs/>
                <w:color w:val="auto"/>
                <w:kern w:val="21"/>
                <w:sz w:val="21"/>
                <w:szCs w:val="21"/>
                <w:lang w:bidi="ar"/>
              </w:rPr>
              <w:t>1、与《中华人民共和国长江保护法》符合性分析</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val="0"/>
                <w:snapToGrid/>
                <w:color w:val="auto"/>
                <w:spacing w:val="0"/>
                <w:w w:val="100"/>
                <w:kern w:val="21"/>
                <w:position w:val="0"/>
                <w:sz w:val="21"/>
                <w:szCs w:val="21"/>
                <w:lang w:val="en-US" w:eastAsia="zh-CN"/>
              </w:rPr>
            </w:pPr>
            <w:r>
              <w:rPr>
                <w:rFonts w:hint="eastAsia" w:ascii="Times New Roman" w:hAnsi="Times New Roman" w:eastAsia="宋体" w:cs="Times New Roman"/>
                <w:b/>
                <w:bCs w:val="0"/>
                <w:snapToGrid/>
                <w:color w:val="auto"/>
                <w:spacing w:val="0"/>
                <w:w w:val="100"/>
                <w:kern w:val="21"/>
                <w:position w:val="0"/>
                <w:sz w:val="21"/>
                <w:szCs w:val="21"/>
                <w:lang w:val="en-US" w:eastAsia="zh-CN"/>
              </w:rPr>
              <w:t>表1-</w:t>
            </w:r>
            <w:r>
              <w:rPr>
                <w:rFonts w:hint="eastAsia" w:cs="Times New Roman"/>
                <w:b/>
                <w:bCs w:val="0"/>
                <w:snapToGrid/>
                <w:color w:val="auto"/>
                <w:spacing w:val="0"/>
                <w:w w:val="100"/>
                <w:kern w:val="21"/>
                <w:position w:val="0"/>
                <w:sz w:val="21"/>
                <w:szCs w:val="21"/>
                <w:lang w:val="en-US" w:eastAsia="zh-CN"/>
              </w:rPr>
              <w:t>6</w:t>
            </w:r>
            <w:r>
              <w:rPr>
                <w:rFonts w:hint="eastAsia" w:ascii="Times New Roman" w:hAnsi="Times New Roman" w:eastAsia="宋体" w:cs="Times New Roman"/>
                <w:b/>
                <w:bCs w:val="0"/>
                <w:snapToGrid/>
                <w:color w:val="auto"/>
                <w:spacing w:val="0"/>
                <w:w w:val="100"/>
                <w:kern w:val="21"/>
                <w:position w:val="0"/>
                <w:sz w:val="21"/>
                <w:szCs w:val="21"/>
                <w:lang w:val="en-US" w:eastAsia="zh-CN"/>
              </w:rPr>
              <w:t xml:space="preserve"> 与《中华人民共和国长江保护法》符合性分析一览表</w:t>
            </w:r>
          </w:p>
          <w:tbl>
            <w:tblPr>
              <w:tblStyle w:val="28"/>
              <w:tblW w:w="7728" w:type="dxa"/>
              <w:jc w:val="center"/>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
            <w:tblGrid>
              <w:gridCol w:w="5058"/>
              <w:gridCol w:w="1840"/>
              <w:gridCol w:w="83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0" w:space="0"/>
                    <w:bottom w:val="single" w:color="auto" w:sz="4" w:space="0"/>
                    <w:right w:val="single" w:color="auto" w:sz="4" w:space="0"/>
                  </w:tcBorders>
                  <w:shd w:val="clear" w:color="auto" w:fill="auto"/>
                  <w:noWrap w:val="0"/>
                  <w:vAlign w:val="center"/>
                </w:tcPr>
                <w:p>
                  <w:pPr>
                    <w:spacing w:line="320" w:lineRule="exact"/>
                    <w:jc w:val="center"/>
                    <w:rPr>
                      <w:b/>
                      <w:bCs/>
                      <w:color w:val="auto"/>
                      <w:sz w:val="21"/>
                      <w:szCs w:val="21"/>
                    </w:rPr>
                  </w:pPr>
                  <w:r>
                    <w:rPr>
                      <w:rFonts w:hint="eastAsia"/>
                      <w:b/>
                      <w:bCs/>
                      <w:color w:val="auto"/>
                      <w:sz w:val="21"/>
                      <w:szCs w:val="21"/>
                      <w:lang w:val="en-US" w:eastAsia="zh-CN"/>
                    </w:rPr>
                    <w:t>相关</w:t>
                  </w:r>
                  <w:r>
                    <w:rPr>
                      <w:b/>
                      <w:bCs/>
                      <w:color w:val="auto"/>
                      <w:sz w:val="21"/>
                      <w:szCs w:val="21"/>
                    </w:rPr>
                    <w:t>要求</w:t>
                  </w:r>
                </w:p>
              </w:tc>
              <w:tc>
                <w:tcPr>
                  <w:tcW w:w="184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b/>
                      <w:bCs/>
                      <w:color w:val="auto"/>
                      <w:sz w:val="21"/>
                      <w:szCs w:val="21"/>
                    </w:rPr>
                  </w:pPr>
                  <w:r>
                    <w:rPr>
                      <w:b/>
                      <w:bCs/>
                      <w:color w:val="auto"/>
                      <w:sz w:val="21"/>
                      <w:szCs w:val="21"/>
                    </w:rPr>
                    <w:t>本项目情况</w:t>
                  </w:r>
                </w:p>
              </w:tc>
              <w:tc>
                <w:tcPr>
                  <w:tcW w:w="83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b/>
                      <w:bCs/>
                      <w:color w:val="auto"/>
                      <w:sz w:val="21"/>
                      <w:szCs w:val="21"/>
                    </w:rPr>
                  </w:pPr>
                  <w:r>
                    <w:rPr>
                      <w:b/>
                      <w:bCs/>
                      <w:color w:val="auto"/>
                      <w:sz w:val="21"/>
                      <w:szCs w:val="21"/>
                    </w:rPr>
                    <w:t>符合性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color w:val="auto"/>
                      <w:sz w:val="21"/>
                      <w:szCs w:val="21"/>
                    </w:rPr>
                  </w:pPr>
                  <w:r>
                    <w:rPr>
                      <w:rFonts w:ascii="Times New Roman" w:hAnsi="Times New Roman" w:eastAsia="宋体" w:cs="Times New Roman"/>
                      <w:color w:val="auto"/>
                      <w:sz w:val="21"/>
                      <w:szCs w:val="21"/>
                    </w:rPr>
                    <w:t>第二十九条　长江流域水资源保护与利用，应当根据流域综合规划，优先满足城乡居民生活用水，保障基本生态用水，并统筹农业、工业用水以及航运等需要。</w:t>
                  </w:r>
                </w:p>
              </w:tc>
              <w:tc>
                <w:tcPr>
                  <w:tcW w:w="1840" w:type="dxa"/>
                  <w:vMerge w:val="restart"/>
                  <w:tcBorders>
                    <w:top w:val="single" w:color="auto" w:sz="4" w:space="0"/>
                    <w:left w:val="single" w:color="auto" w:sz="4" w:space="0"/>
                    <w:right w:val="single" w:color="auto" w:sz="4" w:space="0"/>
                  </w:tcBorders>
                  <w:noWrap w:val="0"/>
                  <w:vAlign w:val="center"/>
                </w:tcPr>
                <w:p>
                  <w:pPr>
                    <w:spacing w:line="320" w:lineRule="exact"/>
                    <w:rPr>
                      <w:rFonts w:hint="default" w:eastAsia="宋体"/>
                      <w:color w:val="auto"/>
                      <w:sz w:val="21"/>
                      <w:szCs w:val="21"/>
                      <w:lang w:val="en-US" w:eastAsia="zh-CN"/>
                    </w:rPr>
                  </w:pPr>
                  <w:r>
                    <w:rPr>
                      <w:rFonts w:hint="eastAsia"/>
                      <w:color w:val="auto"/>
                      <w:sz w:val="21"/>
                      <w:szCs w:val="21"/>
                      <w:lang w:val="en-US" w:eastAsia="zh-CN"/>
                    </w:rPr>
                    <w:t>本项目为自来水生产和供应行业，有利于保障大竹县城乡居民生活用水安全。</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color w:val="auto"/>
                      <w:sz w:val="21"/>
                      <w:szCs w:val="21"/>
                    </w:rPr>
                  </w:pPr>
                  <w:r>
                    <w:rPr>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color w:val="auto"/>
                      <w:sz w:val="21"/>
                      <w:szCs w:val="21"/>
                    </w:rPr>
                  </w:pPr>
                  <w:r>
                    <w:rPr>
                      <w:rFonts w:hint="eastAsia" w:ascii="Times New Roman" w:hAnsi="Times New Roman" w:eastAsia="宋体" w:cs="Times New Roman"/>
                      <w:color w:val="auto"/>
                      <w:sz w:val="21"/>
                      <w:szCs w:val="21"/>
                      <w:lang w:val="en-US" w:eastAsia="zh-CN"/>
                    </w:rPr>
                    <w:t xml:space="preserve">第三十四条 </w:t>
                  </w:r>
                  <w:r>
                    <w:rPr>
                      <w:rFonts w:ascii="Times New Roman" w:hAnsi="Times New Roman" w:eastAsia="宋体" w:cs="Times New Roman"/>
                      <w:color w:val="auto"/>
                      <w:sz w:val="21"/>
                      <w:szCs w:val="21"/>
                    </w:rPr>
                    <w:t>长</w:t>
                  </w:r>
                  <w:r>
                    <w:rPr>
                      <w:rFonts w:hint="default" w:ascii="Times New Roman" w:hAnsi="Times New Roman" w:eastAsia="宋体" w:cs="Times New Roman"/>
                      <w:color w:val="auto"/>
                      <w:sz w:val="21"/>
                      <w:szCs w:val="21"/>
                    </w:rPr>
                    <w:t>江流域省级人民政府组织划定饮用水水源保护区，加强饮用水水源保护，保障饮用水安全。</w:t>
                  </w:r>
                </w:p>
              </w:tc>
              <w:tc>
                <w:tcPr>
                  <w:tcW w:w="1840" w:type="dxa"/>
                  <w:vMerge w:val="continue"/>
                  <w:tcBorders>
                    <w:left w:val="single" w:color="auto" w:sz="4" w:space="0"/>
                    <w:right w:val="single" w:color="auto" w:sz="4" w:space="0"/>
                  </w:tcBorders>
                  <w:noWrap w:val="0"/>
                  <w:vAlign w:val="center"/>
                </w:tcPr>
                <w:p>
                  <w:pPr>
                    <w:spacing w:line="320" w:lineRule="exact"/>
                    <w:rPr>
                      <w:rFonts w:hint="default" w:eastAsia="宋体"/>
                      <w:color w:val="auto"/>
                      <w:sz w:val="21"/>
                      <w:szCs w:val="21"/>
                      <w:lang w:val="en-US" w:eastAsia="zh-CN"/>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color w:val="auto"/>
                      <w:sz w:val="21"/>
                      <w:szCs w:val="21"/>
                    </w:rPr>
                  </w:pPr>
                  <w:r>
                    <w:rPr>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Ex>
              <w:trPr>
                <w:jc w:val="center"/>
              </w:trPr>
              <w:tc>
                <w:tcPr>
                  <w:tcW w:w="505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第四十九条　禁止在长江流域河湖管理范围内倾倒、填埋、堆放、弃置、处理固体废物。长江流域县级以上地方人民政府应当加强对固体废物非法转移和倾倒的联防联控。</w:t>
                  </w:r>
                </w:p>
              </w:tc>
              <w:tc>
                <w:tcPr>
                  <w:tcW w:w="1840" w:type="dxa"/>
                  <w:tcBorders>
                    <w:left w:val="single" w:color="auto" w:sz="4" w:space="0"/>
                    <w:right w:val="single" w:color="auto" w:sz="4" w:space="0"/>
                  </w:tcBorders>
                  <w:noWrap w:val="0"/>
                  <w:vAlign w:val="center"/>
                </w:tcPr>
                <w:p>
                  <w:pPr>
                    <w:spacing w:line="320" w:lineRule="exact"/>
                    <w:rPr>
                      <w:rFonts w:hint="default" w:eastAsia="宋体"/>
                      <w:color w:val="auto"/>
                      <w:sz w:val="21"/>
                      <w:szCs w:val="21"/>
                      <w:lang w:val="en-US" w:eastAsia="zh-CN"/>
                    </w:rPr>
                  </w:pPr>
                  <w:r>
                    <w:rPr>
                      <w:rFonts w:hint="eastAsia"/>
                      <w:color w:val="auto"/>
                      <w:sz w:val="21"/>
                      <w:szCs w:val="21"/>
                      <w:lang w:val="en-US" w:eastAsia="zh-CN"/>
                    </w:rPr>
                    <w:t>本项目固废均得到合理处置，不存在二次污染。</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eastAsia="宋体"/>
                      <w:color w:val="auto"/>
                      <w:sz w:val="21"/>
                      <w:szCs w:val="21"/>
                      <w:lang w:val="en-US" w:eastAsia="zh-CN"/>
                    </w:rPr>
                  </w:pPr>
                  <w:r>
                    <w:rPr>
                      <w:rFonts w:hint="eastAsia"/>
                      <w:color w:val="auto"/>
                      <w:sz w:val="21"/>
                      <w:szCs w:val="21"/>
                      <w:lang w:val="en-US" w:eastAsia="zh-CN"/>
                    </w:rPr>
                    <w:t>符合</w:t>
                  </w:r>
                </w:p>
              </w:tc>
            </w:tr>
          </w:tbl>
          <w:p>
            <w:pPr>
              <w:keepNext/>
              <w:spacing w:line="360" w:lineRule="auto"/>
              <w:ind w:firstLine="480"/>
              <w:rPr>
                <w:color w:val="auto"/>
                <w:kern w:val="21"/>
                <w:sz w:val="21"/>
                <w:szCs w:val="21"/>
                <w:lang w:bidi="ar"/>
              </w:rPr>
            </w:pPr>
            <w:r>
              <w:rPr>
                <w:color w:val="auto"/>
                <w:kern w:val="21"/>
                <w:sz w:val="21"/>
                <w:szCs w:val="21"/>
                <w:lang w:bidi="ar"/>
              </w:rPr>
              <w:t>由上表分析可知，本项目的建设符合《中华人民共和国长江保护法》。</w:t>
            </w:r>
          </w:p>
          <w:p>
            <w:pPr>
              <w:overflowPunct w:val="0"/>
              <w:spacing w:line="360" w:lineRule="auto"/>
              <w:ind w:firstLine="482"/>
              <w:jc w:val="left"/>
              <w:rPr>
                <w:b/>
                <w:bCs/>
                <w:color w:val="auto"/>
                <w:kern w:val="21"/>
                <w:sz w:val="21"/>
                <w:szCs w:val="21"/>
                <w:lang w:bidi="ar"/>
              </w:rPr>
            </w:pPr>
            <w:r>
              <w:rPr>
                <w:rFonts w:hint="eastAsia"/>
                <w:b/>
                <w:bCs/>
                <w:color w:val="auto"/>
                <w:kern w:val="21"/>
                <w:sz w:val="21"/>
                <w:szCs w:val="21"/>
                <w:lang w:val="en-US" w:eastAsia="zh-CN" w:bidi="ar"/>
              </w:rPr>
              <w:t>2</w:t>
            </w:r>
            <w:r>
              <w:rPr>
                <w:b/>
                <w:bCs/>
                <w:color w:val="auto"/>
                <w:kern w:val="21"/>
                <w:sz w:val="21"/>
                <w:szCs w:val="21"/>
                <w:lang w:bidi="ar"/>
              </w:rPr>
              <w:t>、与《四川省嘉陵江流域生态环境保护条例》符合性分析</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val="0"/>
                <w:snapToGrid/>
                <w:color w:val="auto"/>
                <w:spacing w:val="0"/>
                <w:w w:val="100"/>
                <w:kern w:val="21"/>
                <w:position w:val="0"/>
                <w:sz w:val="21"/>
                <w:szCs w:val="21"/>
                <w:lang w:val="en-US" w:eastAsia="zh-CN"/>
              </w:rPr>
            </w:pPr>
            <w:r>
              <w:rPr>
                <w:rFonts w:hint="eastAsia" w:ascii="Times New Roman" w:hAnsi="Times New Roman" w:eastAsia="宋体" w:cs="Times New Roman"/>
                <w:b/>
                <w:bCs w:val="0"/>
                <w:snapToGrid/>
                <w:color w:val="auto"/>
                <w:spacing w:val="0"/>
                <w:w w:val="100"/>
                <w:kern w:val="21"/>
                <w:position w:val="0"/>
                <w:sz w:val="21"/>
                <w:szCs w:val="21"/>
                <w:lang w:val="en-US" w:eastAsia="zh-CN"/>
              </w:rPr>
              <w:t>表1-</w:t>
            </w:r>
            <w:r>
              <w:rPr>
                <w:rFonts w:hint="eastAsia" w:cs="Times New Roman"/>
                <w:b/>
                <w:bCs w:val="0"/>
                <w:snapToGrid/>
                <w:color w:val="auto"/>
                <w:spacing w:val="0"/>
                <w:w w:val="100"/>
                <w:kern w:val="21"/>
                <w:position w:val="0"/>
                <w:sz w:val="21"/>
                <w:szCs w:val="21"/>
                <w:lang w:val="en-US" w:eastAsia="zh-CN"/>
              </w:rPr>
              <w:t>7</w:t>
            </w:r>
            <w:r>
              <w:rPr>
                <w:rFonts w:hint="eastAsia" w:ascii="Times New Roman" w:hAnsi="Times New Roman" w:eastAsia="宋体" w:cs="Times New Roman"/>
                <w:b/>
                <w:bCs w:val="0"/>
                <w:snapToGrid/>
                <w:color w:val="auto"/>
                <w:spacing w:val="0"/>
                <w:w w:val="100"/>
                <w:kern w:val="21"/>
                <w:position w:val="0"/>
                <w:sz w:val="21"/>
                <w:szCs w:val="21"/>
                <w:lang w:val="en-US" w:eastAsia="zh-CN"/>
              </w:rPr>
              <w:t xml:space="preserve"> 与《四川省嘉陵江流域生态环境保护条例》符合性分析表</w:t>
            </w:r>
          </w:p>
          <w:tbl>
            <w:tblPr>
              <w:tblStyle w:val="28"/>
              <w:tblW w:w="77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9"/>
              <w:gridCol w:w="1950"/>
              <w:gridCol w:w="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top w:val="single" w:color="auto" w:sz="4" w:space="0"/>
                    <w:left w:val="single" w:color="auto" w:sz="0"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b/>
                      <w:bCs/>
                      <w:color w:val="auto"/>
                      <w:sz w:val="21"/>
                      <w:szCs w:val="21"/>
                      <w:lang w:val="en-US" w:eastAsia="zh-CN"/>
                    </w:rPr>
                    <w:t>相关</w:t>
                  </w:r>
                  <w:r>
                    <w:rPr>
                      <w:b/>
                      <w:bCs/>
                      <w:color w:val="auto"/>
                      <w:sz w:val="21"/>
                      <w:szCs w:val="21"/>
                    </w:rPr>
                    <w:t>要求</w:t>
                  </w:r>
                </w:p>
              </w:tc>
              <w:tc>
                <w:tcPr>
                  <w:tcW w:w="1950" w:type="dxa"/>
                  <w:tcBorders>
                    <w:top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b/>
                      <w:bCs/>
                      <w:snapToGrid/>
                      <w:color w:val="auto"/>
                      <w:spacing w:val="0"/>
                      <w:w w:val="100"/>
                      <w:kern w:val="21"/>
                      <w:position w:val="0"/>
                      <w:sz w:val="21"/>
                      <w:szCs w:val="21"/>
                      <w:lang w:val="en-US" w:eastAsia="zh-CN" w:bidi="ar"/>
                    </w:rPr>
                    <w:t>本项目情况</w:t>
                  </w:r>
                </w:p>
              </w:tc>
              <w:tc>
                <w:tcPr>
                  <w:tcW w:w="939"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b/>
                      <w:bCs/>
                      <w:snapToGrid/>
                      <w:color w:val="auto"/>
                      <w:spacing w:val="0"/>
                      <w:w w:val="100"/>
                      <w:kern w:val="21"/>
                      <w:position w:val="0"/>
                      <w:sz w:val="21"/>
                      <w:szCs w:val="21"/>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lef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第四十九条　嘉陵江流域县级以上地方人民政府应当加强饮用水水源地保护，增强水源涵养能力，加强风险联防联控，保障饮用水安全。对水质不达标的饮用水水源地，采取污染治理、水源置换、</w:t>
                  </w:r>
                  <w:r>
                    <w:rPr>
                      <w:rFonts w:hint="eastAsia" w:ascii="Times New Roman" w:hAnsi="Times New Roman" w:eastAsia="宋体" w:cs="Times New Roman"/>
                      <w:b/>
                      <w:bCs/>
                      <w:snapToGrid/>
                      <w:color w:val="auto"/>
                      <w:spacing w:val="0"/>
                      <w:w w:val="100"/>
                      <w:kern w:val="21"/>
                      <w:position w:val="0"/>
                      <w:sz w:val="21"/>
                      <w:szCs w:val="21"/>
                      <w:lang w:val="en-US" w:eastAsia="zh-CN" w:bidi="ar"/>
                    </w:rPr>
                    <w:t>深度处理等措施，确保饮用水安全。</w:t>
                  </w:r>
                </w:p>
              </w:tc>
              <w:tc>
                <w:tcPr>
                  <w:tcW w:w="1950"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napToGrid/>
                      <w:color w:val="auto"/>
                      <w:spacing w:val="0"/>
                      <w:w w:val="100"/>
                      <w:kern w:val="21"/>
                      <w:position w:val="0"/>
                      <w:sz w:val="21"/>
                      <w:szCs w:val="21"/>
                      <w:lang w:val="en-US" w:eastAsia="zh-CN" w:bidi="ar"/>
                    </w:rPr>
                  </w:pPr>
                  <w:r>
                    <w:rPr>
                      <w:rFonts w:hint="eastAsia" w:cs="Times New Roman"/>
                      <w:snapToGrid/>
                      <w:color w:val="auto"/>
                      <w:spacing w:val="0"/>
                      <w:w w:val="100"/>
                      <w:kern w:val="21"/>
                      <w:position w:val="0"/>
                      <w:sz w:val="21"/>
                      <w:szCs w:val="21"/>
                      <w:lang w:val="en-US" w:eastAsia="zh-CN" w:bidi="ar"/>
                    </w:rPr>
                    <w:t>本项目即对不达标的乌木滩水库原水深度处理工程，本项目实施，</w:t>
                  </w:r>
                  <w:r>
                    <w:rPr>
                      <w:rFonts w:hint="eastAsia"/>
                      <w:color w:val="auto"/>
                      <w:sz w:val="21"/>
                      <w:szCs w:val="21"/>
                      <w:lang w:val="en-US" w:eastAsia="zh-CN"/>
                    </w:rPr>
                    <w:t>有利于保障大竹县城乡居民生活用水安全。</w:t>
                  </w:r>
                </w:p>
              </w:tc>
              <w:tc>
                <w:tcPr>
                  <w:tcW w:w="939" w:type="dxa"/>
                  <w:tcBorders>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lef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第五十二条　嘉陵江流域县级以上地方人民政府应当组织编制饮用水水源污染事故应急预案，建立健全饮用水水源应急保障体系，</w:t>
                  </w:r>
                  <w:r>
                    <w:rPr>
                      <w:rFonts w:hint="eastAsia" w:ascii="Times New Roman" w:hAnsi="Times New Roman" w:eastAsia="宋体" w:cs="Times New Roman"/>
                      <w:b/>
                      <w:bCs/>
                      <w:snapToGrid/>
                      <w:color w:val="auto"/>
                      <w:spacing w:val="0"/>
                      <w:w w:val="100"/>
                      <w:kern w:val="21"/>
                      <w:position w:val="0"/>
                      <w:sz w:val="21"/>
                      <w:szCs w:val="21"/>
                      <w:lang w:val="en-US" w:eastAsia="zh-CN" w:bidi="ar"/>
                    </w:rPr>
                    <w:t>确保应急状态下的饮用水供应。</w:t>
                  </w:r>
                </w:p>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饮用水供水单位应当根据所在地饮用水水源污染事故应急预案，制定相应的突发事件应急方案，报所在地县级以上地方人民政府备案，并定期进行演练。</w:t>
                  </w:r>
                </w:p>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饮用水水源受到污染可能威胁供水安全的，生态环境主管部门应当责令有关企业事业单位和其他生产经营者采取停止排放水污染物等措施，并通报饮用水供水单位和供水、住房</w:t>
                  </w:r>
                  <w:r>
                    <w:rPr>
                      <w:rFonts w:hint="eastAsia" w:cs="Times New Roman"/>
                      <w:snapToGrid/>
                      <w:color w:val="auto"/>
                      <w:spacing w:val="0"/>
                      <w:w w:val="100"/>
                      <w:kern w:val="21"/>
                      <w:position w:val="0"/>
                      <w:sz w:val="21"/>
                      <w:szCs w:val="21"/>
                      <w:lang w:val="en-US" w:eastAsia="zh-CN" w:bidi="ar"/>
                    </w:rPr>
                    <w:t>和</w:t>
                  </w:r>
                  <w:r>
                    <w:rPr>
                      <w:rFonts w:hint="eastAsia" w:ascii="Times New Roman" w:hAnsi="Times New Roman" w:eastAsia="宋体" w:cs="Times New Roman"/>
                      <w:snapToGrid/>
                      <w:color w:val="auto"/>
                      <w:spacing w:val="0"/>
                      <w:w w:val="100"/>
                      <w:kern w:val="21"/>
                      <w:position w:val="0"/>
                      <w:sz w:val="21"/>
                      <w:szCs w:val="21"/>
                      <w:lang w:val="en-US" w:eastAsia="zh-CN" w:bidi="ar"/>
                    </w:rPr>
                    <w:t>城乡建设、卫生健康、水行政等部门；跨行政区域的，还应当通报相关地方人民政府。</w:t>
                  </w:r>
                  <w:r>
                    <w:rPr>
                      <w:rFonts w:hint="eastAsia" w:ascii="Times New Roman" w:hAnsi="Times New Roman" w:eastAsia="宋体" w:cs="Times New Roman"/>
                      <w:b/>
                      <w:bCs/>
                      <w:snapToGrid/>
                      <w:color w:val="auto"/>
                      <w:spacing w:val="0"/>
                      <w:w w:val="100"/>
                      <w:kern w:val="21"/>
                      <w:position w:val="0"/>
                      <w:sz w:val="21"/>
                      <w:szCs w:val="21"/>
                      <w:lang w:val="en-US" w:eastAsia="zh-CN" w:bidi="ar"/>
                    </w:rPr>
                    <w:t>有关人民政府应当根据情况及时启动应急预案，采取有效措施，保障供水安全。</w:t>
                  </w:r>
                </w:p>
              </w:tc>
              <w:tc>
                <w:tcPr>
                  <w:tcW w:w="1950"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napToGrid/>
                      <w:color w:val="auto"/>
                      <w:spacing w:val="0"/>
                      <w:w w:val="100"/>
                      <w:kern w:val="21"/>
                      <w:position w:val="0"/>
                      <w:sz w:val="21"/>
                      <w:szCs w:val="21"/>
                      <w:lang w:val="en-US" w:eastAsia="zh-CN" w:bidi="ar"/>
                    </w:rPr>
                  </w:pPr>
                  <w:r>
                    <w:rPr>
                      <w:rFonts w:hint="eastAsia" w:cs="Times New Roman"/>
                      <w:snapToGrid/>
                      <w:color w:val="auto"/>
                      <w:spacing w:val="0"/>
                      <w:w w:val="100"/>
                      <w:kern w:val="21"/>
                      <w:position w:val="0"/>
                      <w:sz w:val="21"/>
                      <w:szCs w:val="21"/>
                      <w:lang w:val="en-US" w:eastAsia="zh-CN" w:bidi="ar"/>
                    </w:rPr>
                    <w:t>本项目即为对不达标的乌木滩水库原水深度处理工程，本项目已纳入大竹县抢险救灾工程，本项目的实施，</w:t>
                  </w:r>
                  <w:r>
                    <w:rPr>
                      <w:rFonts w:hint="eastAsia"/>
                      <w:color w:val="auto"/>
                      <w:sz w:val="21"/>
                      <w:szCs w:val="21"/>
                      <w:lang w:val="en-US" w:eastAsia="zh-CN"/>
                    </w:rPr>
                    <w:t>有利于保障大竹县城乡居民生活用水安全。</w:t>
                  </w:r>
                </w:p>
              </w:tc>
              <w:tc>
                <w:tcPr>
                  <w:tcW w:w="939" w:type="dxa"/>
                  <w:tcBorders>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9" w:type="dxa"/>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第七十三条  嘉陵江流域县级以上地方人民政府应当加强对固体废物非法转移和倾倒的管控。禁止在嘉陵江流域河湖管理范围内倾倒、填埋、堆放、弃置、处理固体废物。</w:t>
                  </w:r>
                </w:p>
              </w:tc>
              <w:tc>
                <w:tcPr>
                  <w:tcW w:w="1950" w:type="dxa"/>
                  <w:tcBorders>
                    <w:bottom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cs="Times New Roman"/>
                      <w:snapToGrid/>
                      <w:color w:val="auto"/>
                      <w:spacing w:val="0"/>
                      <w:w w:val="100"/>
                      <w:kern w:val="21"/>
                      <w:position w:val="0"/>
                      <w:sz w:val="21"/>
                      <w:szCs w:val="21"/>
                      <w:lang w:val="en-US" w:eastAsia="zh-CN" w:bidi="ar"/>
                    </w:rPr>
                    <w:t>本</w:t>
                  </w:r>
                  <w:r>
                    <w:rPr>
                      <w:rFonts w:hint="eastAsia" w:ascii="Times New Roman" w:hAnsi="Times New Roman" w:eastAsia="宋体" w:cs="Times New Roman"/>
                      <w:snapToGrid/>
                      <w:color w:val="auto"/>
                      <w:spacing w:val="0"/>
                      <w:w w:val="100"/>
                      <w:kern w:val="21"/>
                      <w:position w:val="0"/>
                      <w:sz w:val="21"/>
                      <w:szCs w:val="21"/>
                      <w:lang w:val="en-US" w:eastAsia="zh-CN" w:bidi="ar"/>
                    </w:rPr>
                    <w:t>项目</w:t>
                  </w:r>
                  <w:r>
                    <w:rPr>
                      <w:rFonts w:hint="eastAsia" w:cs="Times New Roman"/>
                      <w:snapToGrid/>
                      <w:color w:val="auto"/>
                      <w:spacing w:val="0"/>
                      <w:w w:val="100"/>
                      <w:kern w:val="21"/>
                      <w:position w:val="0"/>
                      <w:sz w:val="21"/>
                      <w:szCs w:val="21"/>
                      <w:lang w:val="en-US" w:eastAsia="zh-CN" w:bidi="ar"/>
                    </w:rPr>
                    <w:t>固废均得到合理处置，未在</w:t>
                  </w:r>
                  <w:r>
                    <w:rPr>
                      <w:rFonts w:hint="eastAsia" w:ascii="Times New Roman" w:hAnsi="Times New Roman" w:eastAsia="宋体" w:cs="Times New Roman"/>
                      <w:snapToGrid/>
                      <w:color w:val="auto"/>
                      <w:spacing w:val="0"/>
                      <w:w w:val="100"/>
                      <w:kern w:val="21"/>
                      <w:position w:val="0"/>
                      <w:sz w:val="21"/>
                      <w:szCs w:val="21"/>
                      <w:lang w:val="en-US" w:eastAsia="zh-CN" w:bidi="ar"/>
                    </w:rPr>
                    <w:t>河湖管理范围内倾倒、填埋、堆放、弃置、处理固体废物</w:t>
                  </w:r>
                  <w:r>
                    <w:rPr>
                      <w:rFonts w:hint="eastAsia" w:cs="Times New Roman"/>
                      <w:snapToGrid/>
                      <w:color w:val="auto"/>
                      <w:spacing w:val="0"/>
                      <w:w w:val="100"/>
                      <w:kern w:val="21"/>
                      <w:position w:val="0"/>
                      <w:sz w:val="21"/>
                      <w:szCs w:val="21"/>
                      <w:lang w:val="en-US" w:eastAsia="zh-CN" w:bidi="ar"/>
                    </w:rPr>
                    <w:t>。</w:t>
                  </w:r>
                </w:p>
              </w:tc>
              <w:tc>
                <w:tcPr>
                  <w:tcW w:w="939" w:type="dxa"/>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符合</w:t>
                  </w:r>
                </w:p>
              </w:tc>
            </w:tr>
          </w:tbl>
          <w:p>
            <w:pPr>
              <w:overflowPunct w:val="0"/>
              <w:spacing w:line="360" w:lineRule="auto"/>
              <w:ind w:firstLine="480"/>
              <w:rPr>
                <w:color w:val="auto"/>
                <w:kern w:val="21"/>
                <w:sz w:val="21"/>
                <w:szCs w:val="21"/>
                <w:lang w:bidi="ar"/>
              </w:rPr>
            </w:pPr>
            <w:r>
              <w:rPr>
                <w:rFonts w:hint="eastAsia"/>
                <w:color w:val="auto"/>
                <w:kern w:val="21"/>
                <w:sz w:val="21"/>
                <w:szCs w:val="21"/>
                <w:lang w:val="en-US" w:eastAsia="zh-CN" w:bidi="ar"/>
              </w:rPr>
              <w:t>由上表可知</w:t>
            </w:r>
            <w:r>
              <w:rPr>
                <w:color w:val="auto"/>
                <w:kern w:val="21"/>
                <w:sz w:val="21"/>
                <w:szCs w:val="21"/>
                <w:lang w:bidi="ar"/>
              </w:rPr>
              <w:t>，本项目与《四川省嘉陵江流域生态环境保护条例》相符。</w:t>
            </w:r>
          </w:p>
          <w:p>
            <w:pPr>
              <w:keepNext w:val="0"/>
              <w:keepLines w:val="0"/>
              <w:pageBreakBefore w:val="0"/>
              <w:widowControl w:val="0"/>
              <w:kinsoku/>
              <w:wordWrap/>
              <w:overflowPunct w:val="0"/>
              <w:topLinePunct w:val="0"/>
              <w:autoSpaceDE/>
              <w:autoSpaceDN/>
              <w:bidi w:val="0"/>
              <w:adjustRightInd/>
              <w:snapToGrid/>
              <w:spacing w:line="360" w:lineRule="auto"/>
              <w:ind w:firstLine="422" w:firstLineChars="200"/>
              <w:jc w:val="both"/>
              <w:textAlignment w:val="auto"/>
              <w:rPr>
                <w:rFonts w:ascii="Times New Roman" w:hAnsi="Times New Roman" w:eastAsia="宋体" w:cs="Times New Roman"/>
                <w:b/>
                <w:bCs/>
                <w:color w:val="auto"/>
                <w:spacing w:val="0"/>
                <w:kern w:val="21"/>
                <w:position w:val="0"/>
                <w:sz w:val="21"/>
                <w:szCs w:val="21"/>
                <w:lang w:bidi="ar"/>
              </w:rPr>
            </w:pPr>
            <w:r>
              <w:rPr>
                <w:rFonts w:hint="eastAsia" w:cs="Times New Roman"/>
                <w:b/>
                <w:bCs/>
                <w:snapToGrid/>
                <w:color w:val="auto"/>
                <w:spacing w:val="0"/>
                <w:w w:val="100"/>
                <w:kern w:val="21"/>
                <w:position w:val="0"/>
                <w:sz w:val="21"/>
                <w:szCs w:val="21"/>
                <w:lang w:val="en-US" w:eastAsia="zh-CN" w:bidi="ar"/>
              </w:rPr>
              <w:t>3、</w:t>
            </w:r>
            <w:r>
              <w:rPr>
                <w:rFonts w:hint="eastAsia" w:ascii="Times New Roman" w:hAnsi="Times New Roman" w:eastAsia="宋体" w:cs="Times New Roman"/>
                <w:b/>
                <w:bCs/>
                <w:snapToGrid/>
                <w:color w:val="auto"/>
                <w:spacing w:val="0"/>
                <w:w w:val="100"/>
                <w:kern w:val="21"/>
                <w:position w:val="0"/>
                <w:sz w:val="21"/>
                <w:szCs w:val="21"/>
                <w:lang w:val="en-US" w:eastAsia="zh-CN" w:bidi="ar"/>
              </w:rPr>
              <w:t>与《四川省、重庆市长江经济带发展负面清单实施细则（试行）》（试行、</w:t>
            </w:r>
            <w:r>
              <w:rPr>
                <w:rFonts w:hint="default" w:ascii="Times New Roman" w:hAnsi="Times New Roman" w:eastAsia="宋体" w:cs="Times New Roman"/>
                <w:b/>
                <w:bCs/>
                <w:snapToGrid/>
                <w:color w:val="auto"/>
                <w:spacing w:val="0"/>
                <w:w w:val="100"/>
                <w:kern w:val="21"/>
                <w:position w:val="0"/>
                <w:sz w:val="21"/>
                <w:szCs w:val="21"/>
                <w:lang w:val="en-US" w:eastAsia="zh-CN" w:bidi="ar"/>
              </w:rPr>
              <w:t>2022</w:t>
            </w:r>
            <w:r>
              <w:rPr>
                <w:rFonts w:hint="eastAsia" w:ascii="Times New Roman" w:hAnsi="Times New Roman" w:eastAsia="宋体" w:cs="Times New Roman"/>
                <w:b/>
                <w:bCs/>
                <w:snapToGrid/>
                <w:color w:val="auto"/>
                <w:spacing w:val="0"/>
                <w:w w:val="100"/>
                <w:kern w:val="21"/>
                <w:position w:val="0"/>
                <w:sz w:val="21"/>
                <w:szCs w:val="21"/>
                <w:lang w:val="en-US" w:eastAsia="zh-CN" w:bidi="ar"/>
              </w:rPr>
              <w:t>年版）（川长江办发〔</w:t>
            </w:r>
            <w:r>
              <w:rPr>
                <w:rFonts w:hint="default" w:ascii="Times New Roman" w:hAnsi="Times New Roman" w:eastAsia="宋体" w:cs="Times New Roman"/>
                <w:b/>
                <w:bCs/>
                <w:snapToGrid/>
                <w:color w:val="auto"/>
                <w:spacing w:val="0"/>
                <w:w w:val="100"/>
                <w:kern w:val="21"/>
                <w:position w:val="0"/>
                <w:sz w:val="21"/>
                <w:szCs w:val="21"/>
                <w:lang w:val="en-US" w:eastAsia="zh-CN" w:bidi="ar"/>
              </w:rPr>
              <w:t>2022</w:t>
            </w:r>
            <w:r>
              <w:rPr>
                <w:rFonts w:hint="eastAsia" w:ascii="Times New Roman" w:hAnsi="Times New Roman" w:eastAsia="宋体" w:cs="Times New Roman"/>
                <w:b/>
                <w:bCs/>
                <w:snapToGrid/>
                <w:color w:val="auto"/>
                <w:spacing w:val="0"/>
                <w:w w:val="100"/>
                <w:kern w:val="21"/>
                <w:position w:val="0"/>
                <w:sz w:val="21"/>
                <w:szCs w:val="21"/>
                <w:lang w:val="en-US" w:eastAsia="zh-CN" w:bidi="ar"/>
              </w:rPr>
              <w:t>〕</w:t>
            </w:r>
            <w:r>
              <w:rPr>
                <w:rFonts w:hint="default" w:ascii="Times New Roman" w:hAnsi="Times New Roman" w:eastAsia="宋体" w:cs="Times New Roman"/>
                <w:b/>
                <w:bCs/>
                <w:snapToGrid/>
                <w:color w:val="auto"/>
                <w:spacing w:val="0"/>
                <w:w w:val="100"/>
                <w:kern w:val="21"/>
                <w:position w:val="0"/>
                <w:sz w:val="21"/>
                <w:szCs w:val="21"/>
                <w:lang w:val="en-US" w:eastAsia="zh-CN" w:bidi="ar"/>
              </w:rPr>
              <w:t>17</w:t>
            </w:r>
            <w:r>
              <w:rPr>
                <w:rFonts w:hint="eastAsia" w:ascii="Times New Roman" w:hAnsi="Times New Roman" w:eastAsia="宋体" w:cs="Times New Roman"/>
                <w:b/>
                <w:bCs/>
                <w:snapToGrid/>
                <w:color w:val="auto"/>
                <w:spacing w:val="0"/>
                <w:w w:val="100"/>
                <w:kern w:val="21"/>
                <w:position w:val="0"/>
                <w:sz w:val="21"/>
                <w:szCs w:val="21"/>
                <w:lang w:val="en-US" w:eastAsia="zh-CN" w:bidi="ar"/>
              </w:rPr>
              <w:t>号）符合性分析</w:t>
            </w:r>
          </w:p>
          <w:p>
            <w:pPr>
              <w:pStyle w:val="7"/>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lang w:val="en-US" w:eastAsia="zh-CN"/>
              </w:rPr>
            </w:pPr>
            <w:r>
              <w:rPr>
                <w:rFonts w:hint="default" w:ascii="Times New Roman" w:hAnsi="Times New Roman" w:eastAsia="宋体" w:cs="Times New Roman"/>
                <w:b/>
                <w:bCs/>
                <w:snapToGrid/>
                <w:color w:val="auto"/>
                <w:spacing w:val="0"/>
                <w:w w:val="100"/>
                <w:kern w:val="21"/>
                <w:position w:val="0"/>
                <w:sz w:val="21"/>
                <w:szCs w:val="21"/>
                <w:lang w:val="en-US" w:eastAsia="zh-CN"/>
              </w:rPr>
              <w:t>表1-</w:t>
            </w:r>
            <w:r>
              <w:rPr>
                <w:rFonts w:hint="default" w:ascii="Times New Roman" w:hAnsi="Times New Roman" w:cs="Times New Roman"/>
                <w:b/>
                <w:bCs/>
                <w:snapToGrid/>
                <w:color w:val="auto"/>
                <w:spacing w:val="0"/>
                <w:w w:val="100"/>
                <w:kern w:val="21"/>
                <w:position w:val="0"/>
                <w:sz w:val="21"/>
                <w:szCs w:val="21"/>
                <w:lang w:val="en-US" w:eastAsia="zh-CN"/>
              </w:rPr>
              <w:t>8</w:t>
            </w:r>
            <w:r>
              <w:rPr>
                <w:rFonts w:hint="default" w:ascii="Times New Roman" w:hAnsi="Times New Roman" w:eastAsia="宋体" w:cs="Times New Roman"/>
                <w:b/>
                <w:bCs/>
                <w:snapToGrid/>
                <w:color w:val="auto"/>
                <w:spacing w:val="0"/>
                <w:w w:val="100"/>
                <w:kern w:val="21"/>
                <w:position w:val="0"/>
                <w:sz w:val="21"/>
                <w:szCs w:val="21"/>
                <w:lang w:val="en-US" w:eastAsia="zh-CN"/>
              </w:rPr>
              <w:t xml:space="preserve">  与</w:t>
            </w:r>
            <w:r>
              <w:rPr>
                <w:rFonts w:hint="default" w:ascii="Times New Roman" w:hAnsi="Times New Roman" w:eastAsia="宋体" w:cs="Times New Roman"/>
                <w:b/>
                <w:bCs/>
                <w:snapToGrid/>
                <w:color w:val="auto"/>
                <w:spacing w:val="0"/>
                <w:w w:val="100"/>
                <w:kern w:val="21"/>
                <w:position w:val="0"/>
                <w:sz w:val="21"/>
                <w:szCs w:val="21"/>
                <w:lang w:val="en-US" w:eastAsia="zh-CN" w:bidi="ar"/>
              </w:rPr>
              <w:t>川长江办发〔2022〕17号</w:t>
            </w:r>
            <w:r>
              <w:rPr>
                <w:rFonts w:hint="default" w:ascii="Times New Roman" w:hAnsi="Times New Roman" w:eastAsia="宋体" w:cs="Times New Roman"/>
                <w:b/>
                <w:bCs/>
                <w:snapToGrid/>
                <w:color w:val="auto"/>
                <w:spacing w:val="0"/>
                <w:w w:val="100"/>
                <w:kern w:val="21"/>
                <w:position w:val="0"/>
                <w:sz w:val="21"/>
                <w:szCs w:val="21"/>
                <w:lang w:val="en-US" w:eastAsia="zh-CN"/>
              </w:rPr>
              <w:t>符合性分析表</w:t>
            </w:r>
          </w:p>
          <w:tbl>
            <w:tblPr>
              <w:tblStyle w:val="29"/>
              <w:tblW w:w="77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15"/>
              <w:gridCol w:w="4460"/>
              <w:gridCol w:w="2040"/>
              <w:gridCol w:w="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top w:val="single" w:color="auto" w:sz="4" w:space="0"/>
                    <w:left w:val="single" w:color="auto" w:sz="0"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序号</w:t>
                  </w:r>
                </w:p>
              </w:tc>
              <w:tc>
                <w:tcPr>
                  <w:tcW w:w="4460" w:type="dxa"/>
                  <w:tcBorders>
                    <w:top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相关要求</w:t>
                  </w:r>
                </w:p>
              </w:tc>
              <w:tc>
                <w:tcPr>
                  <w:tcW w:w="2040" w:type="dxa"/>
                  <w:tcBorders>
                    <w:top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本项目情况</w:t>
                  </w:r>
                </w:p>
              </w:tc>
              <w:tc>
                <w:tcPr>
                  <w:tcW w:w="713" w:type="dxa"/>
                  <w:tcBorders>
                    <w:top w:val="single" w:color="auto" w:sz="4" w:space="0"/>
                    <w:righ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bCs/>
                      <w:snapToGrid/>
                      <w:color w:val="auto"/>
                      <w:spacing w:val="0"/>
                      <w:w w:val="100"/>
                      <w:kern w:val="21"/>
                      <w:position w:val="0"/>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禁止新建、改建和扩建不符合全国港口布局规划，以及《四川省内河水运发展规划》《泸州一宜宾一乐山港口群布局以及《重庆港总体规划（2035年）》等省级港口布局规划及市级规划港口总体规划的码头项目。</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本项目不属于码头项目。</w:t>
                  </w:r>
                </w:p>
              </w:tc>
              <w:tc>
                <w:tcPr>
                  <w:tcW w:w="713" w:type="dxa"/>
                  <w:tcBorders>
                    <w:righ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禁止新建、改建和扩建不符合《长江干线过江通道布局规划（2020-2035）》的过长江通道项目（含桥梁、隧道），布局规划（</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2020—2035</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的过长江通道项目（含桥梁、隧道），国家发展改革委同意过长江通道线位调整的除外。禁止在自然保护区核心区、缓冲区的岸线和河段范围内投资建设旅游和生产经营项目。自然保护区的内部未分区的，依照核心区和缓冲区的规定管控。</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w:t>
                  </w:r>
                  <w:r>
                    <w:rPr>
                      <w:rFonts w:hint="eastAsia" w:cs="Times New Roman"/>
                      <w:b w:val="0"/>
                      <w:bCs w:val="0"/>
                      <w:snapToGrid/>
                      <w:color w:val="auto"/>
                      <w:spacing w:val="0"/>
                      <w:w w:val="100"/>
                      <w:kern w:val="21"/>
                      <w:position w:val="0"/>
                      <w:sz w:val="21"/>
                      <w:szCs w:val="21"/>
                      <w:lang w:val="en-US" w:eastAsia="zh-CN" w:bidi="ar"/>
                    </w:rPr>
                    <w:t>目</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不属于过长江通道</w:t>
                  </w:r>
                  <w:r>
                    <w:rPr>
                      <w:rFonts w:hint="eastAsia" w:cs="Times New Roman"/>
                      <w:b w:val="0"/>
                      <w:bCs w:val="0"/>
                      <w:snapToGrid/>
                      <w:color w:val="auto"/>
                      <w:spacing w:val="0"/>
                      <w:w w:val="100"/>
                      <w:kern w:val="21"/>
                      <w:position w:val="0"/>
                      <w:sz w:val="21"/>
                      <w:szCs w:val="21"/>
                      <w:lang w:val="en-US" w:eastAsia="zh-CN" w:bidi="ar"/>
                    </w:rPr>
                    <w:t>等</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3</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lang w:val="en-US" w:eastAsia="zh-CN" w:bidi="ar"/>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禁止在自然保护区核心区、缓冲区的岸线和河段范围内投资建设旅游和生产经营项目。自然保护区的内部未分区的，依照核心区和缓冲区的规定管控。</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lang w:val="en-US" w:eastAsia="zh-CN" w:bidi="ar"/>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本项目不涉及自然保护区；不属于旅游及生产经营性项目。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4</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禁止违反风景名胜区规划，在风景名胜区内设立各类开发区。禁止在风景名胜区核心景区的岸线和河段范围内建设宾馆、招待所、培训中心、疗养院以及与风景名胜资源保护无关的项目。</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施工及影响范围内均</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不涉及风景名胜区。</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5</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禁止在饮用水水源准保护区的岸线和河段范围内新建、扩建对水体污染严重的建设项目，禁止改建增加排污量的建设项目。</w:t>
                  </w:r>
                </w:p>
              </w:tc>
              <w:tc>
                <w:tcPr>
                  <w:tcW w:w="204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lang w:val="en-US" w:eastAsia="zh-CN"/>
                    </w:rPr>
                    <w:t>本项目施工及影响范围内均不涉及饮用水源保护区。</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6</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饮用水水源二级保护区的岸线和河段范围内，除遵守准保护区规定外，禁止新建、改建、扩建排放污染物的投资建设项目；禁止从事对水体有污染的水产养殖等活动。</w:t>
                  </w:r>
                </w:p>
              </w:tc>
              <w:tc>
                <w:tcPr>
                  <w:tcW w:w="204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lang w:val="en-US" w:eastAsia="zh-CN"/>
                    </w:rPr>
                    <w:t>本项目施工及影响范围内均不涉及饮用水源保护区。</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7</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lang w:val="en-US" w:eastAsia="zh-CN"/>
                    </w:rPr>
                    <w:t>本项目施工及影响范围内均不涉及饮用水源保护区。</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8</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禁止在水产种质资源保护区岸线和河段范围内新建围湖造田、围湖造地或挖沙采石等投资建设项目。</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不涉及水产种质资源保护区，</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不涉及围湖造田</w:t>
                  </w:r>
                  <w:r>
                    <w:rPr>
                      <w:rFonts w:hint="eastAsia" w:cs="Times New Roman"/>
                      <w:b w:val="0"/>
                      <w:bCs w:val="0"/>
                      <w:snapToGrid/>
                      <w:color w:val="auto"/>
                      <w:spacing w:val="0"/>
                      <w:w w:val="100"/>
                      <w:kern w:val="21"/>
                      <w:position w:val="0"/>
                      <w:sz w:val="21"/>
                      <w:szCs w:val="21"/>
                      <w:lang w:val="en-US" w:eastAsia="zh-CN" w:bidi="ar"/>
                    </w:rPr>
                    <w:t>、围湖造地或挖沙采石等投资建设项目</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9</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不涉及湿地公园，不涉及挖沙、采矿等，项目不涉及</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破坏野生动物栖息地和迁徙通道、鱼类洄游通道。</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10</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本项目不涉及长江流域河湖岸线</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11</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禁止在《全国重要江河湖泊水功能区划》划定的河段及湖泊保护区、保留区内投资建设不利于水资源及自然生态保护的项目。</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color w:val="auto"/>
                    </w:rPr>
                    <w:t>本项目不属于</w:t>
                  </w:r>
                  <w:r>
                    <w:rPr>
                      <w:color w:val="auto"/>
                      <w:kern w:val="21"/>
                      <w:sz w:val="21"/>
                      <w:szCs w:val="21"/>
                      <w:lang w:bidi="ar"/>
                    </w:rPr>
                    <w:t>《全国重要江河湖泊水功能区划》划定的河段及湖泊保护区、保留区</w:t>
                  </w:r>
                  <w:r>
                    <w:rPr>
                      <w:rFonts w:hint="eastAsia"/>
                      <w:color w:val="auto"/>
                      <w:kern w:val="21"/>
                      <w:sz w:val="21"/>
                      <w:szCs w:val="21"/>
                      <w:lang w:bidi="ar"/>
                    </w:rPr>
                    <w:t>。</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12</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禁止在长江流域江河、湖泊新设、改设或者扩大排污口，经有管辖权的生态环境主管部门或者长江流域生态环境监督管理机构同意的除外。</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t>本项目为水库除险加固项目，</w:t>
                  </w:r>
                  <w:r>
                    <w:rPr>
                      <w:rFonts w:hint="eastAsia" w:cs="Times New Roman"/>
                      <w:b w:val="0"/>
                      <w:bCs w:val="0"/>
                      <w:snapToGrid/>
                      <w:color w:val="auto"/>
                      <w:spacing w:val="0"/>
                      <w:w w:val="100"/>
                      <w:kern w:val="21"/>
                      <w:position w:val="0"/>
                      <w:sz w:val="21"/>
                      <w:szCs w:val="21"/>
                      <w:vertAlign w:val="baseline"/>
                      <w:lang w:val="en-US" w:eastAsia="zh-CN"/>
                    </w:rPr>
                    <w:t>不涉及排污口的新、改、扩排污口</w:t>
                  </w:r>
                  <w:r>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t>。</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13</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禁止在长江干流、大渡河、岷江、赤水河、沱江、嘉陵江、乌江、汉江和51个（四川省45个、重庆市6个）水生生物保护区开展生产性捕捞。</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本项目不涉及生产性捕捞。</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14</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禁止在长江干支流、重要湖泊岸线一公里范围内新建、扩建化工园区和化工项目。</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本项目不属于化工项目。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15</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禁止在长江干流岸线三公里范围内和重要支流岸线一公里范围内新建、改建、扩建尾矿库、冶炼渣库、磷石膏库，以提升安全、生态环境保护水平为目的的改建除外。</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本项目为自来水生产及供应项目，</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16</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禁止在生态保护红线区域、永久基本农田集中区域和其他需要特别保护的区域内选址建设尾矿库、冶炼渣库、磷石膏库。</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本项目为自来水生产及供应项目，</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17</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禁止在合规园区外新建、扩建钢铁、石化、化工、焦化、建材、有色、制浆造纸等高污染项目。</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color w:val="auto"/>
                      <w:kern w:val="21"/>
                      <w:sz w:val="21"/>
                      <w:szCs w:val="21"/>
                      <w:lang w:bidi="ar"/>
                    </w:rPr>
                    <w:t>本项目为</w:t>
                  </w:r>
                  <w:r>
                    <w:rPr>
                      <w:rFonts w:hint="eastAsia"/>
                      <w:color w:val="auto"/>
                      <w:kern w:val="21"/>
                      <w:sz w:val="21"/>
                      <w:szCs w:val="21"/>
                      <w:lang w:eastAsia="zh-CN" w:bidi="ar"/>
                    </w:rPr>
                    <w:t>自来水生产及供应项目</w:t>
                  </w:r>
                  <w:r>
                    <w:rPr>
                      <w:color w:val="auto"/>
                      <w:kern w:val="21"/>
                      <w:sz w:val="21"/>
                      <w:szCs w:val="21"/>
                      <w:lang w:bidi="ar"/>
                    </w:rPr>
                    <w:t>，</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18</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不符合国家石化、现代煤化工等产业布局规划的项目。（一）严格控制新增炼油产能，未列入《石化产业规划布局方案（修订版）》的新增炼油产能一律不得建设。（二）新建煤制烯烃、煤制芳烃项目必须列入《现代煤化工产业创新发展布局方案》，必须符合现代煤化工建设项目环境</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标准</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color w:val="auto"/>
                      <w:kern w:val="21"/>
                      <w:sz w:val="21"/>
                      <w:szCs w:val="21"/>
                      <w:lang w:bidi="ar"/>
                    </w:rPr>
                    <w:t>本项目为</w:t>
                  </w:r>
                  <w:r>
                    <w:rPr>
                      <w:rFonts w:hint="eastAsia"/>
                      <w:color w:val="auto"/>
                      <w:kern w:val="21"/>
                      <w:sz w:val="21"/>
                      <w:szCs w:val="21"/>
                      <w:lang w:bidi="ar"/>
                    </w:rPr>
                    <w:t>自来水生产及供应项目</w:t>
                  </w:r>
                  <w:r>
                    <w:rPr>
                      <w:color w:val="auto"/>
                      <w:kern w:val="21"/>
                      <w:sz w:val="21"/>
                      <w:szCs w:val="21"/>
                      <w:lang w:bidi="ar"/>
                    </w:rPr>
                    <w:t>，</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w:t>
                  </w:r>
                  <w:r>
                    <w:rPr>
                      <w:rFonts w:hint="eastAsia"/>
                      <w:color w:val="auto"/>
                      <w:kern w:val="21"/>
                      <w:sz w:val="21"/>
                      <w:szCs w:val="21"/>
                      <w:lang w:val="en-US" w:eastAsia="zh-CN" w:bidi="ar"/>
                    </w:rPr>
                    <w:t>禁止</w:t>
                  </w:r>
                  <w:r>
                    <w:rPr>
                      <w:rFonts w:hint="eastAsia"/>
                      <w:color w:val="auto"/>
                      <w:kern w:val="21"/>
                      <w:sz w:val="21"/>
                      <w:szCs w:val="21"/>
                      <w:lang w:bidi="ar"/>
                    </w:rPr>
                    <w:t>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19</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本项目为自来水生产及供应项目，属于《产业结构调整指导目录（20</w:t>
                  </w:r>
                  <w:r>
                    <w:rPr>
                      <w:rFonts w:hint="eastAsia" w:cs="Times New Roman"/>
                      <w:b w:val="0"/>
                      <w:bCs w:val="0"/>
                      <w:snapToGrid/>
                      <w:color w:val="auto"/>
                      <w:spacing w:val="0"/>
                      <w:w w:val="100"/>
                      <w:kern w:val="21"/>
                      <w:position w:val="0"/>
                      <w:sz w:val="21"/>
                      <w:szCs w:val="21"/>
                      <w:lang w:val="en-US" w:eastAsia="zh-CN" w:bidi="ar"/>
                    </w:rPr>
                    <w:t>24</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年）》中鼓励类项目。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20</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禁止新建、扩建不符合国家产能置换要求的严重过剩产能行业的项目。对于不符合国家产能置换要求的严重过剩产能行业，不得以其他任何名义、任何方式备案新增产能项目。</w:t>
                  </w:r>
                </w:p>
              </w:tc>
              <w:tc>
                <w:tcPr>
                  <w:tcW w:w="20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本项目不属于严重过剩产能行业。</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21</w:t>
                  </w:r>
                </w:p>
              </w:tc>
              <w:tc>
                <w:tcPr>
                  <w:tcW w:w="44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禁止建设以下燃油汽车投资项目</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不在中国境内销售产品的投资项目除外</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）：（一）</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新建独立燃油汽车企业；</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二</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现有汽车企业跨乘用车、商用车类别建设燃油汽车生产能力；</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三</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外省现有燃油汽车企业整体搬迁至本省</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列入国家级区域发展规划或不改变企业股权结构的项目除外</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四</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对行业管理部门特别公示的燃油汽车企业进行投资</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企业原有股东投资或将该企业转为非独立法人的投资项目除外</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2040" w:type="dxa"/>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color w:val="auto"/>
                      <w:kern w:val="21"/>
                      <w:sz w:val="21"/>
                      <w:szCs w:val="21"/>
                      <w:lang w:bidi="ar"/>
                    </w:rPr>
                    <w:t>本项目为</w:t>
                  </w:r>
                  <w:r>
                    <w:rPr>
                      <w:rFonts w:hint="eastAsia"/>
                      <w:color w:val="auto"/>
                      <w:kern w:val="21"/>
                      <w:sz w:val="21"/>
                      <w:szCs w:val="21"/>
                      <w:lang w:eastAsia="zh-CN" w:bidi="ar"/>
                    </w:rPr>
                    <w:t>自来水生产及供应项目</w:t>
                  </w:r>
                  <w:r>
                    <w:rPr>
                      <w:color w:val="auto"/>
                      <w:kern w:val="21"/>
                      <w:sz w:val="21"/>
                      <w:szCs w:val="21"/>
                      <w:lang w:bidi="ar"/>
                    </w:rPr>
                    <w:t>，</w:t>
                  </w:r>
                  <w:r>
                    <w:rPr>
                      <w:rFonts w:hint="eastAsia"/>
                      <w:color w:val="auto"/>
                      <w:kern w:val="21"/>
                      <w:sz w:val="21"/>
                      <w:szCs w:val="21"/>
                      <w:lang w:bidi="ar"/>
                    </w:rPr>
                    <w:t>不</w:t>
                  </w:r>
                  <w:r>
                    <w:rPr>
                      <w:rFonts w:hint="eastAsia"/>
                      <w:color w:val="auto"/>
                      <w:kern w:val="21"/>
                      <w:sz w:val="21"/>
                      <w:szCs w:val="21"/>
                      <w:lang w:val="en-US" w:eastAsia="zh-CN" w:bidi="ar"/>
                    </w:rPr>
                    <w:t>属于左</w:t>
                  </w:r>
                  <w:r>
                    <w:rPr>
                      <w:rFonts w:hint="eastAsia"/>
                      <w:color w:val="auto"/>
                      <w:kern w:val="21"/>
                      <w:sz w:val="21"/>
                      <w:szCs w:val="21"/>
                      <w:lang w:bidi="ar"/>
                    </w:rPr>
                    <w:t>述项目。</w:t>
                  </w:r>
                </w:p>
              </w:tc>
              <w:tc>
                <w:tcPr>
                  <w:tcW w:w="713"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15" w:type="dxa"/>
                  <w:tcBorders>
                    <w:left w:val="single" w:color="auto" w:sz="4" w:space="0"/>
                    <w:bottom w:val="single" w:color="auto" w:sz="4" w:space="0"/>
                  </w:tcBorders>
                  <w:vAlign w:val="center"/>
                </w:tcPr>
                <w:p>
                  <w:pPr>
                    <w:pStyle w:val="7"/>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22</w:t>
                  </w:r>
                </w:p>
              </w:tc>
              <w:tc>
                <w:tcPr>
                  <w:tcW w:w="4460" w:type="dxa"/>
                  <w:tcBorders>
                    <w:bottom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禁止新建、扩建不符合要求的高耗能、高排放、低水平项目。</w:t>
                  </w:r>
                </w:p>
              </w:tc>
              <w:tc>
                <w:tcPr>
                  <w:tcW w:w="2040" w:type="dxa"/>
                  <w:tcBorders>
                    <w:bottom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本项目</w:t>
                  </w:r>
                  <w:r>
                    <w:rPr>
                      <w:rFonts w:hint="eastAsia" w:cs="Times New Roman"/>
                      <w:b w:val="0"/>
                      <w:bCs w:val="0"/>
                      <w:snapToGrid/>
                      <w:color w:val="auto"/>
                      <w:spacing w:val="0"/>
                      <w:w w:val="100"/>
                      <w:kern w:val="21"/>
                      <w:position w:val="0"/>
                      <w:sz w:val="21"/>
                      <w:szCs w:val="21"/>
                      <w:lang w:val="en-US" w:eastAsia="zh-CN" w:bidi="ar"/>
                    </w:rPr>
                    <w:t>不属于</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高耗能、高排放、低水平</w:t>
                  </w:r>
                  <w:r>
                    <w:rPr>
                      <w:rFonts w:hint="eastAsia" w:ascii="Times New Roman" w:hAnsi="Times New Roman" w:eastAsia="宋体" w:cs="Times New Roman"/>
                      <w:b w:val="0"/>
                      <w:bCs w:val="0"/>
                      <w:snapToGrid/>
                      <w:color w:val="auto"/>
                      <w:spacing w:val="0"/>
                      <w:w w:val="100"/>
                      <w:kern w:val="21"/>
                      <w:position w:val="0"/>
                      <w:sz w:val="21"/>
                      <w:szCs w:val="21"/>
                      <w:lang w:val="en-US" w:eastAsia="zh-CN" w:bidi="ar"/>
                    </w:rPr>
                    <w:t>项目</w:t>
                  </w:r>
                  <w:r>
                    <w:rPr>
                      <w:rFonts w:hint="default" w:ascii="Times New Roman" w:hAnsi="Times New Roman" w:eastAsia="宋体" w:cs="Times New Roman"/>
                      <w:b w:val="0"/>
                      <w:bCs w:val="0"/>
                      <w:snapToGrid/>
                      <w:color w:val="auto"/>
                      <w:spacing w:val="0"/>
                      <w:w w:val="100"/>
                      <w:kern w:val="21"/>
                      <w:position w:val="0"/>
                      <w:sz w:val="21"/>
                      <w:szCs w:val="21"/>
                      <w:lang w:val="en-US" w:eastAsia="zh-CN" w:bidi="ar"/>
                    </w:rPr>
                    <w:t>。</w:t>
                  </w:r>
                </w:p>
              </w:tc>
              <w:tc>
                <w:tcPr>
                  <w:tcW w:w="713" w:type="dxa"/>
                  <w:tcBorders>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auto"/>
                      <w:spacing w:val="0"/>
                      <w:w w:val="100"/>
                      <w:kern w:val="21"/>
                      <w:position w:val="0"/>
                      <w:sz w:val="21"/>
                      <w:szCs w:val="21"/>
                      <w:vertAlign w:val="baseline"/>
                      <w:lang w:val="en-US" w:eastAsia="zh-CN"/>
                    </w:rPr>
                  </w:pPr>
                  <w:r>
                    <w:rPr>
                      <w:rFonts w:hint="eastAsia" w:ascii="Times New Roman" w:hAnsi="Times New Roman" w:eastAsia="宋体" w:cs="Times New Roman"/>
                      <w:b w:val="0"/>
                      <w:bCs w:val="0"/>
                      <w:snapToGrid/>
                      <w:color w:val="auto"/>
                      <w:spacing w:val="0"/>
                      <w:w w:val="100"/>
                      <w:kern w:val="21"/>
                      <w:position w:val="0"/>
                      <w:sz w:val="21"/>
                      <w:szCs w:val="21"/>
                      <w:vertAlign w:val="baseline"/>
                      <w:lang w:val="en-US" w:eastAsia="zh-CN"/>
                    </w:rPr>
                    <w:t>符合</w:t>
                  </w:r>
                </w:p>
              </w:tc>
            </w:tr>
          </w:tbl>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napToGrid/>
                <w:color w:val="auto"/>
                <w:spacing w:val="0"/>
                <w:w w:val="100"/>
                <w:kern w:val="21"/>
                <w:position w:val="0"/>
                <w:sz w:val="21"/>
                <w:szCs w:val="21"/>
                <w:lang w:val="en-US" w:eastAsia="zh-CN" w:bidi="ar"/>
              </w:rPr>
            </w:pPr>
            <w:r>
              <w:rPr>
                <w:rFonts w:hint="eastAsia" w:ascii="Times New Roman" w:hAnsi="Times New Roman" w:eastAsia="宋体" w:cs="Times New Roman"/>
                <w:snapToGrid/>
                <w:color w:val="auto"/>
                <w:spacing w:val="0"/>
                <w:w w:val="100"/>
                <w:kern w:val="21"/>
                <w:position w:val="0"/>
                <w:sz w:val="21"/>
                <w:szCs w:val="21"/>
                <w:lang w:val="en-US" w:eastAsia="zh-CN" w:bidi="ar"/>
              </w:rPr>
              <w:t>由上表可知，本项目符合《四川省、重庆市长江经济带发展负面清单实施细则</w:t>
            </w:r>
            <w:r>
              <w:rPr>
                <w:rFonts w:hint="eastAsia" w:cs="Times New Roman"/>
                <w:snapToGrid/>
                <w:color w:val="auto"/>
                <w:spacing w:val="0"/>
                <w:w w:val="100"/>
                <w:kern w:val="21"/>
                <w:position w:val="0"/>
                <w:sz w:val="21"/>
                <w:szCs w:val="21"/>
                <w:lang w:val="en-US" w:eastAsia="zh-CN" w:bidi="ar"/>
              </w:rPr>
              <w:t>（</w:t>
            </w:r>
            <w:r>
              <w:rPr>
                <w:rFonts w:hint="eastAsia" w:ascii="Times New Roman" w:hAnsi="Times New Roman" w:eastAsia="宋体" w:cs="Times New Roman"/>
                <w:snapToGrid/>
                <w:color w:val="auto"/>
                <w:spacing w:val="0"/>
                <w:w w:val="100"/>
                <w:kern w:val="21"/>
                <w:position w:val="0"/>
                <w:sz w:val="21"/>
                <w:szCs w:val="21"/>
                <w:lang w:val="en-US" w:eastAsia="zh-CN" w:bidi="ar"/>
              </w:rPr>
              <w:t>试行）》（</w:t>
            </w:r>
            <w:r>
              <w:rPr>
                <w:rFonts w:hint="default" w:ascii="Times New Roman" w:hAnsi="Times New Roman" w:eastAsia="宋体" w:cs="Times New Roman"/>
                <w:snapToGrid/>
                <w:color w:val="auto"/>
                <w:spacing w:val="0"/>
                <w:w w:val="100"/>
                <w:kern w:val="21"/>
                <w:position w:val="0"/>
                <w:sz w:val="21"/>
                <w:szCs w:val="21"/>
                <w:lang w:val="en-US" w:eastAsia="zh-CN" w:bidi="ar"/>
              </w:rPr>
              <w:t>2022</w:t>
            </w:r>
            <w:r>
              <w:rPr>
                <w:rFonts w:hint="eastAsia" w:ascii="Times New Roman" w:hAnsi="Times New Roman" w:eastAsia="宋体" w:cs="Times New Roman"/>
                <w:snapToGrid/>
                <w:color w:val="auto"/>
                <w:spacing w:val="0"/>
                <w:w w:val="100"/>
                <w:kern w:val="21"/>
                <w:position w:val="0"/>
                <w:sz w:val="21"/>
                <w:szCs w:val="21"/>
                <w:lang w:val="en-US" w:eastAsia="zh-CN" w:bidi="ar"/>
              </w:rPr>
              <w:t>年版）（川长江办发〔</w:t>
            </w:r>
            <w:r>
              <w:rPr>
                <w:rFonts w:hint="default" w:ascii="Times New Roman" w:hAnsi="Times New Roman" w:eastAsia="宋体" w:cs="Times New Roman"/>
                <w:snapToGrid/>
                <w:color w:val="auto"/>
                <w:spacing w:val="0"/>
                <w:w w:val="100"/>
                <w:kern w:val="21"/>
                <w:position w:val="0"/>
                <w:sz w:val="21"/>
                <w:szCs w:val="21"/>
                <w:lang w:val="en-US" w:eastAsia="zh-CN" w:bidi="ar"/>
              </w:rPr>
              <w:t>2022</w:t>
            </w:r>
            <w:r>
              <w:rPr>
                <w:rFonts w:hint="eastAsia" w:ascii="Times New Roman" w:hAnsi="Times New Roman" w:eastAsia="宋体" w:cs="Times New Roman"/>
                <w:snapToGrid/>
                <w:color w:val="auto"/>
                <w:spacing w:val="0"/>
                <w:w w:val="100"/>
                <w:kern w:val="21"/>
                <w:position w:val="0"/>
                <w:sz w:val="21"/>
                <w:szCs w:val="21"/>
                <w:lang w:val="en-US" w:eastAsia="zh-CN" w:bidi="ar"/>
              </w:rPr>
              <w:t>〕</w:t>
            </w:r>
            <w:r>
              <w:rPr>
                <w:rFonts w:hint="default" w:ascii="Times New Roman" w:hAnsi="Times New Roman" w:eastAsia="宋体" w:cs="Times New Roman"/>
                <w:snapToGrid/>
                <w:color w:val="auto"/>
                <w:spacing w:val="0"/>
                <w:w w:val="100"/>
                <w:kern w:val="21"/>
                <w:position w:val="0"/>
                <w:sz w:val="21"/>
                <w:szCs w:val="21"/>
                <w:lang w:val="en-US" w:eastAsia="zh-CN" w:bidi="ar"/>
              </w:rPr>
              <w:t>17</w:t>
            </w:r>
            <w:r>
              <w:rPr>
                <w:rFonts w:hint="eastAsia" w:ascii="Times New Roman" w:hAnsi="Times New Roman" w:eastAsia="宋体" w:cs="Times New Roman"/>
                <w:snapToGrid/>
                <w:color w:val="auto"/>
                <w:spacing w:val="0"/>
                <w:w w:val="100"/>
                <w:kern w:val="21"/>
                <w:position w:val="0"/>
                <w:sz w:val="21"/>
                <w:szCs w:val="21"/>
                <w:lang w:val="en-US" w:eastAsia="zh-CN" w:bidi="ar"/>
              </w:rPr>
              <w:t>号）的相关要求。</w:t>
            </w:r>
          </w:p>
          <w:p>
            <w:pPr>
              <w:keepNext w:val="0"/>
              <w:keepLines w:val="0"/>
              <w:pageBreakBefore w:val="0"/>
              <w:widowControl w:val="0"/>
              <w:kinsoku/>
              <w:wordWrap/>
              <w:overflowPunct w:val="0"/>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eastAsia="宋体" w:cs="Times New Roman"/>
                <w:b/>
                <w:bCs/>
                <w:snapToGrid/>
                <w:color w:val="auto"/>
                <w:spacing w:val="0"/>
                <w:w w:val="100"/>
                <w:kern w:val="21"/>
                <w:position w:val="0"/>
                <w:sz w:val="21"/>
                <w:szCs w:val="21"/>
                <w:lang w:val="en-US" w:eastAsia="zh-CN" w:bidi="ar"/>
              </w:rPr>
              <w:t>4、与国家及地方有关水污染防治的规范文件符合性分析</w:t>
            </w:r>
          </w:p>
          <w:p>
            <w:pPr>
              <w:adjustRightInd w:val="0"/>
              <w:snapToGrid w:val="0"/>
              <w:spacing w:line="360" w:lineRule="auto"/>
              <w:ind w:firstLine="420" w:firstLineChars="200"/>
              <w:rPr>
                <w:color w:val="auto"/>
                <w:sz w:val="21"/>
                <w:szCs w:val="21"/>
              </w:rPr>
            </w:pPr>
            <w:r>
              <w:rPr>
                <w:color w:val="auto"/>
                <w:sz w:val="21"/>
                <w:szCs w:val="21"/>
              </w:rPr>
              <w:t>根据《国务院关于印发水污染防治行动计划的通知》（国发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15</w:t>
            </w:r>
            <w:r>
              <w:rPr>
                <w:rFonts w:hint="default" w:ascii="Times New Roman" w:hAnsi="Times New Roman" w:eastAsia="宋体" w:cs="Times New Roman"/>
                <w:i w:val="0"/>
                <w:iCs w:val="0"/>
                <w:caps w:val="0"/>
                <w:color w:val="000000"/>
                <w:spacing w:val="0"/>
                <w:sz w:val="21"/>
                <w:szCs w:val="21"/>
                <w:shd w:val="clear" w:fill="FFFFFF"/>
              </w:rPr>
              <w:t>〕</w:t>
            </w:r>
            <w:r>
              <w:rPr>
                <w:color w:val="auto"/>
                <w:sz w:val="21"/>
                <w:szCs w:val="21"/>
              </w:rPr>
              <w:t>17号）、《四川省人民政府》（川府发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15</w:t>
            </w:r>
            <w:r>
              <w:rPr>
                <w:rFonts w:hint="default" w:ascii="Times New Roman" w:hAnsi="Times New Roman" w:eastAsia="宋体" w:cs="Times New Roman"/>
                <w:i w:val="0"/>
                <w:iCs w:val="0"/>
                <w:caps w:val="0"/>
                <w:color w:val="000000"/>
                <w:spacing w:val="0"/>
                <w:sz w:val="21"/>
                <w:szCs w:val="21"/>
                <w:shd w:val="clear" w:fill="FFFFFF"/>
              </w:rPr>
              <w:t>〕</w:t>
            </w:r>
            <w:r>
              <w:rPr>
                <w:color w:val="auto"/>
                <w:sz w:val="21"/>
                <w:szCs w:val="21"/>
              </w:rPr>
              <w:t>59号）相关规范文件分析，本项目与其规划符合性具体分析详见下表：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Cs w:val="21"/>
                <w:lang w:bidi="ar"/>
              </w:rPr>
            </w:pPr>
            <w:r>
              <w:rPr>
                <w:rFonts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1-9</w:t>
            </w:r>
            <w:r>
              <w:rPr>
                <w:rFonts w:ascii="Times New Roman" w:hAnsi="Times New Roman" w:eastAsia="宋体" w:cs="Times New Roman"/>
                <w:b/>
                <w:color w:val="auto"/>
                <w:kern w:val="0"/>
                <w:szCs w:val="21"/>
                <w:lang w:bidi="ar"/>
              </w:rPr>
              <w:t xml:space="preserve">  项目与</w:t>
            </w:r>
            <w:r>
              <w:rPr>
                <w:rFonts w:hint="eastAsia" w:cs="Times New Roman"/>
                <w:b/>
                <w:color w:val="auto"/>
                <w:kern w:val="0"/>
                <w:szCs w:val="21"/>
                <w:lang w:val="en-US" w:eastAsia="zh-CN" w:bidi="ar"/>
              </w:rPr>
              <w:t>水</w:t>
            </w:r>
            <w:r>
              <w:rPr>
                <w:rFonts w:ascii="Times New Roman" w:hAnsi="Times New Roman" w:eastAsia="宋体" w:cs="Times New Roman"/>
                <w:b/>
                <w:color w:val="auto"/>
                <w:kern w:val="0"/>
                <w:szCs w:val="21"/>
                <w:lang w:bidi="ar"/>
              </w:rPr>
              <w:t>污染</w:t>
            </w:r>
            <w:r>
              <w:rPr>
                <w:rFonts w:hint="eastAsia" w:cs="Times New Roman"/>
                <w:b/>
                <w:color w:val="auto"/>
                <w:kern w:val="0"/>
                <w:szCs w:val="21"/>
                <w:lang w:val="en-US" w:eastAsia="zh-CN" w:bidi="ar"/>
              </w:rPr>
              <w:t>有关</w:t>
            </w:r>
            <w:r>
              <w:rPr>
                <w:rFonts w:ascii="Times New Roman" w:hAnsi="Times New Roman" w:eastAsia="宋体" w:cs="Times New Roman"/>
                <w:b/>
                <w:color w:val="auto"/>
                <w:kern w:val="0"/>
                <w:szCs w:val="21"/>
                <w:lang w:bidi="ar"/>
              </w:rPr>
              <w:t>防治政策的符合性分析</w:t>
            </w:r>
          </w:p>
          <w:tbl>
            <w:tblPr>
              <w:tblStyle w:val="28"/>
              <w:tblW w:w="77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44"/>
              <w:gridCol w:w="4322"/>
              <w:gridCol w:w="124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1444" w:type="dxa"/>
                  <w:tcBorders>
                    <w:tl2br w:val="nil"/>
                    <w:tr2bl w:val="nil"/>
                  </w:tcBorders>
                  <w:shd w:val="clear" w:color="auto" w:fill="auto"/>
                  <w:vAlign w:val="center"/>
                </w:tcPr>
                <w:p>
                  <w:pPr>
                    <w:snapToGrid w:val="0"/>
                    <w:jc w:val="center"/>
                    <w:rPr>
                      <w:b/>
                      <w:color w:val="auto"/>
                      <w:szCs w:val="21"/>
                    </w:rPr>
                  </w:pPr>
                  <w:r>
                    <w:rPr>
                      <w:b/>
                      <w:color w:val="auto"/>
                      <w:szCs w:val="21"/>
                    </w:rPr>
                    <w:t>规划/技术文件</w:t>
                  </w:r>
                </w:p>
              </w:tc>
              <w:tc>
                <w:tcPr>
                  <w:tcW w:w="4322" w:type="dxa"/>
                  <w:tcBorders>
                    <w:tl2br w:val="nil"/>
                    <w:tr2bl w:val="nil"/>
                  </w:tcBorders>
                  <w:shd w:val="clear" w:color="auto" w:fill="auto"/>
                  <w:vAlign w:val="center"/>
                </w:tcPr>
                <w:p>
                  <w:pPr>
                    <w:snapToGrid w:val="0"/>
                    <w:jc w:val="center"/>
                    <w:rPr>
                      <w:b/>
                      <w:color w:val="auto"/>
                      <w:szCs w:val="21"/>
                    </w:rPr>
                  </w:pPr>
                  <w:r>
                    <w:rPr>
                      <w:b/>
                      <w:color w:val="auto"/>
                      <w:szCs w:val="21"/>
                    </w:rPr>
                    <w:t>规划/技术要求</w:t>
                  </w:r>
                </w:p>
              </w:tc>
              <w:tc>
                <w:tcPr>
                  <w:tcW w:w="1240" w:type="dxa"/>
                  <w:tcBorders>
                    <w:tl2br w:val="nil"/>
                    <w:tr2bl w:val="nil"/>
                  </w:tcBorders>
                  <w:shd w:val="clear" w:color="auto" w:fill="auto"/>
                  <w:vAlign w:val="center"/>
                </w:tcPr>
                <w:p>
                  <w:pPr>
                    <w:snapToGrid w:val="0"/>
                    <w:jc w:val="center"/>
                    <w:rPr>
                      <w:b/>
                      <w:color w:val="auto"/>
                      <w:szCs w:val="21"/>
                    </w:rPr>
                  </w:pPr>
                  <w:r>
                    <w:rPr>
                      <w:b/>
                      <w:color w:val="auto"/>
                      <w:szCs w:val="21"/>
                    </w:rPr>
                    <w:t>本项目</w:t>
                  </w:r>
                </w:p>
              </w:tc>
              <w:tc>
                <w:tcPr>
                  <w:tcW w:w="715" w:type="dxa"/>
                  <w:tcBorders>
                    <w:tl2br w:val="nil"/>
                    <w:tr2bl w:val="nil"/>
                  </w:tcBorders>
                  <w:shd w:val="clear" w:color="auto" w:fill="auto"/>
                  <w:vAlign w:val="center"/>
                </w:tcPr>
                <w:p>
                  <w:pPr>
                    <w:snapToGrid w:val="0"/>
                    <w:jc w:val="center"/>
                    <w:rPr>
                      <w:b/>
                      <w:color w:val="auto"/>
                      <w:szCs w:val="21"/>
                    </w:rPr>
                  </w:pPr>
                  <w:r>
                    <w:rPr>
                      <w:b/>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444" w:type="dxa"/>
                  <w:vMerge w:val="restart"/>
                  <w:tcBorders>
                    <w:tl2br w:val="nil"/>
                    <w:tr2bl w:val="nil"/>
                  </w:tcBorders>
                  <w:shd w:val="clear" w:color="auto" w:fill="auto"/>
                  <w:vAlign w:val="center"/>
                </w:tcPr>
                <w:p>
                  <w:pPr>
                    <w:snapToGrid w:val="0"/>
                    <w:jc w:val="center"/>
                    <w:rPr>
                      <w:b/>
                      <w:color w:val="auto"/>
                      <w:szCs w:val="21"/>
                    </w:rPr>
                  </w:pPr>
                  <w:r>
                    <w:rPr>
                      <w:color w:val="auto"/>
                      <w:szCs w:val="21"/>
                    </w:rPr>
                    <w:t>《水污染防治行动计划》（</w:t>
                  </w:r>
                  <w:r>
                    <w:rPr>
                      <w:color w:val="auto"/>
                      <w:spacing w:val="-4"/>
                      <w:szCs w:val="21"/>
                    </w:rPr>
                    <w:t>国发〔2015〕17号</w:t>
                  </w:r>
                  <w:r>
                    <w:rPr>
                      <w:color w:val="auto"/>
                      <w:szCs w:val="21"/>
                    </w:rPr>
                    <w:t>）</w:t>
                  </w:r>
                </w:p>
              </w:tc>
              <w:tc>
                <w:tcPr>
                  <w:tcW w:w="4322" w:type="dxa"/>
                  <w:tcBorders>
                    <w:tl2br w:val="nil"/>
                    <w:tr2bl w:val="nil"/>
                  </w:tcBorders>
                  <w:shd w:val="clear" w:color="auto" w:fill="auto"/>
                  <w:vAlign w:val="center"/>
                </w:tcPr>
                <w:p>
                  <w:pPr>
                    <w:snapToGrid w:val="0"/>
                    <w:jc w:val="left"/>
                    <w:rPr>
                      <w:color w:val="auto"/>
                      <w:szCs w:val="21"/>
                    </w:rPr>
                  </w:pPr>
                  <w:r>
                    <w:rPr>
                      <w:color w:val="auto"/>
                      <w:szCs w:val="21"/>
                    </w:rPr>
                    <w:t>推广示范</w:t>
                  </w:r>
                  <w:r>
                    <w:rPr>
                      <w:rFonts w:hint="default"/>
                      <w:color w:val="auto"/>
                      <w:szCs w:val="21"/>
                    </w:rPr>
                    <w:fldChar w:fldCharType="begin"/>
                  </w:r>
                  <w:r>
                    <w:rPr>
                      <w:rFonts w:hint="default"/>
                      <w:color w:val="auto"/>
                      <w:szCs w:val="21"/>
                    </w:rPr>
                    <w:instrText xml:space="preserve"> HYPERLINK "https://baike.baidu.com/item/%E9%80%82%E7%94%A8%E6%8A%80%E6%9C%AF/12748902?fromModule=lemma_inlink" \t "https://baike.baidu.com/item/%E6%B0%B4%E6%B1%A1%E6%9F%93%E9%98%B2%E6%B2%BB%E8%A1%8C%E5%8A%A8%E8%AE%A1%E5%88%92/_blank" </w:instrText>
                  </w:r>
                  <w:r>
                    <w:rPr>
                      <w:rFonts w:hint="default"/>
                      <w:color w:val="auto"/>
                      <w:szCs w:val="21"/>
                    </w:rPr>
                    <w:fldChar w:fldCharType="separate"/>
                  </w:r>
                  <w:r>
                    <w:rPr>
                      <w:rFonts w:hint="default"/>
                      <w:color w:val="auto"/>
                      <w:szCs w:val="21"/>
                    </w:rPr>
                    <w:t>适用技术</w:t>
                  </w:r>
                  <w:r>
                    <w:rPr>
                      <w:rFonts w:hint="default"/>
                      <w:color w:val="auto"/>
                      <w:szCs w:val="21"/>
                    </w:rPr>
                    <w:fldChar w:fldCharType="end"/>
                  </w:r>
                  <w:r>
                    <w:rPr>
                      <w:rFonts w:hint="default"/>
                      <w:color w:val="auto"/>
                      <w:szCs w:val="21"/>
                    </w:rPr>
                    <w:t>。加快</w:t>
                  </w:r>
                  <w:r>
                    <w:rPr>
                      <w:rFonts w:hint="default"/>
                      <w:color w:val="auto"/>
                      <w:szCs w:val="21"/>
                    </w:rPr>
                    <w:fldChar w:fldCharType="begin"/>
                  </w:r>
                  <w:r>
                    <w:rPr>
                      <w:rFonts w:hint="default"/>
                      <w:color w:val="auto"/>
                      <w:szCs w:val="21"/>
                    </w:rPr>
                    <w:instrText xml:space="preserve"> HYPERLINK "https://baike.baidu.com/item/%E6%8A%80%E6%9C%AF%E6%88%90%E6%9E%9C/6320725?fromModule=lemma_inlink" \t "https://baike.baidu.com/item/%E6%B0%B4%E6%B1%A1%E6%9F%93%E9%98%B2%E6%B2%BB%E8%A1%8C%E5%8A%A8%E8%AE%A1%E5%88%92/_blank" </w:instrText>
                  </w:r>
                  <w:r>
                    <w:rPr>
                      <w:rFonts w:hint="default"/>
                      <w:color w:val="auto"/>
                      <w:szCs w:val="21"/>
                    </w:rPr>
                    <w:fldChar w:fldCharType="separate"/>
                  </w:r>
                  <w:r>
                    <w:rPr>
                      <w:rFonts w:hint="default"/>
                      <w:color w:val="auto"/>
                      <w:szCs w:val="21"/>
                    </w:rPr>
                    <w:t>技术成果</w:t>
                  </w:r>
                  <w:r>
                    <w:rPr>
                      <w:rFonts w:hint="default"/>
                      <w:color w:val="auto"/>
                      <w:szCs w:val="21"/>
                    </w:rPr>
                    <w:fldChar w:fldCharType="end"/>
                  </w:r>
                  <w:r>
                    <w:rPr>
                      <w:rFonts w:hint="default"/>
                      <w:color w:val="auto"/>
                      <w:szCs w:val="21"/>
                    </w:rPr>
                    <w:t>推广应用，重点推广</w:t>
                  </w:r>
                  <w:r>
                    <w:rPr>
                      <w:rFonts w:hint="default"/>
                      <w:b/>
                      <w:bCs/>
                      <w:color w:val="auto"/>
                      <w:szCs w:val="21"/>
                    </w:rPr>
                    <w:t>饮用水净化、</w:t>
                  </w:r>
                  <w:r>
                    <w:rPr>
                      <w:rFonts w:hint="default"/>
                      <w:color w:val="auto"/>
                      <w:szCs w:val="21"/>
                    </w:rPr>
                    <w:t>节水、</w:t>
                  </w:r>
                  <w:r>
                    <w:rPr>
                      <w:rFonts w:hint="default"/>
                      <w:color w:val="auto"/>
                      <w:szCs w:val="21"/>
                    </w:rPr>
                    <w:fldChar w:fldCharType="begin"/>
                  </w:r>
                  <w:r>
                    <w:rPr>
                      <w:rFonts w:hint="default"/>
                      <w:color w:val="auto"/>
                      <w:szCs w:val="21"/>
                    </w:rPr>
                    <w:instrText xml:space="preserve"> HYPERLINK "https://baike.baidu.com/item/%E6%B0%B4%E6%B1%A1%E6%9F%93%E6%B2%BB%E7%90%86/7475510?fromModule=lemma_inlink" \t "https://baike.baidu.com/item/%E6%B0%B4%E6%B1%A1%E6%9F%93%E9%98%B2%E6%B2%BB%E8%A1%8C%E5%8A%A8%E8%AE%A1%E5%88%92/_blank" </w:instrText>
                  </w:r>
                  <w:r>
                    <w:rPr>
                      <w:rFonts w:hint="default"/>
                      <w:color w:val="auto"/>
                      <w:szCs w:val="21"/>
                    </w:rPr>
                    <w:fldChar w:fldCharType="separate"/>
                  </w:r>
                  <w:r>
                    <w:rPr>
                      <w:rFonts w:hint="default"/>
                      <w:color w:val="auto"/>
                      <w:szCs w:val="21"/>
                    </w:rPr>
                    <w:t>水污染治理</w:t>
                  </w:r>
                  <w:r>
                    <w:rPr>
                      <w:rFonts w:hint="default"/>
                      <w:color w:val="auto"/>
                      <w:szCs w:val="21"/>
                    </w:rPr>
                    <w:fldChar w:fldCharType="end"/>
                  </w:r>
                  <w:r>
                    <w:rPr>
                      <w:rFonts w:hint="default"/>
                      <w:color w:val="auto"/>
                      <w:szCs w:val="21"/>
                    </w:rPr>
                    <w:t>及循环利用、城市雨水收集利用、再生水安全回用、水生态修复、畜禽养殖污染防治等适用技术。</w:t>
                  </w:r>
                </w:p>
              </w:tc>
              <w:tc>
                <w:tcPr>
                  <w:tcW w:w="1240" w:type="dxa"/>
                  <w:vMerge w:val="restart"/>
                  <w:tcBorders>
                    <w:tl2br w:val="nil"/>
                    <w:tr2bl w:val="nil"/>
                  </w:tcBorders>
                  <w:shd w:val="clear" w:color="auto" w:fill="auto"/>
                  <w:vAlign w:val="center"/>
                </w:tcPr>
                <w:p>
                  <w:pPr>
                    <w:pStyle w:val="103"/>
                    <w:snapToGrid w:val="0"/>
                    <w:jc w:val="left"/>
                    <w:rPr>
                      <w:color w:val="auto"/>
                      <w:sz w:val="21"/>
                      <w:szCs w:val="21"/>
                    </w:rPr>
                  </w:pPr>
                  <w:r>
                    <w:rPr>
                      <w:rFonts w:hint="eastAsia"/>
                      <w:color w:val="auto"/>
                      <w:sz w:val="21"/>
                      <w:szCs w:val="21"/>
                      <w:lang w:val="en-US" w:eastAsia="zh-CN"/>
                    </w:rPr>
                    <w:t>本项目为自来水生产和供应行业，</w:t>
                  </w:r>
                  <w:r>
                    <w:rPr>
                      <w:rFonts w:hint="eastAsia"/>
                      <w:color w:val="auto"/>
                      <w:sz w:val="21"/>
                      <w:szCs w:val="21"/>
                      <w:highlight w:val="none"/>
                      <w:lang w:val="en-US" w:eastAsia="zh-CN"/>
                    </w:rPr>
                    <w:t>项目营运期无废水排放，项目建设有</w:t>
                  </w:r>
                  <w:r>
                    <w:rPr>
                      <w:rFonts w:hint="eastAsia"/>
                      <w:color w:val="auto"/>
                      <w:sz w:val="21"/>
                      <w:szCs w:val="21"/>
                      <w:lang w:val="en-US" w:eastAsia="zh-CN"/>
                    </w:rPr>
                    <w:t>利于保障大竹县城乡居民生活用水安全。</w:t>
                  </w:r>
                </w:p>
              </w:tc>
              <w:tc>
                <w:tcPr>
                  <w:tcW w:w="715" w:type="dxa"/>
                  <w:tcBorders>
                    <w:tl2br w:val="nil"/>
                    <w:tr2bl w:val="nil"/>
                  </w:tcBorders>
                  <w:shd w:val="clear" w:color="auto" w:fill="auto"/>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444" w:type="dxa"/>
                  <w:vMerge w:val="continue"/>
                  <w:tcBorders>
                    <w:tl2br w:val="nil"/>
                    <w:tr2bl w:val="nil"/>
                  </w:tcBorders>
                  <w:shd w:val="clear" w:color="auto" w:fill="auto"/>
                  <w:vAlign w:val="center"/>
                </w:tcPr>
                <w:p>
                  <w:pPr>
                    <w:snapToGrid w:val="0"/>
                    <w:jc w:val="center"/>
                    <w:rPr>
                      <w:color w:val="auto"/>
                      <w:szCs w:val="21"/>
                    </w:rPr>
                  </w:pPr>
                </w:p>
              </w:tc>
              <w:tc>
                <w:tcPr>
                  <w:tcW w:w="4322" w:type="dxa"/>
                  <w:tcBorders>
                    <w:tl2br w:val="nil"/>
                    <w:tr2bl w:val="nil"/>
                  </w:tcBorders>
                  <w:shd w:val="clear" w:color="auto" w:fill="auto"/>
                  <w:vAlign w:val="center"/>
                </w:tcPr>
                <w:p>
                  <w:pPr>
                    <w:snapToGrid w:val="0"/>
                    <w:jc w:val="center"/>
                    <w:rPr>
                      <w:color w:val="auto"/>
                      <w:szCs w:val="21"/>
                    </w:rPr>
                  </w:pPr>
                  <w:r>
                    <w:rPr>
                      <w:color w:val="auto"/>
                      <w:szCs w:val="21"/>
                    </w:rPr>
                    <w:t>保障饮用水水源安全。</w:t>
                  </w:r>
                  <w:r>
                    <w:rPr>
                      <w:b/>
                      <w:bCs/>
                      <w:color w:val="auto"/>
                      <w:szCs w:val="21"/>
                    </w:rPr>
                    <w:t>从水源到</w:t>
                  </w:r>
                  <w:r>
                    <w:rPr>
                      <w:rFonts w:hint="default"/>
                      <w:b/>
                      <w:bCs/>
                      <w:color w:val="auto"/>
                      <w:szCs w:val="21"/>
                    </w:rPr>
                    <w:fldChar w:fldCharType="begin"/>
                  </w:r>
                  <w:r>
                    <w:rPr>
                      <w:rFonts w:hint="default"/>
                      <w:b/>
                      <w:bCs/>
                      <w:color w:val="auto"/>
                      <w:szCs w:val="21"/>
                    </w:rPr>
                    <w:instrText xml:space="preserve"> HYPERLINK "https://baike.baidu.com/item/%E6%B0%B4%E9%BE%99%E5%A4%B4/488290?fromModule=lemma_inlink" \t "https://baike.baidu.com/item/%E6%B0%B4%E6%B1%A1%E6%9F%93%E9%98%B2%E6%B2%BB%E8%A1%8C%E5%8A%A8%E8%AE%A1%E5%88%92/_blank" </w:instrText>
                  </w:r>
                  <w:r>
                    <w:rPr>
                      <w:rFonts w:hint="default"/>
                      <w:b/>
                      <w:bCs/>
                      <w:color w:val="auto"/>
                      <w:szCs w:val="21"/>
                    </w:rPr>
                    <w:fldChar w:fldCharType="separate"/>
                  </w:r>
                  <w:r>
                    <w:rPr>
                      <w:rFonts w:hint="default"/>
                      <w:b/>
                      <w:bCs/>
                      <w:color w:val="auto"/>
                      <w:szCs w:val="21"/>
                    </w:rPr>
                    <w:t>水龙头</w:t>
                  </w:r>
                  <w:r>
                    <w:rPr>
                      <w:rFonts w:hint="default"/>
                      <w:b/>
                      <w:bCs/>
                      <w:color w:val="auto"/>
                      <w:szCs w:val="21"/>
                    </w:rPr>
                    <w:fldChar w:fldCharType="end"/>
                  </w:r>
                  <w:r>
                    <w:rPr>
                      <w:rFonts w:hint="default"/>
                      <w:b/>
                      <w:bCs/>
                      <w:color w:val="auto"/>
                      <w:szCs w:val="21"/>
                    </w:rPr>
                    <w:t>全过程监管饮用水安全。地</w:t>
                  </w:r>
                  <w:r>
                    <w:rPr>
                      <w:rFonts w:hint="default"/>
                      <w:color w:val="auto"/>
                      <w:szCs w:val="21"/>
                    </w:rPr>
                    <w:t>方各级人民政府及供水单位应定期监测、检测和评估本行政区域内饮用水水源、供水厂出水和用户水龙头水质等饮水安全状况，地级及以上城市自2016年起每季度向社会公开。自2018年起，所有县级及以上城市饮水安全状况信息都要向社会公开。</w:t>
                  </w:r>
                </w:p>
              </w:tc>
              <w:tc>
                <w:tcPr>
                  <w:tcW w:w="1240" w:type="dxa"/>
                  <w:vMerge w:val="continue"/>
                  <w:tcBorders>
                    <w:tl2br w:val="nil"/>
                    <w:tr2bl w:val="nil"/>
                  </w:tcBorders>
                  <w:shd w:val="clear" w:color="auto" w:fill="auto"/>
                  <w:vAlign w:val="center"/>
                </w:tcPr>
                <w:p>
                  <w:pPr>
                    <w:pStyle w:val="103"/>
                    <w:snapToGrid w:val="0"/>
                    <w:jc w:val="left"/>
                    <w:rPr>
                      <w:color w:val="auto"/>
                      <w:sz w:val="21"/>
                      <w:szCs w:val="21"/>
                    </w:rPr>
                  </w:pPr>
                </w:p>
              </w:tc>
              <w:tc>
                <w:tcPr>
                  <w:tcW w:w="715" w:type="dxa"/>
                  <w:tcBorders>
                    <w:tl2br w:val="nil"/>
                    <w:tr2bl w:val="nil"/>
                  </w:tcBorders>
                  <w:shd w:val="clear" w:color="auto" w:fill="auto"/>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1444" w:type="dxa"/>
                  <w:tcBorders>
                    <w:tl2br w:val="nil"/>
                    <w:tr2bl w:val="nil"/>
                  </w:tcBorders>
                  <w:shd w:val="clear" w:color="auto" w:fill="auto"/>
                  <w:vAlign w:val="center"/>
                </w:tcPr>
                <w:p>
                  <w:pPr>
                    <w:snapToGrid w:val="0"/>
                    <w:jc w:val="center"/>
                    <w:rPr>
                      <w:color w:val="auto"/>
                      <w:szCs w:val="21"/>
                    </w:rPr>
                  </w:pPr>
                  <w:r>
                    <w:rPr>
                      <w:color w:val="auto"/>
                      <w:szCs w:val="21"/>
                    </w:rPr>
                    <w:t>《&lt;水污染防治行动计划&gt;四川省工作方案》（川府发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15</w:t>
                  </w:r>
                  <w:r>
                    <w:rPr>
                      <w:rFonts w:hint="default" w:ascii="Times New Roman" w:hAnsi="Times New Roman" w:eastAsia="宋体" w:cs="Times New Roman"/>
                      <w:i w:val="0"/>
                      <w:iCs w:val="0"/>
                      <w:caps w:val="0"/>
                      <w:color w:val="000000"/>
                      <w:spacing w:val="0"/>
                      <w:sz w:val="21"/>
                      <w:szCs w:val="21"/>
                      <w:shd w:val="clear" w:fill="FFFFFF"/>
                    </w:rPr>
                    <w:t>〕</w:t>
                  </w:r>
                  <w:r>
                    <w:rPr>
                      <w:color w:val="auto"/>
                      <w:szCs w:val="21"/>
                    </w:rPr>
                    <w:t>59号）</w:t>
                  </w:r>
                </w:p>
              </w:tc>
              <w:tc>
                <w:tcPr>
                  <w:tcW w:w="4322" w:type="dxa"/>
                  <w:tcBorders>
                    <w:tl2br w:val="nil"/>
                    <w:tr2bl w:val="nil"/>
                  </w:tcBorders>
                  <w:shd w:val="clear" w:color="auto" w:fill="auto"/>
                  <w:vAlign w:val="center"/>
                </w:tcPr>
                <w:p>
                  <w:pPr>
                    <w:pStyle w:val="103"/>
                    <w:snapToGrid w:val="0"/>
                    <w:jc w:val="both"/>
                    <w:rPr>
                      <w:color w:val="auto"/>
                      <w:sz w:val="21"/>
                      <w:szCs w:val="21"/>
                    </w:rPr>
                  </w:pPr>
                  <w:r>
                    <w:rPr>
                      <w:rFonts w:hint="default" w:ascii="Times New Roman" w:hAnsi="Times New Roman" w:eastAsia="宋体" w:cs="Times New Roman"/>
                      <w:color w:val="auto"/>
                      <w:kern w:val="2"/>
                      <w:sz w:val="21"/>
                      <w:szCs w:val="21"/>
                      <w:lang w:val="en-US" w:eastAsia="zh-CN" w:bidi="ar-SA"/>
                    </w:rPr>
                    <w:t>各级人民政府建立和完善饮用水安全状况评估、公布制度，组织环境保护部门对饮用水水源保护区开展水质监测和年度评估并予公布；住房</w:t>
                  </w:r>
                  <w:r>
                    <w:rPr>
                      <w:rFonts w:hint="eastAsia" w:cs="Times New Roman"/>
                      <w:color w:val="auto"/>
                      <w:kern w:val="2"/>
                      <w:sz w:val="21"/>
                      <w:szCs w:val="21"/>
                      <w:lang w:val="en-US" w:eastAsia="zh-CN" w:bidi="ar-SA"/>
                    </w:rPr>
                    <w:t>和</w:t>
                  </w:r>
                  <w:r>
                    <w:rPr>
                      <w:rFonts w:hint="default" w:ascii="Times New Roman" w:hAnsi="Times New Roman" w:eastAsia="宋体" w:cs="Times New Roman"/>
                      <w:color w:val="auto"/>
                      <w:kern w:val="2"/>
                      <w:sz w:val="21"/>
                      <w:szCs w:val="21"/>
                      <w:lang w:val="en-US" w:eastAsia="zh-CN" w:bidi="ar-SA"/>
                    </w:rPr>
                    <w:t>城乡建设（供水） 部门对供水厂出水进行检测并予公布；卫生计生部门对用户水 龙头水质进行检测并予公布。各市（州）按规定定期向社会公开饮用水安全状况信息，自2018年起，所有县级以上城市向社会公开。</w:t>
                  </w:r>
                </w:p>
              </w:tc>
              <w:tc>
                <w:tcPr>
                  <w:tcW w:w="1240" w:type="dxa"/>
                  <w:vMerge w:val="continue"/>
                  <w:tcBorders>
                    <w:tl2br w:val="nil"/>
                    <w:tr2bl w:val="nil"/>
                  </w:tcBorders>
                  <w:shd w:val="clear" w:color="auto" w:fill="auto"/>
                  <w:vAlign w:val="center"/>
                </w:tcPr>
                <w:p>
                  <w:pPr>
                    <w:pStyle w:val="103"/>
                    <w:snapToGrid w:val="0"/>
                    <w:jc w:val="left"/>
                    <w:rPr>
                      <w:color w:val="auto"/>
                      <w:sz w:val="21"/>
                      <w:szCs w:val="21"/>
                    </w:rPr>
                  </w:pPr>
                </w:p>
              </w:tc>
              <w:tc>
                <w:tcPr>
                  <w:tcW w:w="715" w:type="dxa"/>
                  <w:tcBorders>
                    <w:tl2br w:val="nil"/>
                    <w:tr2bl w:val="nil"/>
                  </w:tcBorders>
                  <w:shd w:val="clear" w:color="auto" w:fill="auto"/>
                  <w:vAlign w:val="center"/>
                </w:tcPr>
                <w:p>
                  <w:pPr>
                    <w:snapToGrid w:val="0"/>
                    <w:jc w:val="center"/>
                    <w:rPr>
                      <w:color w:val="auto"/>
                      <w:szCs w:val="21"/>
                    </w:rPr>
                  </w:pPr>
                  <w:r>
                    <w:rPr>
                      <w:color w:val="auto"/>
                      <w:szCs w:val="21"/>
                    </w:rPr>
                    <w:t>符合</w:t>
                  </w:r>
                </w:p>
              </w:tc>
            </w:tr>
          </w:tbl>
          <w:p>
            <w:pPr>
              <w:adjustRightInd w:val="0"/>
              <w:snapToGrid w:val="0"/>
              <w:spacing w:before="120" w:beforeLines="50" w:line="360" w:lineRule="auto"/>
              <w:ind w:firstLine="422" w:firstLineChars="200"/>
              <w:rPr>
                <w:rFonts w:hint="default" w:eastAsia="宋体"/>
                <w:b/>
                <w:bCs/>
                <w:color w:val="auto"/>
                <w:sz w:val="21"/>
                <w:szCs w:val="21"/>
                <w:lang w:val="en-US" w:eastAsia="zh-CN"/>
              </w:rPr>
            </w:pPr>
            <w:r>
              <w:rPr>
                <w:b/>
                <w:bCs/>
                <w:color w:val="auto"/>
                <w:sz w:val="21"/>
                <w:szCs w:val="21"/>
              </w:rPr>
              <w:t>综上所述，本项目符合上述相关水污染防治规范文件的要求。</w:t>
            </w:r>
          </w:p>
          <w:p>
            <w:pPr>
              <w:adjustRightInd w:val="0"/>
              <w:snapToGrid w:val="0"/>
              <w:spacing w:line="360" w:lineRule="auto"/>
              <w:ind w:firstLine="422" w:firstLineChars="200"/>
              <w:rPr>
                <w:b/>
                <w:bCs/>
                <w:color w:val="auto"/>
                <w:sz w:val="21"/>
                <w:szCs w:val="21"/>
              </w:rPr>
            </w:pPr>
            <w:r>
              <w:rPr>
                <w:rFonts w:hint="eastAsia"/>
                <w:b/>
                <w:bCs/>
                <w:color w:val="auto"/>
                <w:sz w:val="21"/>
                <w:szCs w:val="21"/>
                <w:lang w:val="en-US" w:eastAsia="zh-CN"/>
              </w:rPr>
              <w:t>5、</w:t>
            </w:r>
            <w:r>
              <w:rPr>
                <w:b/>
                <w:bCs/>
                <w:color w:val="auto"/>
                <w:sz w:val="21"/>
                <w:szCs w:val="21"/>
              </w:rPr>
              <w:t>与国家及地方有关大气污染防治的规范文件符合性</w:t>
            </w:r>
            <w:bookmarkStart w:id="33" w:name="_GoBack"/>
            <w:bookmarkEnd w:id="33"/>
            <w:r>
              <w:rPr>
                <w:b/>
                <w:bCs/>
                <w:color w:val="auto"/>
                <w:sz w:val="21"/>
                <w:szCs w:val="21"/>
              </w:rPr>
              <w:t>分析</w:t>
            </w:r>
          </w:p>
          <w:p>
            <w:pPr>
              <w:adjustRightInd w:val="0"/>
              <w:snapToGrid w:val="0"/>
              <w:spacing w:line="360" w:lineRule="auto"/>
              <w:ind w:firstLine="420" w:firstLineChars="200"/>
              <w:rPr>
                <w:color w:val="auto"/>
                <w:sz w:val="21"/>
                <w:szCs w:val="21"/>
              </w:rPr>
            </w:pPr>
            <w:r>
              <w:rPr>
                <w:color w:val="auto"/>
                <w:sz w:val="21"/>
                <w:szCs w:val="21"/>
              </w:rPr>
              <w:t>根据</w:t>
            </w:r>
            <w:r>
              <w:rPr>
                <w:rFonts w:ascii="Times New Roman" w:hAnsi="Times New Roman" w:cs="Times New Roman"/>
                <w:color w:val="auto"/>
                <w:sz w:val="21"/>
                <w:szCs w:val="21"/>
              </w:rPr>
              <w:t>《空气质量持续改善行动计划》</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国发〔2023〕24号</w:t>
            </w:r>
            <w:r>
              <w:rPr>
                <w:rFonts w:hint="eastAsia" w:ascii="Times New Roman" w:hAnsi="Times New Roman" w:cs="Times New Roman"/>
                <w:color w:val="auto"/>
                <w:sz w:val="21"/>
                <w:szCs w:val="21"/>
                <w:lang w:eastAsia="zh-CN"/>
              </w:rPr>
              <w:t>）、</w:t>
            </w:r>
            <w:r>
              <w:rPr>
                <w:color w:val="auto"/>
                <w:sz w:val="21"/>
                <w:szCs w:val="21"/>
              </w:rPr>
              <w:t>《国务院关于印发大气污染防治行动计划的通知》（国发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13</w:t>
            </w:r>
            <w:r>
              <w:rPr>
                <w:rFonts w:hint="default" w:ascii="Times New Roman" w:hAnsi="Times New Roman" w:eastAsia="宋体" w:cs="Times New Roman"/>
                <w:i w:val="0"/>
                <w:iCs w:val="0"/>
                <w:caps w:val="0"/>
                <w:color w:val="000000"/>
                <w:spacing w:val="0"/>
                <w:sz w:val="21"/>
                <w:szCs w:val="21"/>
                <w:shd w:val="clear" w:fill="FFFFFF"/>
              </w:rPr>
              <w:t>〕</w:t>
            </w:r>
            <w:r>
              <w:rPr>
                <w:color w:val="auto"/>
                <w:sz w:val="21"/>
                <w:szCs w:val="21"/>
              </w:rPr>
              <w:t>37号）相关规范文件分析，本项目具体分析情况详见下表：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Cs w:val="21"/>
                <w:lang w:bidi="ar"/>
              </w:rPr>
            </w:pPr>
            <w:r>
              <w:rPr>
                <w:rFonts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1-10</w:t>
            </w:r>
            <w:r>
              <w:rPr>
                <w:rFonts w:ascii="Times New Roman" w:hAnsi="Times New Roman" w:eastAsia="宋体" w:cs="Times New Roman"/>
                <w:b/>
                <w:color w:val="auto"/>
                <w:kern w:val="0"/>
                <w:szCs w:val="21"/>
                <w:lang w:bidi="ar"/>
              </w:rPr>
              <w:t xml:space="preserve">  项目与</w:t>
            </w:r>
            <w:r>
              <w:rPr>
                <w:rFonts w:hint="eastAsia" w:cs="Times New Roman"/>
                <w:b/>
                <w:color w:val="auto"/>
                <w:kern w:val="0"/>
                <w:szCs w:val="21"/>
                <w:lang w:val="en-US" w:eastAsia="zh-CN" w:bidi="ar"/>
              </w:rPr>
              <w:t>大气</w:t>
            </w:r>
            <w:r>
              <w:rPr>
                <w:rFonts w:ascii="Times New Roman" w:hAnsi="Times New Roman" w:eastAsia="宋体" w:cs="Times New Roman"/>
                <w:b/>
                <w:color w:val="auto"/>
                <w:kern w:val="0"/>
                <w:szCs w:val="21"/>
                <w:lang w:bidi="ar"/>
              </w:rPr>
              <w:t>污染</w:t>
            </w:r>
            <w:r>
              <w:rPr>
                <w:rFonts w:hint="eastAsia" w:cs="Times New Roman"/>
                <w:b/>
                <w:color w:val="auto"/>
                <w:kern w:val="0"/>
                <w:szCs w:val="21"/>
                <w:lang w:val="en-US" w:eastAsia="zh-CN" w:bidi="ar"/>
              </w:rPr>
              <w:t>有关</w:t>
            </w:r>
            <w:r>
              <w:rPr>
                <w:rFonts w:ascii="Times New Roman" w:hAnsi="Times New Roman" w:eastAsia="宋体" w:cs="Times New Roman"/>
                <w:b/>
                <w:color w:val="auto"/>
                <w:kern w:val="0"/>
                <w:szCs w:val="21"/>
                <w:lang w:bidi="ar"/>
              </w:rPr>
              <w:t>防治政策的符合性分析</w:t>
            </w:r>
          </w:p>
          <w:tbl>
            <w:tblPr>
              <w:tblStyle w:val="28"/>
              <w:tblW w:w="77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84"/>
              <w:gridCol w:w="3309"/>
              <w:gridCol w:w="2157"/>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1484" w:type="dxa"/>
                  <w:tcBorders>
                    <w:tl2br w:val="nil"/>
                    <w:tr2bl w:val="nil"/>
                  </w:tcBorders>
                  <w:shd w:val="clear" w:color="auto" w:fill="auto"/>
                  <w:vAlign w:val="center"/>
                </w:tcPr>
                <w:p>
                  <w:pPr>
                    <w:snapToGrid w:val="0"/>
                    <w:jc w:val="center"/>
                    <w:rPr>
                      <w:b/>
                      <w:color w:val="auto"/>
                      <w:szCs w:val="21"/>
                    </w:rPr>
                  </w:pPr>
                  <w:r>
                    <w:rPr>
                      <w:b/>
                      <w:color w:val="auto"/>
                      <w:szCs w:val="21"/>
                    </w:rPr>
                    <w:t>规划/技术文件</w:t>
                  </w:r>
                </w:p>
              </w:tc>
              <w:tc>
                <w:tcPr>
                  <w:tcW w:w="3309" w:type="dxa"/>
                  <w:tcBorders>
                    <w:tl2br w:val="nil"/>
                    <w:tr2bl w:val="nil"/>
                  </w:tcBorders>
                  <w:shd w:val="clear" w:color="auto" w:fill="auto"/>
                  <w:vAlign w:val="center"/>
                </w:tcPr>
                <w:p>
                  <w:pPr>
                    <w:snapToGrid w:val="0"/>
                    <w:jc w:val="center"/>
                    <w:rPr>
                      <w:b/>
                      <w:color w:val="auto"/>
                      <w:szCs w:val="21"/>
                    </w:rPr>
                  </w:pPr>
                  <w:r>
                    <w:rPr>
                      <w:b/>
                      <w:color w:val="auto"/>
                      <w:szCs w:val="21"/>
                    </w:rPr>
                    <w:t>规划/技术要求</w:t>
                  </w:r>
                </w:p>
              </w:tc>
              <w:tc>
                <w:tcPr>
                  <w:tcW w:w="2157" w:type="dxa"/>
                  <w:tcBorders>
                    <w:tl2br w:val="nil"/>
                    <w:tr2bl w:val="nil"/>
                  </w:tcBorders>
                  <w:shd w:val="clear" w:color="auto" w:fill="auto"/>
                  <w:vAlign w:val="center"/>
                </w:tcPr>
                <w:p>
                  <w:pPr>
                    <w:snapToGrid w:val="0"/>
                    <w:jc w:val="center"/>
                    <w:rPr>
                      <w:b/>
                      <w:color w:val="auto"/>
                      <w:szCs w:val="21"/>
                    </w:rPr>
                  </w:pPr>
                  <w:r>
                    <w:rPr>
                      <w:b/>
                      <w:color w:val="auto"/>
                      <w:szCs w:val="21"/>
                    </w:rPr>
                    <w:t>本项目</w:t>
                  </w:r>
                </w:p>
              </w:tc>
              <w:tc>
                <w:tcPr>
                  <w:tcW w:w="771" w:type="dxa"/>
                  <w:tcBorders>
                    <w:tl2br w:val="nil"/>
                    <w:tr2bl w:val="nil"/>
                  </w:tcBorders>
                  <w:shd w:val="clear" w:color="auto" w:fill="auto"/>
                  <w:vAlign w:val="center"/>
                </w:tcPr>
                <w:p>
                  <w:pPr>
                    <w:snapToGrid w:val="0"/>
                    <w:jc w:val="center"/>
                    <w:rPr>
                      <w:b/>
                      <w:color w:val="auto"/>
                      <w:szCs w:val="21"/>
                    </w:rPr>
                  </w:pPr>
                  <w:r>
                    <w:rPr>
                      <w:b/>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1484" w:type="dxa"/>
                  <w:tcBorders>
                    <w:tl2br w:val="nil"/>
                    <w:tr2bl w:val="nil"/>
                  </w:tcBorders>
                  <w:shd w:val="clear" w:color="auto" w:fill="auto"/>
                  <w:vAlign w:val="center"/>
                </w:tcPr>
                <w:p>
                  <w:pPr>
                    <w:pStyle w:val="74"/>
                    <w:jc w:val="both"/>
                    <w:rPr>
                      <w:b/>
                      <w:color w:val="auto"/>
                      <w:szCs w:val="21"/>
                    </w:rPr>
                  </w:pPr>
                  <w:r>
                    <w:rPr>
                      <w:rFonts w:ascii="Times New Roman" w:hAnsi="Times New Roman" w:eastAsia="宋体" w:cs="Times New Roman"/>
                      <w:color w:val="auto"/>
                      <w:sz w:val="21"/>
                      <w:szCs w:val="21"/>
                    </w:rPr>
                    <w:t>《空气质量持续改善行动计划》</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国发〔2023〕24号</w:t>
                  </w:r>
                  <w:r>
                    <w:rPr>
                      <w:rFonts w:hint="eastAsia" w:ascii="Times New Roman" w:hAnsi="Times New Roman" w:eastAsia="宋体" w:cs="Times New Roman"/>
                      <w:color w:val="auto"/>
                      <w:sz w:val="21"/>
                      <w:szCs w:val="21"/>
                      <w:lang w:eastAsia="zh-CN"/>
                    </w:rPr>
                    <w:t>）</w:t>
                  </w:r>
                </w:p>
              </w:tc>
              <w:tc>
                <w:tcPr>
                  <w:tcW w:w="3309" w:type="dxa"/>
                  <w:tcBorders>
                    <w:tl2br w:val="nil"/>
                    <w:tr2bl w:val="nil"/>
                  </w:tcBorders>
                  <w:shd w:val="clear" w:color="auto" w:fill="auto"/>
                  <w:vAlign w:val="center"/>
                </w:tcPr>
                <w:p>
                  <w:pPr>
                    <w:snapToGrid w:val="0"/>
                    <w:rPr>
                      <w:rFonts w:hint="eastAsia" w:cs="Times New Roman"/>
                      <w:color w:val="auto"/>
                      <w:kern w:val="0"/>
                      <w:sz w:val="21"/>
                      <w:szCs w:val="21"/>
                      <w:lang w:val="en-US" w:eastAsia="zh-CN"/>
                    </w:rPr>
                  </w:pPr>
                  <w:r>
                    <w:rPr>
                      <w:rFonts w:hint="eastAsia" w:cs="Times New Roman"/>
                      <w:color w:val="auto"/>
                      <w:kern w:val="0"/>
                      <w:sz w:val="21"/>
                      <w:szCs w:val="21"/>
                      <w:lang w:val="en-US" w:eastAsia="zh-CN"/>
                    </w:rPr>
                    <w:t>实施城市空气质量达标管理。空气质量未达标的直辖市和设区的市编制实施大气环境质量限期达标规划，明确达标路线图及重点任务，并向社会公开。推进PM2.5和臭氧协同控制。2020年PM2.5浓度低于40微克/立方米的未达标城市“十四五”期间实现达标；其他未达标城市明确“十四五”空气质量改善阶段目标。已达标城市巩固改善空气质量。</w:t>
                  </w:r>
                </w:p>
                <w:p>
                  <w:pPr>
                    <w:snapToGrid w:val="0"/>
                    <w:rPr>
                      <w:b/>
                      <w:color w:val="auto"/>
                      <w:szCs w:val="21"/>
                    </w:rPr>
                  </w:pPr>
                  <w:r>
                    <w:rPr>
                      <w:rFonts w:hint="eastAsia" w:cs="Times New Roman"/>
                      <w:color w:val="auto"/>
                      <w:kern w:val="0"/>
                      <w:sz w:val="21"/>
                      <w:szCs w:val="21"/>
                      <w:lang w:val="en-US" w:eastAsia="zh-CN"/>
                    </w:rPr>
                    <w:t>完善重污染天气应对机制。建立健全省市县三级重污染天气应急预案体系，明确地方各级政府部门责任分工，规范重污染天气预警启动、响应、解除工作流程。优化重污染天气预警启动标准。完善重点行业企业绩效分级指标体系，规范企业绩效分级管理流程，鼓励开展绩效等级提升行动。结合排污许可制度，确保应急减排清单覆盖所有涉气企业。位于同一区域的城市要按照区域预警提示信息，依法依规同步采取应急响应措施。</w:t>
                  </w:r>
                </w:p>
              </w:tc>
              <w:tc>
                <w:tcPr>
                  <w:tcW w:w="2157" w:type="dxa"/>
                  <w:tcBorders>
                    <w:tl2br w:val="nil"/>
                    <w:tr2bl w:val="nil"/>
                  </w:tcBorders>
                  <w:shd w:val="clear" w:color="auto" w:fill="auto"/>
                  <w:vAlign w:val="center"/>
                </w:tcPr>
                <w:p>
                  <w:pPr>
                    <w:snapToGrid w:val="0"/>
                    <w:rPr>
                      <w:rFonts w:hint="eastAsia"/>
                      <w:b w:val="0"/>
                      <w:bCs/>
                      <w:color w:val="auto"/>
                      <w:szCs w:val="21"/>
                      <w:lang w:val="en-US" w:eastAsia="zh-CN"/>
                    </w:rPr>
                  </w:pPr>
                  <w:r>
                    <w:rPr>
                      <w:rFonts w:hint="eastAsia"/>
                      <w:b w:val="0"/>
                      <w:bCs/>
                      <w:color w:val="auto"/>
                      <w:szCs w:val="21"/>
                      <w:lang w:val="en-US" w:eastAsia="zh-CN"/>
                    </w:rPr>
                    <w:t>项目位于大气环境质量不达标区，本项目营运期无废气排放，不会对达州市大气环境质量限期达标规划造成不利影响。</w:t>
                  </w:r>
                </w:p>
                <w:p>
                  <w:pPr>
                    <w:snapToGrid w:val="0"/>
                    <w:rPr>
                      <w:rFonts w:hint="default" w:eastAsia="宋体"/>
                      <w:b/>
                      <w:color w:val="auto"/>
                      <w:szCs w:val="21"/>
                      <w:lang w:val="en-US" w:eastAsia="zh-CN"/>
                    </w:rPr>
                  </w:pPr>
                  <w:r>
                    <w:rPr>
                      <w:rFonts w:hint="eastAsia" w:cs="Times New Roman"/>
                      <w:color w:val="auto"/>
                      <w:kern w:val="0"/>
                      <w:sz w:val="21"/>
                      <w:szCs w:val="21"/>
                      <w:lang w:val="en-US" w:eastAsia="zh-CN"/>
                    </w:rPr>
                    <w:t>项目施工期已结束，施工期未收到扬尘污染投诉。本项目为抢险救灾工程，根据达州市重污染天气应急预案，本项目可在重污染天气实施，同时已按照要求落实了预案提出的“六必须、六不准”等扬尘防治要求。</w:t>
                  </w:r>
                </w:p>
              </w:tc>
              <w:tc>
                <w:tcPr>
                  <w:tcW w:w="771" w:type="dxa"/>
                  <w:tcBorders>
                    <w:tl2br w:val="nil"/>
                    <w:tr2bl w:val="nil"/>
                  </w:tcBorders>
                  <w:shd w:val="clear" w:color="auto" w:fill="auto"/>
                  <w:vAlign w:val="center"/>
                </w:tcPr>
                <w:p>
                  <w:pPr>
                    <w:snapToGrid w:val="0"/>
                    <w:jc w:val="center"/>
                    <w:rPr>
                      <w:b/>
                      <w:color w:val="auto"/>
                      <w:szCs w:val="21"/>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0" w:hRule="atLeast"/>
              </w:trPr>
              <w:tc>
                <w:tcPr>
                  <w:tcW w:w="1484" w:type="dxa"/>
                  <w:vMerge w:val="restart"/>
                  <w:tcBorders>
                    <w:tl2br w:val="nil"/>
                    <w:tr2bl w:val="nil"/>
                  </w:tcBorders>
                  <w:shd w:val="clear" w:color="auto" w:fill="auto"/>
                  <w:vAlign w:val="center"/>
                </w:tcPr>
                <w:p>
                  <w:pPr>
                    <w:pStyle w:val="74"/>
                    <w:jc w:val="both"/>
                    <w:rPr>
                      <w:rFonts w:ascii="Times New Roman" w:eastAsia="宋体"/>
                      <w:color w:val="auto"/>
                      <w:sz w:val="21"/>
                      <w:szCs w:val="21"/>
                    </w:rPr>
                  </w:pPr>
                  <w:r>
                    <w:rPr>
                      <w:rFonts w:ascii="Times New Roman" w:eastAsia="宋体"/>
                      <w:color w:val="auto"/>
                      <w:sz w:val="21"/>
                      <w:szCs w:val="21"/>
                    </w:rPr>
                    <w:t>《国务院关于印发大气污染防治行动计划的通知》（国发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13</w:t>
                  </w:r>
                  <w:r>
                    <w:rPr>
                      <w:rFonts w:hint="default" w:ascii="Times New Roman" w:hAnsi="Times New Roman" w:eastAsia="宋体" w:cs="Times New Roman"/>
                      <w:i w:val="0"/>
                      <w:iCs w:val="0"/>
                      <w:caps w:val="0"/>
                      <w:color w:val="000000"/>
                      <w:spacing w:val="0"/>
                      <w:sz w:val="21"/>
                      <w:szCs w:val="21"/>
                      <w:shd w:val="clear" w:fill="FFFFFF"/>
                    </w:rPr>
                    <w:t>〕</w:t>
                  </w:r>
                  <w:r>
                    <w:rPr>
                      <w:rFonts w:ascii="Times New Roman" w:eastAsia="宋体"/>
                      <w:color w:val="auto"/>
                      <w:sz w:val="21"/>
                      <w:szCs w:val="21"/>
                    </w:rPr>
                    <w:t>37号）</w:t>
                  </w:r>
                </w:p>
              </w:tc>
              <w:tc>
                <w:tcPr>
                  <w:tcW w:w="3309" w:type="dxa"/>
                  <w:tcBorders>
                    <w:tl2br w:val="nil"/>
                    <w:tr2bl w:val="nil"/>
                  </w:tcBorders>
                  <w:shd w:val="clear" w:color="auto" w:fill="auto"/>
                  <w:vAlign w:val="center"/>
                </w:tcPr>
                <w:p>
                  <w:pPr>
                    <w:pStyle w:val="74"/>
                    <w:jc w:val="both"/>
                    <w:rPr>
                      <w:rFonts w:ascii="Times New Roman" w:eastAsia="宋体"/>
                      <w:color w:val="auto"/>
                      <w:sz w:val="21"/>
                      <w:szCs w:val="21"/>
                    </w:rPr>
                  </w:pPr>
                  <w:r>
                    <w:rPr>
                      <w:rFonts w:hint="eastAsia" w:ascii="Times New Roman" w:eastAsia="宋体"/>
                      <w:color w:val="auto"/>
                      <w:sz w:val="21"/>
                      <w:szCs w:val="21"/>
                    </w:rPr>
                    <w:t>深化面源污染治理。综合整治城市扬尘。加强施工扬尘监管，积极推进绿色施工，建设工程施工现场应全封闭设置围挡墙，严禁敞开式作业，施工现场道路应进行地面硬化</w:t>
                  </w:r>
                </w:p>
              </w:tc>
              <w:tc>
                <w:tcPr>
                  <w:tcW w:w="2157" w:type="dxa"/>
                  <w:tcBorders>
                    <w:tl2br w:val="nil"/>
                    <w:tr2bl w:val="nil"/>
                  </w:tcBorders>
                  <w:shd w:val="clear" w:color="auto" w:fill="auto"/>
                  <w:vAlign w:val="center"/>
                </w:tcPr>
                <w:p>
                  <w:pPr>
                    <w:pStyle w:val="103"/>
                    <w:snapToGrid w:val="0"/>
                    <w:jc w:val="both"/>
                    <w:rPr>
                      <w:rFonts w:hint="default" w:eastAsia="宋体"/>
                      <w:color w:val="auto"/>
                      <w:sz w:val="21"/>
                      <w:szCs w:val="21"/>
                      <w:lang w:val="en-US" w:eastAsia="zh-CN"/>
                    </w:rPr>
                  </w:pPr>
                  <w:r>
                    <w:rPr>
                      <w:rFonts w:hint="eastAsia" w:cs="Times New Roman"/>
                      <w:color w:val="auto"/>
                      <w:kern w:val="0"/>
                      <w:sz w:val="21"/>
                      <w:szCs w:val="21"/>
                      <w:lang w:val="en-US" w:eastAsia="zh-CN"/>
                    </w:rPr>
                    <w:t>本项目营运期无废气排放，项目施工期已结束，施工期未收到扬尘污染投诉。本项目施工期</w:t>
                  </w:r>
                  <w:r>
                    <w:rPr>
                      <w:rFonts w:cs="Times New Roman"/>
                      <w:color w:val="auto"/>
                      <w:kern w:val="0"/>
                      <w:sz w:val="21"/>
                      <w:szCs w:val="21"/>
                    </w:rPr>
                    <w:t>落实</w:t>
                  </w:r>
                  <w:r>
                    <w:rPr>
                      <w:rFonts w:hint="eastAsia" w:cs="Times New Roman"/>
                      <w:color w:val="auto"/>
                      <w:kern w:val="0"/>
                      <w:sz w:val="21"/>
                      <w:szCs w:val="21"/>
                      <w:lang w:val="en-US" w:eastAsia="zh-CN"/>
                    </w:rPr>
                    <w:t>了扬尘污染防治相关措施，项目施工场地进行了封闭围挡</w:t>
                  </w:r>
                  <w:r>
                    <w:rPr>
                      <w:rFonts w:cs="Times New Roman"/>
                      <w:color w:val="auto"/>
                      <w:kern w:val="0"/>
                      <w:sz w:val="21"/>
                      <w:szCs w:val="21"/>
                    </w:rPr>
                    <w:t>，</w:t>
                  </w:r>
                  <w:r>
                    <w:rPr>
                      <w:rFonts w:hint="eastAsia" w:cs="Times New Roman"/>
                      <w:color w:val="auto"/>
                      <w:kern w:val="0"/>
                      <w:sz w:val="21"/>
                      <w:szCs w:val="21"/>
                      <w:lang w:val="en-US" w:eastAsia="zh-CN"/>
                    </w:rPr>
                    <w:t>施工现场道路进行了地面硬化。</w:t>
                  </w:r>
                </w:p>
              </w:tc>
              <w:tc>
                <w:tcPr>
                  <w:tcW w:w="771" w:type="dxa"/>
                  <w:vMerge w:val="restart"/>
                  <w:tcBorders>
                    <w:tl2br w:val="nil"/>
                    <w:tr2bl w:val="nil"/>
                  </w:tcBorders>
                  <w:shd w:val="clear" w:color="auto" w:fill="auto"/>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10" w:hRule="atLeast"/>
              </w:trPr>
              <w:tc>
                <w:tcPr>
                  <w:tcW w:w="1484" w:type="dxa"/>
                  <w:vMerge w:val="continue"/>
                  <w:tcBorders>
                    <w:tl2br w:val="nil"/>
                    <w:tr2bl w:val="nil"/>
                  </w:tcBorders>
                  <w:shd w:val="clear" w:color="auto" w:fill="auto"/>
                  <w:vAlign w:val="center"/>
                </w:tcPr>
                <w:p>
                  <w:pPr>
                    <w:pStyle w:val="74"/>
                    <w:jc w:val="both"/>
                    <w:rPr>
                      <w:color w:val="auto"/>
                    </w:rPr>
                  </w:pPr>
                </w:p>
              </w:tc>
              <w:tc>
                <w:tcPr>
                  <w:tcW w:w="3309" w:type="dxa"/>
                  <w:tcBorders>
                    <w:tl2br w:val="nil"/>
                    <w:tr2bl w:val="nil"/>
                  </w:tcBorders>
                  <w:shd w:val="clear" w:color="auto" w:fill="auto"/>
                  <w:vAlign w:val="center"/>
                </w:tcPr>
                <w:p>
                  <w:pPr>
                    <w:pStyle w:val="74"/>
                    <w:jc w:val="both"/>
                    <w:rPr>
                      <w:rFonts w:hint="eastAsia" w:ascii="Times New Roman" w:eastAsia="宋体"/>
                      <w:color w:val="auto"/>
                      <w:sz w:val="21"/>
                      <w:szCs w:val="21"/>
                    </w:rPr>
                  </w:pPr>
                  <w:r>
                    <w:rPr>
                      <w:rFonts w:hint="eastAsia" w:ascii="Times New Roman" w:eastAsia="宋体"/>
                      <w:color w:val="auto"/>
                      <w:sz w:val="21"/>
                      <w:szCs w:val="21"/>
                    </w:rPr>
                    <w:t>制定完善应急预案。空气质量未达到规定标准的城市应制定和完善重污染天气应急预案并向社会公布；要落实责任主体，明确应急组织机构及其职责、预警预报及响应程序、应急处置及保障措施等内容，按不同污染等级确定企业限产停产、机动车和扬尘管控、中小学校停课以及可行的气象干预等应对措施。开展重污染天气应急演练。</w:t>
                  </w:r>
                </w:p>
              </w:tc>
              <w:tc>
                <w:tcPr>
                  <w:tcW w:w="2157" w:type="dxa"/>
                  <w:tcBorders>
                    <w:tl2br w:val="nil"/>
                    <w:tr2bl w:val="nil"/>
                  </w:tcBorders>
                  <w:shd w:val="clear" w:color="auto" w:fill="auto"/>
                  <w:vAlign w:val="center"/>
                </w:tcPr>
                <w:p>
                  <w:pPr>
                    <w:pStyle w:val="74"/>
                    <w:jc w:val="both"/>
                    <w:rPr>
                      <w:rFonts w:hint="eastAsia" w:ascii="宋体" w:hAnsi="宋体" w:eastAsia="宋体" w:cs="宋体"/>
                      <w:i w:val="0"/>
                      <w:iCs w:val="0"/>
                      <w:caps w:val="0"/>
                      <w:color w:val="auto"/>
                      <w:spacing w:val="0"/>
                      <w:sz w:val="16"/>
                      <w:szCs w:val="16"/>
                      <w:shd w:val="clear" w:fill="FFFFFF"/>
                    </w:rPr>
                  </w:pPr>
                  <w:r>
                    <w:rPr>
                      <w:rFonts w:hint="eastAsia" w:cs="Times New Roman"/>
                      <w:color w:val="auto"/>
                      <w:kern w:val="0"/>
                      <w:sz w:val="21"/>
                      <w:szCs w:val="21"/>
                      <w:lang w:val="en-US" w:eastAsia="zh-CN"/>
                    </w:rPr>
                    <w:t>本项目施工期已结束，施工期未收到扬尘污染投诉。本项目为抢险救灾工程，根据达州市重污染天气应急预案，本项目可在重污染天气实施，同时已按照要求落实了预案提出的“六必须、六不准”等扬尘防治要求。</w:t>
                  </w:r>
                </w:p>
              </w:tc>
              <w:tc>
                <w:tcPr>
                  <w:tcW w:w="771" w:type="dxa"/>
                  <w:vMerge w:val="continue"/>
                  <w:tcBorders>
                    <w:tl2br w:val="nil"/>
                    <w:tr2bl w:val="nil"/>
                  </w:tcBorders>
                  <w:shd w:val="clear" w:color="auto" w:fill="auto"/>
                  <w:vAlign w:val="center"/>
                </w:tcPr>
                <w:p>
                  <w:pPr>
                    <w:pStyle w:val="74"/>
                    <w:jc w:val="both"/>
                    <w:rPr>
                      <w:rFonts w:hint="eastAsia" w:ascii="宋体" w:hAnsi="宋体" w:eastAsia="宋体" w:cs="宋体"/>
                      <w:i w:val="0"/>
                      <w:iCs w:val="0"/>
                      <w:caps w:val="0"/>
                      <w:color w:val="auto"/>
                      <w:spacing w:val="0"/>
                      <w:sz w:val="16"/>
                      <w:szCs w:val="16"/>
                      <w:shd w:val="clear" w:fill="FFFFFF"/>
                    </w:rPr>
                  </w:pPr>
                </w:p>
              </w:tc>
            </w:tr>
          </w:tbl>
          <w:p>
            <w:pPr>
              <w:adjustRightInd w:val="0"/>
              <w:snapToGrid w:val="0"/>
              <w:spacing w:before="120" w:beforeLines="50" w:line="360" w:lineRule="auto"/>
              <w:ind w:firstLine="422" w:firstLineChars="200"/>
              <w:rPr>
                <w:b/>
                <w:bCs/>
                <w:color w:val="auto"/>
                <w:sz w:val="21"/>
                <w:szCs w:val="21"/>
              </w:rPr>
            </w:pPr>
            <w:r>
              <w:rPr>
                <w:b/>
                <w:bCs/>
                <w:color w:val="auto"/>
                <w:sz w:val="21"/>
                <w:szCs w:val="21"/>
              </w:rPr>
              <w:t>综上所述，项</w:t>
            </w:r>
            <w:r>
              <w:rPr>
                <w:rFonts w:ascii="Times New Roman" w:hAnsi="Times New Roman" w:cs="Times New Roman"/>
                <w:b/>
                <w:bCs/>
                <w:color w:val="auto"/>
                <w:sz w:val="21"/>
                <w:szCs w:val="21"/>
              </w:rPr>
              <w:t>目符合《空气质量持续改善行动计划》</w:t>
            </w:r>
            <w:r>
              <w:rPr>
                <w:rFonts w:hint="eastAsia" w:ascii="Times New Roman" w:hAnsi="Times New Roman" w:cs="Times New Roman"/>
                <w:b/>
                <w:bCs/>
                <w:color w:val="auto"/>
                <w:sz w:val="21"/>
                <w:szCs w:val="21"/>
                <w:lang w:eastAsia="zh-CN"/>
              </w:rPr>
              <w:t>（</w:t>
            </w:r>
            <w:r>
              <w:rPr>
                <w:rFonts w:ascii="Times New Roman" w:hAnsi="Times New Roman" w:cs="Times New Roman"/>
                <w:b/>
                <w:bCs/>
                <w:color w:val="auto"/>
                <w:sz w:val="21"/>
                <w:szCs w:val="21"/>
              </w:rPr>
              <w:t>国发〔2023〕24号</w:t>
            </w:r>
            <w:r>
              <w:rPr>
                <w:rFonts w:hint="eastAsia" w:ascii="Times New Roman" w:hAnsi="Times New Roman" w:cs="Times New Roman"/>
                <w:b/>
                <w:bCs/>
                <w:color w:val="auto"/>
                <w:sz w:val="21"/>
                <w:szCs w:val="21"/>
                <w:lang w:eastAsia="zh-CN"/>
              </w:rPr>
              <w:t>）、</w:t>
            </w:r>
            <w:r>
              <w:rPr>
                <w:b/>
                <w:bCs/>
                <w:color w:val="auto"/>
                <w:sz w:val="21"/>
                <w:szCs w:val="21"/>
              </w:rPr>
              <w:t>《国务院关于印发大气污染防治行动计划的通知》（国发</w:t>
            </w:r>
            <w:r>
              <w:rPr>
                <w:rFonts w:hint="default" w:ascii="Times New Roman" w:hAnsi="Times New Roman" w:eastAsia="宋体" w:cs="Times New Roman"/>
                <w:i w:val="0"/>
                <w:iCs w:val="0"/>
                <w:caps w:val="0"/>
                <w:color w:val="000000"/>
                <w:spacing w:val="0"/>
                <w:sz w:val="21"/>
                <w:szCs w:val="21"/>
                <w:shd w:val="clear" w:fill="FFFFFF"/>
              </w:rPr>
              <w:t>〔20</w:t>
            </w:r>
            <w:r>
              <w:rPr>
                <w:rFonts w:hint="eastAsia" w:ascii="Times New Roman" w:hAnsi="Times New Roman" w:eastAsia="宋体" w:cs="Times New Roman"/>
                <w:i w:val="0"/>
                <w:iCs w:val="0"/>
                <w:caps w:val="0"/>
                <w:color w:val="000000"/>
                <w:spacing w:val="0"/>
                <w:sz w:val="21"/>
                <w:szCs w:val="21"/>
                <w:shd w:val="clear" w:fill="FFFFFF"/>
                <w:lang w:val="en-US" w:eastAsia="zh-CN"/>
              </w:rPr>
              <w:t>13</w:t>
            </w:r>
            <w:r>
              <w:rPr>
                <w:rFonts w:hint="default" w:ascii="Times New Roman" w:hAnsi="Times New Roman" w:eastAsia="宋体" w:cs="Times New Roman"/>
                <w:i w:val="0"/>
                <w:iCs w:val="0"/>
                <w:caps w:val="0"/>
                <w:color w:val="000000"/>
                <w:spacing w:val="0"/>
                <w:sz w:val="21"/>
                <w:szCs w:val="21"/>
                <w:shd w:val="clear" w:fill="FFFFFF"/>
              </w:rPr>
              <w:t>〕</w:t>
            </w:r>
            <w:r>
              <w:rPr>
                <w:b/>
                <w:bCs/>
                <w:color w:val="auto"/>
                <w:sz w:val="21"/>
                <w:szCs w:val="21"/>
              </w:rPr>
              <w:t>37号）的相关要求。</w:t>
            </w:r>
          </w:p>
          <w:p>
            <w:pPr>
              <w:adjustRightInd w:val="0"/>
              <w:snapToGrid w:val="0"/>
              <w:spacing w:line="360" w:lineRule="auto"/>
              <w:ind w:firstLine="422" w:firstLineChars="200"/>
              <w:rPr>
                <w:rFonts w:ascii="Times New Roman" w:hAnsi="Times New Roman" w:cs="Times New Roman"/>
                <w:b/>
                <w:bCs/>
                <w:color w:val="auto"/>
                <w:sz w:val="21"/>
                <w:szCs w:val="21"/>
              </w:rPr>
            </w:pPr>
            <w:r>
              <w:rPr>
                <w:rFonts w:hint="eastAsia" w:cs="Times New Roman"/>
                <w:b/>
                <w:bCs/>
                <w:color w:val="auto"/>
                <w:sz w:val="21"/>
                <w:szCs w:val="21"/>
                <w:lang w:val="en-US" w:eastAsia="zh-CN"/>
              </w:rPr>
              <w:t>6、</w:t>
            </w:r>
            <w:r>
              <w:rPr>
                <w:rFonts w:ascii="Times New Roman" w:hAnsi="Times New Roman" w:cs="Times New Roman"/>
                <w:b/>
                <w:bCs/>
                <w:color w:val="auto"/>
                <w:sz w:val="21"/>
                <w:szCs w:val="21"/>
              </w:rPr>
              <w:t>与《</w:t>
            </w:r>
            <w:r>
              <w:rPr>
                <w:rFonts w:hint="eastAsia" w:ascii="宋体" w:hAnsi="宋体" w:eastAsia="宋体" w:cs="宋体"/>
                <w:b/>
                <w:bCs/>
                <w:color w:val="auto"/>
                <w:sz w:val="21"/>
                <w:szCs w:val="21"/>
              </w:rPr>
              <w:t>“十四五”噪声污染</w:t>
            </w:r>
            <w:r>
              <w:rPr>
                <w:rFonts w:ascii="Times New Roman" w:hAnsi="Times New Roman" w:cs="Times New Roman"/>
                <w:b/>
                <w:bCs/>
                <w:color w:val="auto"/>
                <w:sz w:val="21"/>
                <w:szCs w:val="21"/>
              </w:rPr>
              <w:t>防治行动计划》的符合性</w:t>
            </w:r>
            <w:r>
              <w:rPr>
                <w:rFonts w:hint="eastAsia" w:ascii="Times New Roman" w:hAnsi="Times New Roman" w:cs="Times New Roman"/>
                <w:b/>
                <w:bCs/>
                <w:color w:val="auto"/>
                <w:sz w:val="21"/>
                <w:szCs w:val="21"/>
              </w:rPr>
              <w:t>分析</w:t>
            </w:r>
          </w:p>
          <w:p>
            <w:pPr>
              <w:adjustRightInd w:val="0"/>
              <w:snapToGrid w:val="0"/>
              <w:spacing w:line="360" w:lineRule="auto"/>
              <w:ind w:firstLine="420" w:firstLineChars="200"/>
              <w:rPr>
                <w:rFonts w:ascii="Times New Roman" w:hAnsi="Times New Roman" w:cs="Times New Roman"/>
                <w:color w:val="auto"/>
                <w:sz w:val="21"/>
                <w:szCs w:val="21"/>
              </w:rPr>
            </w:pPr>
            <w:r>
              <w:rPr>
                <w:rFonts w:hint="eastAsia" w:ascii="Times New Roman" w:hAnsi="Times New Roman" w:cs="Times New Roman"/>
                <w:color w:val="auto"/>
                <w:sz w:val="21"/>
                <w:szCs w:val="21"/>
              </w:rPr>
              <w:t>本项目与噪声污染防治行动计划符合性分析见下表。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Cs w:val="21"/>
                <w:lang w:bidi="ar"/>
              </w:rPr>
            </w:pPr>
            <w:r>
              <w:rPr>
                <w:rFonts w:hint="eastAsia"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1-11</w:t>
            </w:r>
            <w:r>
              <w:rPr>
                <w:rFonts w:hint="eastAsia" w:ascii="Times New Roman" w:hAnsi="Times New Roman" w:cs="Times New Roman"/>
                <w:b/>
                <w:color w:val="auto"/>
                <w:kern w:val="0"/>
                <w:szCs w:val="21"/>
                <w:lang w:val="en-US" w:eastAsia="zh-CN" w:bidi="ar"/>
              </w:rPr>
              <w:t xml:space="preserve"> </w:t>
            </w:r>
            <w:r>
              <w:rPr>
                <w:rFonts w:ascii="Times New Roman" w:hAnsi="Times New Roman" w:eastAsia="宋体" w:cs="Times New Roman"/>
                <w:b/>
                <w:color w:val="auto"/>
                <w:kern w:val="0"/>
                <w:szCs w:val="21"/>
                <w:lang w:bidi="ar"/>
              </w:rPr>
              <w:t xml:space="preserve"> 与《</w:t>
            </w:r>
            <w:r>
              <w:rPr>
                <w:rFonts w:hint="eastAsia" w:ascii="宋体" w:hAnsi="宋体" w:eastAsia="宋体" w:cs="宋体"/>
                <w:b/>
                <w:color w:val="auto"/>
                <w:kern w:val="0"/>
                <w:szCs w:val="21"/>
                <w:lang w:bidi="ar"/>
              </w:rPr>
              <w:t>“十四五”噪声</w:t>
            </w:r>
            <w:r>
              <w:rPr>
                <w:rFonts w:ascii="Times New Roman" w:hAnsi="Times New Roman" w:eastAsia="宋体" w:cs="Times New Roman"/>
                <w:b/>
                <w:color w:val="auto"/>
                <w:kern w:val="0"/>
                <w:szCs w:val="21"/>
                <w:lang w:bidi="ar"/>
              </w:rPr>
              <w:t>污染防治行动计划》</w:t>
            </w:r>
            <w:r>
              <w:rPr>
                <w:rFonts w:hint="eastAsia" w:ascii="Times New Roman" w:hAnsi="Times New Roman" w:eastAsia="宋体" w:cs="Times New Roman"/>
                <w:b/>
                <w:color w:val="auto"/>
                <w:kern w:val="0"/>
                <w:szCs w:val="21"/>
                <w:lang w:bidi="ar"/>
              </w:rPr>
              <w:t>符合性分析表</w:t>
            </w:r>
          </w:p>
          <w:tbl>
            <w:tblPr>
              <w:tblStyle w:val="28"/>
              <w:tblW w:w="76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48"/>
              <w:gridCol w:w="3033"/>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3" w:hRule="atLeast"/>
                <w:tblHeader/>
                <w:jc w:val="center"/>
              </w:trPr>
              <w:tc>
                <w:tcPr>
                  <w:tcW w:w="3948" w:type="dxa"/>
                  <w:tcBorders>
                    <w:tl2br w:val="nil"/>
                    <w:tr2bl w:val="nil"/>
                  </w:tcBorders>
                  <w:vAlign w:val="center"/>
                </w:tcPr>
                <w:p>
                  <w:pPr>
                    <w:widowControl/>
                    <w:adjustRightInd/>
                    <w:snapToGrid/>
                    <w:spacing w:line="240" w:lineRule="auto"/>
                    <w:ind w:firstLine="0" w:firstLineChars="0"/>
                    <w:jc w:val="center"/>
                    <w:rPr>
                      <w:rFonts w:cs="Times New Roman"/>
                      <w:b/>
                      <w:color w:val="auto"/>
                      <w:kern w:val="0"/>
                      <w:sz w:val="21"/>
                      <w:szCs w:val="21"/>
                      <w:lang w:eastAsia="en-US"/>
                    </w:rPr>
                  </w:pPr>
                  <w:r>
                    <w:rPr>
                      <w:rFonts w:cs="Times New Roman"/>
                      <w:b/>
                      <w:color w:val="auto"/>
                      <w:kern w:val="0"/>
                      <w:sz w:val="21"/>
                      <w:szCs w:val="21"/>
                      <w:lang w:eastAsia="en-US"/>
                    </w:rPr>
                    <w:t>相关要求</w:t>
                  </w:r>
                </w:p>
              </w:tc>
              <w:tc>
                <w:tcPr>
                  <w:tcW w:w="3033" w:type="dxa"/>
                  <w:tcBorders>
                    <w:tl2br w:val="nil"/>
                    <w:tr2bl w:val="nil"/>
                  </w:tcBorders>
                  <w:vAlign w:val="center"/>
                </w:tcPr>
                <w:p>
                  <w:pPr>
                    <w:widowControl/>
                    <w:adjustRightInd/>
                    <w:snapToGrid/>
                    <w:spacing w:line="240" w:lineRule="auto"/>
                    <w:ind w:firstLine="0" w:firstLineChars="0"/>
                    <w:jc w:val="center"/>
                    <w:rPr>
                      <w:rFonts w:cs="Times New Roman"/>
                      <w:b/>
                      <w:color w:val="auto"/>
                      <w:kern w:val="0"/>
                      <w:sz w:val="21"/>
                      <w:szCs w:val="21"/>
                      <w:lang w:eastAsia="en-US"/>
                    </w:rPr>
                  </w:pPr>
                  <w:r>
                    <w:rPr>
                      <w:rFonts w:cs="Times New Roman"/>
                      <w:b/>
                      <w:color w:val="auto"/>
                      <w:kern w:val="0"/>
                      <w:sz w:val="21"/>
                      <w:szCs w:val="21"/>
                      <w:lang w:eastAsia="en-US"/>
                    </w:rPr>
                    <w:t>本项目情况</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b/>
                      <w:color w:val="auto"/>
                      <w:kern w:val="0"/>
                      <w:sz w:val="21"/>
                      <w:szCs w:val="21"/>
                      <w:lang w:eastAsia="en-US"/>
                    </w:rPr>
                  </w:pPr>
                  <w:r>
                    <w:rPr>
                      <w:rFonts w:cs="Times New Roman"/>
                      <w:b/>
                      <w:color w:val="auto"/>
                      <w:kern w:val="0"/>
                      <w:sz w:val="21"/>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8" w:hRule="atLeast"/>
                <w:jc w:val="center"/>
              </w:trPr>
              <w:tc>
                <w:tcPr>
                  <w:tcW w:w="3948" w:type="dxa"/>
                  <w:tcBorders>
                    <w:tl2br w:val="nil"/>
                    <w:tr2bl w:val="nil"/>
                  </w:tcBorders>
                  <w:vAlign w:val="center"/>
                </w:tcPr>
                <w:p>
                  <w:pPr>
                    <w:widowControl/>
                    <w:adjustRightInd/>
                    <w:snapToGrid/>
                    <w:spacing w:line="240" w:lineRule="auto"/>
                    <w:ind w:firstLine="0" w:firstLineChars="0"/>
                    <w:jc w:val="left"/>
                    <w:rPr>
                      <w:rFonts w:cs="Times New Roman"/>
                      <w:color w:val="auto"/>
                      <w:kern w:val="0"/>
                      <w:sz w:val="21"/>
                      <w:szCs w:val="21"/>
                    </w:rPr>
                  </w:pPr>
                  <w:r>
                    <w:rPr>
                      <w:rFonts w:cs="Times New Roman"/>
                      <w:color w:val="auto"/>
                      <w:kern w:val="0"/>
                      <w:sz w:val="21"/>
                      <w:szCs w:val="21"/>
                    </w:rPr>
                    <w:t>严格落实噪声污染防治要求。制定修改相关规划、建设对环境有影响的项目时，应依法开展环评，对可能产生噪声与振动的影响进行分析、预测和评估，积极采取噪声污染防治对策措施。建设项目的噪声污染防治设施应当与主体工程同时设计、同时施工、同时投产使用。督促建设单位依法开展竣工环境保护验收，加大事中事后监管力度，确保各项措施落地见效。</w:t>
                  </w:r>
                </w:p>
              </w:tc>
              <w:tc>
                <w:tcPr>
                  <w:tcW w:w="3033" w:type="dxa"/>
                  <w:tcBorders>
                    <w:tl2br w:val="nil"/>
                    <w:tr2bl w:val="nil"/>
                  </w:tcBorders>
                  <w:vAlign w:val="center"/>
                </w:tcPr>
                <w:p>
                  <w:pPr>
                    <w:widowControl/>
                    <w:adjustRightInd/>
                    <w:snapToGrid/>
                    <w:spacing w:line="240" w:lineRule="auto"/>
                    <w:ind w:firstLine="0" w:firstLineChars="0"/>
                    <w:jc w:val="left"/>
                    <w:rPr>
                      <w:rFonts w:hint="eastAsia" w:eastAsia="宋体" w:cs="Times New Roman"/>
                      <w:color w:val="auto"/>
                      <w:kern w:val="0"/>
                      <w:sz w:val="21"/>
                      <w:szCs w:val="21"/>
                      <w:lang w:eastAsia="zh-CN"/>
                    </w:rPr>
                  </w:pPr>
                  <w:r>
                    <w:rPr>
                      <w:rFonts w:cs="Times New Roman"/>
                      <w:color w:val="auto"/>
                      <w:kern w:val="0"/>
                      <w:sz w:val="21"/>
                      <w:szCs w:val="21"/>
                    </w:rPr>
                    <w:t>本项目</w:t>
                  </w:r>
                  <w:r>
                    <w:rPr>
                      <w:rFonts w:hint="eastAsia" w:cs="Times New Roman"/>
                      <w:color w:val="auto"/>
                      <w:kern w:val="0"/>
                      <w:sz w:val="21"/>
                      <w:szCs w:val="21"/>
                      <w:lang w:val="en-US" w:eastAsia="zh-CN"/>
                    </w:rPr>
                    <w:t>现</w:t>
                  </w:r>
                  <w:r>
                    <w:rPr>
                      <w:rFonts w:cs="Times New Roman"/>
                      <w:color w:val="auto"/>
                      <w:kern w:val="0"/>
                      <w:sz w:val="21"/>
                      <w:szCs w:val="21"/>
                    </w:rPr>
                    <w:t>依法开展环评，对可能产生的噪声进行了影响预测与评估，并提出了相应的防治措施。建设单位在建设时</w:t>
                  </w:r>
                  <w:r>
                    <w:rPr>
                      <w:rFonts w:hint="eastAsia" w:cs="Times New Roman"/>
                      <w:color w:val="auto"/>
                      <w:kern w:val="0"/>
                      <w:sz w:val="21"/>
                      <w:szCs w:val="21"/>
                      <w:lang w:val="en-US" w:eastAsia="zh-CN"/>
                    </w:rPr>
                    <w:t>已落实</w:t>
                  </w:r>
                  <w:r>
                    <w:rPr>
                      <w:rFonts w:cs="Times New Roman"/>
                      <w:color w:val="auto"/>
                      <w:kern w:val="0"/>
                      <w:sz w:val="21"/>
                      <w:szCs w:val="21"/>
                    </w:rPr>
                    <w:t>噪声污染防治设施应当与主体工程同时设计、同时施工、同时投产使用的要求，</w:t>
                  </w:r>
                  <w:r>
                    <w:rPr>
                      <w:rFonts w:hint="eastAsia" w:cs="Times New Roman"/>
                      <w:color w:val="auto"/>
                      <w:kern w:val="0"/>
                      <w:sz w:val="21"/>
                      <w:szCs w:val="21"/>
                      <w:lang w:val="en-US" w:eastAsia="zh-CN"/>
                    </w:rPr>
                    <w:t>本项目后期将依法开展竣工环境保护验收，同时</w:t>
                  </w:r>
                  <w:r>
                    <w:rPr>
                      <w:rFonts w:cs="Times New Roman"/>
                      <w:color w:val="auto"/>
                      <w:kern w:val="0"/>
                      <w:sz w:val="21"/>
                      <w:szCs w:val="21"/>
                    </w:rPr>
                    <w:t>在运营期将开展定期监测，确保措施落地见效</w:t>
                  </w:r>
                  <w:r>
                    <w:rPr>
                      <w:rFonts w:hint="eastAsia" w:cs="Times New Roman"/>
                      <w:color w:val="auto"/>
                      <w:kern w:val="0"/>
                      <w:sz w:val="21"/>
                      <w:szCs w:val="21"/>
                      <w:lang w:eastAsia="zh-CN"/>
                    </w:rPr>
                    <w:t>。</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color w:val="auto"/>
                      <w:kern w:val="0"/>
                      <w:sz w:val="21"/>
                      <w:szCs w:val="21"/>
                      <w:lang w:eastAsia="en-US"/>
                    </w:rPr>
                  </w:pPr>
                  <w:r>
                    <w:rPr>
                      <w:rFonts w:cs="Times New Roman"/>
                      <w:color w:val="auto"/>
                      <w:kern w:val="0"/>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9" w:hRule="atLeast"/>
                <w:jc w:val="center"/>
              </w:trPr>
              <w:tc>
                <w:tcPr>
                  <w:tcW w:w="3948" w:type="dxa"/>
                  <w:tcBorders>
                    <w:tl2br w:val="nil"/>
                    <w:tr2bl w:val="nil"/>
                  </w:tcBorders>
                  <w:vAlign w:val="center"/>
                </w:tcPr>
                <w:p>
                  <w:pPr>
                    <w:widowControl/>
                    <w:adjustRightInd/>
                    <w:snapToGrid/>
                    <w:spacing w:line="240" w:lineRule="auto"/>
                    <w:ind w:firstLine="0" w:firstLineChars="0"/>
                    <w:jc w:val="left"/>
                    <w:rPr>
                      <w:rFonts w:cs="Times New Roman"/>
                      <w:color w:val="auto"/>
                      <w:kern w:val="0"/>
                      <w:sz w:val="21"/>
                      <w:szCs w:val="21"/>
                    </w:rPr>
                  </w:pPr>
                  <w:r>
                    <w:rPr>
                      <w:rFonts w:cs="Times New Roman"/>
                      <w:color w:val="auto"/>
                      <w:kern w:val="0"/>
                      <w:sz w:val="21"/>
                      <w:szCs w:val="21"/>
                    </w:rPr>
                    <w:t>推广低噪声施工设备。制定房屋建筑和市政基础设施工程禁止和限制使用技术目录，限制或禁用易产生噪声污染的落后施工工艺和设备。</w:t>
                  </w:r>
                </w:p>
              </w:tc>
              <w:tc>
                <w:tcPr>
                  <w:tcW w:w="3033" w:type="dxa"/>
                  <w:tcBorders>
                    <w:tl2br w:val="nil"/>
                    <w:tr2bl w:val="nil"/>
                  </w:tcBorders>
                  <w:vAlign w:val="center"/>
                </w:tcPr>
                <w:p>
                  <w:pPr>
                    <w:widowControl/>
                    <w:adjustRightInd/>
                    <w:snapToGrid/>
                    <w:spacing w:line="240" w:lineRule="auto"/>
                    <w:ind w:firstLine="0" w:firstLineChars="0"/>
                    <w:jc w:val="left"/>
                    <w:rPr>
                      <w:rFonts w:hint="eastAsia" w:eastAsia="宋体" w:cs="Times New Roman"/>
                      <w:color w:val="auto"/>
                      <w:kern w:val="0"/>
                      <w:sz w:val="21"/>
                      <w:szCs w:val="21"/>
                      <w:lang w:eastAsia="zh-CN"/>
                    </w:rPr>
                  </w:pPr>
                  <w:r>
                    <w:rPr>
                      <w:rFonts w:cs="Times New Roman"/>
                      <w:color w:val="auto"/>
                      <w:kern w:val="0"/>
                      <w:sz w:val="21"/>
                      <w:szCs w:val="21"/>
                    </w:rPr>
                    <w:t>本项目</w:t>
                  </w:r>
                  <w:r>
                    <w:rPr>
                      <w:rFonts w:hint="eastAsia" w:cs="Times New Roman"/>
                      <w:color w:val="auto"/>
                      <w:kern w:val="0"/>
                      <w:sz w:val="21"/>
                      <w:szCs w:val="21"/>
                      <w:lang w:val="en-US" w:eastAsia="zh-CN"/>
                    </w:rPr>
                    <w:t>施工期采用了低噪声设备，项目</w:t>
                  </w:r>
                  <w:r>
                    <w:rPr>
                      <w:rFonts w:cs="Times New Roman"/>
                      <w:color w:val="auto"/>
                      <w:kern w:val="0"/>
                      <w:sz w:val="21"/>
                      <w:szCs w:val="21"/>
                    </w:rPr>
                    <w:t>所使用的设备及施工工艺均不属于限制或禁用易产生噪声污染的落后施工工艺和设备</w:t>
                  </w:r>
                  <w:r>
                    <w:rPr>
                      <w:rFonts w:hint="eastAsia" w:cs="Times New Roman"/>
                      <w:color w:val="auto"/>
                      <w:kern w:val="0"/>
                      <w:sz w:val="21"/>
                      <w:szCs w:val="21"/>
                      <w:lang w:eastAsia="zh-CN"/>
                    </w:rPr>
                    <w:t>。</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color w:val="auto"/>
                      <w:kern w:val="0"/>
                      <w:sz w:val="21"/>
                      <w:szCs w:val="21"/>
                      <w:lang w:eastAsia="en-US"/>
                    </w:rPr>
                  </w:pPr>
                  <w:r>
                    <w:rPr>
                      <w:rFonts w:cs="Times New Roman"/>
                      <w:color w:val="auto"/>
                      <w:kern w:val="0"/>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88" w:hRule="atLeast"/>
                <w:jc w:val="center"/>
              </w:trPr>
              <w:tc>
                <w:tcPr>
                  <w:tcW w:w="3948" w:type="dxa"/>
                  <w:tcBorders>
                    <w:tl2br w:val="nil"/>
                    <w:tr2bl w:val="nil"/>
                  </w:tcBorders>
                  <w:vAlign w:val="center"/>
                </w:tcPr>
                <w:p>
                  <w:pPr>
                    <w:widowControl/>
                    <w:adjustRightInd/>
                    <w:snapToGrid/>
                    <w:spacing w:line="240" w:lineRule="auto"/>
                    <w:ind w:firstLine="0" w:firstLineChars="0"/>
                    <w:jc w:val="left"/>
                    <w:rPr>
                      <w:rFonts w:cs="Times New Roman"/>
                      <w:color w:val="auto"/>
                      <w:kern w:val="0"/>
                      <w:sz w:val="21"/>
                      <w:szCs w:val="21"/>
                    </w:rPr>
                  </w:pPr>
                  <w:r>
                    <w:rPr>
                      <w:rFonts w:cs="Times New Roman"/>
                      <w:color w:val="auto"/>
                      <w:kern w:val="0"/>
                      <w:sz w:val="21"/>
                      <w:szCs w:val="21"/>
                    </w:rPr>
                    <w:t>落实管控责任。修订建设工程施工合同示范文本，明确建设单位、施工单位噪声污染防治责任和任务措施等要求。施工单位编制并落实噪声污染防治工作方案，采取有效隔声降噪设备、设施或施工工艺。鼓励噪声污染防治示范工地分类分级管理，探索从评优评先、资金补贴等方面，推动建筑施工企业加强噪声污染防治。</w:t>
                  </w:r>
                </w:p>
              </w:tc>
              <w:tc>
                <w:tcPr>
                  <w:tcW w:w="3033" w:type="dxa"/>
                  <w:tcBorders>
                    <w:tl2br w:val="nil"/>
                    <w:tr2bl w:val="nil"/>
                  </w:tcBorders>
                  <w:vAlign w:val="center"/>
                </w:tcPr>
                <w:p>
                  <w:pPr>
                    <w:widowControl/>
                    <w:adjustRightInd/>
                    <w:snapToGrid/>
                    <w:spacing w:line="240" w:lineRule="auto"/>
                    <w:ind w:firstLine="0" w:firstLineChars="0"/>
                    <w:jc w:val="left"/>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本项目施工期已结束，施工期</w:t>
                  </w:r>
                  <w:r>
                    <w:rPr>
                      <w:rFonts w:cs="Times New Roman"/>
                      <w:color w:val="auto"/>
                      <w:kern w:val="0"/>
                      <w:sz w:val="21"/>
                      <w:szCs w:val="21"/>
                    </w:rPr>
                    <w:t>落实</w:t>
                  </w:r>
                  <w:r>
                    <w:rPr>
                      <w:rFonts w:hint="eastAsia" w:cs="Times New Roman"/>
                      <w:color w:val="auto"/>
                      <w:kern w:val="0"/>
                      <w:sz w:val="21"/>
                      <w:szCs w:val="21"/>
                      <w:lang w:val="en-US" w:eastAsia="zh-CN"/>
                    </w:rPr>
                    <w:t>了</w:t>
                  </w:r>
                  <w:r>
                    <w:rPr>
                      <w:rFonts w:cs="Times New Roman"/>
                      <w:color w:val="auto"/>
                      <w:kern w:val="0"/>
                      <w:sz w:val="21"/>
                      <w:szCs w:val="21"/>
                    </w:rPr>
                    <w:t>噪声污染防治工作方案，采取</w:t>
                  </w:r>
                  <w:r>
                    <w:rPr>
                      <w:rFonts w:hint="eastAsia" w:cs="Times New Roman"/>
                      <w:color w:val="auto"/>
                      <w:kern w:val="0"/>
                      <w:sz w:val="21"/>
                      <w:szCs w:val="21"/>
                      <w:lang w:val="en-US" w:eastAsia="zh-CN"/>
                    </w:rPr>
                    <w:t>了</w:t>
                  </w:r>
                  <w:r>
                    <w:rPr>
                      <w:rFonts w:cs="Times New Roman"/>
                      <w:color w:val="auto"/>
                      <w:kern w:val="0"/>
                      <w:sz w:val="21"/>
                      <w:szCs w:val="21"/>
                    </w:rPr>
                    <w:t>有效隔声降噪设备、设施或施工工艺，</w:t>
                  </w:r>
                  <w:r>
                    <w:rPr>
                      <w:rFonts w:hint="eastAsia" w:cs="Times New Roman"/>
                      <w:color w:val="auto"/>
                      <w:kern w:val="0"/>
                      <w:sz w:val="21"/>
                      <w:szCs w:val="21"/>
                      <w:lang w:val="en-US" w:eastAsia="zh-CN"/>
                    </w:rPr>
                    <w:t>项目施工期未发生</w:t>
                  </w:r>
                  <w:r>
                    <w:rPr>
                      <w:rFonts w:cs="Times New Roman"/>
                      <w:color w:val="auto"/>
                      <w:kern w:val="0"/>
                      <w:sz w:val="21"/>
                      <w:szCs w:val="21"/>
                    </w:rPr>
                    <w:t>施工扰民</w:t>
                  </w:r>
                  <w:r>
                    <w:rPr>
                      <w:rFonts w:hint="eastAsia" w:cs="Times New Roman"/>
                      <w:color w:val="auto"/>
                      <w:kern w:val="0"/>
                      <w:sz w:val="21"/>
                      <w:szCs w:val="21"/>
                      <w:lang w:val="en-US" w:eastAsia="zh-CN"/>
                    </w:rPr>
                    <w:t>情况，施工期未收到噪声污染投诉。</w:t>
                  </w:r>
                </w:p>
              </w:tc>
              <w:tc>
                <w:tcPr>
                  <w:tcW w:w="708" w:type="dxa"/>
                  <w:tcBorders>
                    <w:tl2br w:val="nil"/>
                    <w:tr2bl w:val="nil"/>
                  </w:tcBorders>
                  <w:vAlign w:val="center"/>
                </w:tcPr>
                <w:p>
                  <w:pPr>
                    <w:widowControl/>
                    <w:adjustRightInd/>
                    <w:snapToGrid/>
                    <w:spacing w:line="240" w:lineRule="auto"/>
                    <w:ind w:firstLine="0" w:firstLineChars="0"/>
                    <w:jc w:val="center"/>
                    <w:rPr>
                      <w:rFonts w:cs="Times New Roman"/>
                      <w:color w:val="auto"/>
                      <w:kern w:val="0"/>
                      <w:sz w:val="21"/>
                      <w:szCs w:val="21"/>
                      <w:lang w:eastAsia="en-US"/>
                    </w:rPr>
                  </w:pPr>
                  <w:r>
                    <w:rPr>
                      <w:rFonts w:cs="Times New Roman"/>
                      <w:color w:val="auto"/>
                      <w:kern w:val="0"/>
                      <w:sz w:val="21"/>
                      <w:szCs w:val="21"/>
                      <w:lang w:eastAsia="en-US"/>
                    </w:rPr>
                    <w:t>符合</w:t>
                  </w:r>
                </w:p>
              </w:tc>
            </w:tr>
          </w:tbl>
          <w:p>
            <w:pPr>
              <w:adjustRightInd w:val="0"/>
              <w:snapToGrid w:val="0"/>
              <w:spacing w:line="360" w:lineRule="auto"/>
              <w:ind w:firstLine="420" w:firstLineChars="200"/>
              <w:rPr>
                <w:rFonts w:hint="eastAsia" w:ascii="Times New Roman" w:hAnsi="Times New Roman" w:eastAsia="宋体" w:cs="Times New Roman"/>
                <w:b/>
                <w:bCs/>
                <w:snapToGrid/>
                <w:color w:val="auto"/>
                <w:spacing w:val="0"/>
                <w:w w:val="100"/>
                <w:kern w:val="21"/>
                <w:position w:val="0"/>
                <w:sz w:val="21"/>
                <w:szCs w:val="21"/>
                <w:lang w:val="en-US" w:eastAsia="zh-CN" w:bidi="ar"/>
              </w:rPr>
            </w:pPr>
            <w:r>
              <w:rPr>
                <w:rFonts w:hint="eastAsia" w:ascii="Times New Roman" w:hAnsi="Times New Roman" w:cs="Times New Roman"/>
                <w:color w:val="auto"/>
                <w:sz w:val="21"/>
                <w:szCs w:val="21"/>
              </w:rPr>
              <w:t>综上所述，本项目的建设与《“十四五”噪声污染防治行动计划》相符。</w:t>
            </w:r>
          </w:p>
          <w:p>
            <w:pPr>
              <w:pStyle w:val="108"/>
              <w:ind w:firstLine="482"/>
              <w:rPr>
                <w:rFonts w:hint="eastAsia" w:eastAsia="宋体" w:cs="Times New Roman"/>
                <w:b/>
                <w:bCs/>
                <w:color w:val="auto"/>
                <w:sz w:val="21"/>
                <w:szCs w:val="16"/>
                <w:lang w:val="en-US" w:eastAsia="zh-CN"/>
              </w:rPr>
            </w:pPr>
            <w:r>
              <w:rPr>
                <w:rFonts w:hint="eastAsia" w:cs="Times New Roman"/>
                <w:b/>
                <w:bCs/>
                <w:color w:val="auto"/>
                <w:sz w:val="21"/>
                <w:szCs w:val="16"/>
                <w:lang w:val="en-US" w:eastAsia="zh-CN"/>
              </w:rPr>
              <w:t>7</w:t>
            </w:r>
            <w:r>
              <w:rPr>
                <w:rFonts w:cs="Times New Roman"/>
                <w:b/>
                <w:bCs/>
                <w:color w:val="auto"/>
                <w:sz w:val="21"/>
                <w:szCs w:val="16"/>
              </w:rPr>
              <w:t>、</w:t>
            </w:r>
            <w:r>
              <w:rPr>
                <w:rFonts w:hint="eastAsia" w:cs="Times New Roman"/>
                <w:b/>
                <w:bCs/>
                <w:color w:val="auto"/>
                <w:sz w:val="21"/>
                <w:szCs w:val="16"/>
                <w:lang w:val="en-US" w:eastAsia="zh-CN"/>
              </w:rPr>
              <w:t>本项目涉及</w:t>
            </w:r>
            <w:r>
              <w:rPr>
                <w:rFonts w:cs="Times New Roman"/>
                <w:b/>
                <w:bCs/>
                <w:color w:val="auto"/>
                <w:sz w:val="21"/>
                <w:szCs w:val="16"/>
              </w:rPr>
              <w:t>水源地</w:t>
            </w:r>
            <w:r>
              <w:rPr>
                <w:rFonts w:hint="eastAsia" w:cs="Times New Roman"/>
                <w:b/>
                <w:bCs/>
                <w:color w:val="auto"/>
                <w:sz w:val="21"/>
                <w:szCs w:val="16"/>
                <w:lang w:val="en-US" w:eastAsia="zh-CN"/>
              </w:rPr>
              <w:t>概况</w:t>
            </w:r>
          </w:p>
          <w:p>
            <w:pPr>
              <w:pStyle w:val="174"/>
              <w:keepNext w:val="0"/>
              <w:keepLines w:val="0"/>
              <w:pageBreakBefore w:val="0"/>
              <w:kinsoku/>
              <w:wordWrap/>
              <w:overflowPunct/>
              <w:topLinePunct w:val="0"/>
              <w:bidi w:val="0"/>
              <w:adjustRightInd/>
              <w:snapToGrid/>
              <w:spacing w:line="360" w:lineRule="auto"/>
              <w:ind w:right="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乌木滩水库概况</w:t>
            </w:r>
          </w:p>
          <w:p>
            <w:pPr>
              <w:pStyle w:val="174"/>
              <w:keepNext w:val="0"/>
              <w:keepLines w:val="0"/>
              <w:pageBreakBefore w:val="0"/>
              <w:kinsoku/>
              <w:wordWrap/>
              <w:overflowPunct/>
              <w:topLinePunct w:val="0"/>
              <w:bidi w:val="0"/>
              <w:adjustRightInd/>
              <w:snapToGrid/>
              <w:spacing w:line="360" w:lineRule="auto"/>
              <w:ind w:right="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乌木滩水库始建于1958年9月，建成于1960年3月，现已运行50余年。</w:t>
            </w:r>
            <w:bookmarkStart w:id="6" w:name="OLE_LINK1"/>
            <w:r>
              <w:rPr>
                <w:rFonts w:hint="default" w:ascii="Times New Roman" w:hAnsi="Times New Roman" w:cs="Times New Roman"/>
                <w:color w:val="auto"/>
                <w:sz w:val="21"/>
                <w:szCs w:val="21"/>
              </w:rPr>
              <w:t>乌木滩水库位于大竹县城东北7.0公里，坝址在东柳河上游乌木滩狭口处。水库坝址以上流域面积大部分是喀斯特地区，主河槽沿河切割较深，从源头黄泥扁开始向西流，连续下跌后入山脚月华公社浅丘区，平行山脉南北走向，在乌木滩处全长18.41km，平均坡降5.36%，集雨面积70km²，近似长方形。</w:t>
            </w:r>
          </w:p>
          <w:bookmarkEnd w:id="6"/>
          <w:p>
            <w:pPr>
              <w:keepNext w:val="0"/>
              <w:keepLines w:val="0"/>
              <w:pageBreakBefore w:val="0"/>
              <w:kinsoku/>
              <w:wordWrap/>
              <w:overflowPunct/>
              <w:topLinePunct w:val="0"/>
              <w:bidi w:val="0"/>
              <w:adjustRightInd/>
              <w:snapToGrid/>
              <w:spacing w:line="360" w:lineRule="auto"/>
              <w:ind w:right="0" w:firstLine="422" w:firstLineChars="200"/>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2</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径流特性</w:t>
            </w:r>
          </w:p>
          <w:p>
            <w:pPr>
              <w:keepNext w:val="0"/>
              <w:keepLines w:val="0"/>
              <w:pageBreakBefore w:val="0"/>
              <w:kinsoku/>
              <w:wordWrap/>
              <w:overflowPunct/>
              <w:topLinePunct w:val="0"/>
              <w:bidi w:val="0"/>
              <w:adjustRightInd/>
              <w:snapToGrid/>
              <w:spacing w:line="360" w:lineRule="auto"/>
              <w:ind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乌木滩水库枢纽径流统计参数及</w:t>
            </w:r>
            <w:r>
              <w:rPr>
                <w:rFonts w:hint="eastAsia" w:ascii="Times New Roman" w:hAnsi="Times New Roman" w:cs="Times New Roman"/>
                <w:color w:val="auto"/>
                <w:sz w:val="21"/>
                <w:szCs w:val="21"/>
                <w:lang w:val="en-US" w:eastAsia="zh-CN"/>
              </w:rPr>
              <w:t>径流量见下表</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 xml:space="preserve">1-12 </w:t>
            </w:r>
            <w:r>
              <w:rPr>
                <w:rFonts w:hint="default" w:ascii="Times New Roman" w:hAnsi="Times New Roman" w:eastAsia="宋体" w:cs="Times New Roman"/>
                <w:b/>
                <w:color w:val="auto"/>
                <w:kern w:val="0"/>
                <w:szCs w:val="21"/>
                <w:lang w:bidi="ar"/>
              </w:rPr>
              <w:t>乌木滩水库坝址设计径流成果表</w:t>
            </w:r>
          </w:p>
          <w:tbl>
            <w:tblPr>
              <w:tblStyle w:val="28"/>
              <w:tblW w:w="772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26"/>
              <w:gridCol w:w="598"/>
              <w:gridCol w:w="510"/>
              <w:gridCol w:w="599"/>
              <w:gridCol w:w="589"/>
              <w:gridCol w:w="619"/>
              <w:gridCol w:w="656"/>
              <w:gridCol w:w="626"/>
              <w:gridCol w:w="633"/>
              <w:gridCol w:w="687"/>
              <w:gridCol w:w="687"/>
              <w:gridCol w:w="6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826" w:type="dxa"/>
                  <w:vMerge w:val="restart"/>
                  <w:tcBorders>
                    <w:top w:val="single" w:color="auto" w:sz="4" w:space="0"/>
                    <w:left w:val="single" w:color="auto" w:sz="0"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时段</w:t>
                  </w:r>
                </w:p>
              </w:tc>
              <w:tc>
                <w:tcPr>
                  <w:tcW w:w="598" w:type="dxa"/>
                  <w:vMerge w:val="restart"/>
                  <w:tcBorders>
                    <w:top w:val="single" w:color="auto" w:sz="4" w:space="0"/>
                    <w:left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均值</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w:t>
                  </w:r>
                </w:p>
              </w:tc>
              <w:tc>
                <w:tcPr>
                  <w:tcW w:w="510" w:type="dxa"/>
                  <w:vMerge w:val="restar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Cv</w:t>
                  </w:r>
                </w:p>
              </w:tc>
              <w:tc>
                <w:tcPr>
                  <w:tcW w:w="599" w:type="dxa"/>
                  <w:vMerge w:val="restar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Cs/Cv</w:t>
                  </w:r>
                </w:p>
              </w:tc>
              <w:tc>
                <w:tcPr>
                  <w:tcW w:w="5195" w:type="dxa"/>
                  <w:gridSpan w:val="8"/>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各频率设计值（m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826" w:type="dxa"/>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color w:val="auto"/>
                      <w:kern w:val="0"/>
                      <w:sz w:val="18"/>
                      <w:szCs w:val="18"/>
                    </w:rPr>
                  </w:pPr>
                </w:p>
              </w:tc>
              <w:tc>
                <w:tcPr>
                  <w:tcW w:w="598" w:type="dxa"/>
                  <w:vMerge w:val="continue"/>
                  <w:tcBorders>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p>
              </w:tc>
              <w:tc>
                <w:tcPr>
                  <w:tcW w:w="510" w:type="dxa"/>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color w:val="auto"/>
                      <w:kern w:val="0"/>
                      <w:sz w:val="18"/>
                      <w:szCs w:val="18"/>
                    </w:rPr>
                  </w:pPr>
                </w:p>
              </w:tc>
              <w:tc>
                <w:tcPr>
                  <w:tcW w:w="599" w:type="dxa"/>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color w:val="auto"/>
                      <w:kern w:val="0"/>
                      <w:sz w:val="18"/>
                      <w:szCs w:val="18"/>
                    </w:rPr>
                  </w:pP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p=5%</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p=10%</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p=25%</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p=50%</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p=75%</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p=90%</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p=95%</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日历年</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1.38</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0.35</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2.27</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2.03</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1.67</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1.33</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1.04</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0.811</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0.695</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95"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水利年</w:t>
                  </w:r>
                  <w:r>
                    <w:rPr>
                      <w:rFonts w:hint="eastAsia" w:cs="Times New Roman"/>
                      <w:color w:val="auto"/>
                      <w:kern w:val="0"/>
                      <w:sz w:val="18"/>
                      <w:szCs w:val="18"/>
                      <w:lang w:val="en-US" w:eastAsia="zh-CN"/>
                    </w:rPr>
                    <w:t>(</w:t>
                  </w:r>
                  <w:r>
                    <w:rPr>
                      <w:rFonts w:hint="default" w:ascii="Times New Roman" w:hAnsi="Times New Roman" w:cs="Times New Roman"/>
                      <w:color w:val="auto"/>
                      <w:kern w:val="0"/>
                      <w:sz w:val="18"/>
                      <w:szCs w:val="18"/>
                    </w:rPr>
                    <w:t>6~5月</w:t>
                  </w:r>
                  <w:r>
                    <w:rPr>
                      <w:rFonts w:hint="eastAsia" w:cs="Times New Roman"/>
                      <w:color w:val="auto"/>
                      <w:kern w:val="0"/>
                      <w:sz w:val="18"/>
                      <w:szCs w:val="18"/>
                      <w:lang w:val="en-US" w:eastAsia="zh-CN"/>
                    </w:rPr>
                    <w:t>)</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1.38</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0.35</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2.27</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2.03</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1.67</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1.33</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1.04</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0.811</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0.695</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11~3月</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0.53</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0.62</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1.07</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0.917</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0.686</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0.48</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0.32</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0.212</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0.161</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0" w:hRule="atLeast"/>
                <w:jc w:val="center"/>
              </w:trPr>
              <w:tc>
                <w:tcPr>
                  <w:tcW w:w="8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1~3月</w:t>
                  </w:r>
                </w:p>
              </w:tc>
              <w:tc>
                <w:tcPr>
                  <w:tcW w:w="5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0.429</w:t>
                  </w:r>
                </w:p>
              </w:tc>
              <w:tc>
                <w:tcPr>
                  <w:tcW w:w="51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0.35</w:t>
                  </w:r>
                </w:p>
              </w:tc>
              <w:tc>
                <w:tcPr>
                  <w:tcW w:w="59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5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0.934</w:t>
                  </w:r>
                </w:p>
              </w:tc>
              <w:tc>
                <w:tcPr>
                  <w:tcW w:w="61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0.786</w:t>
                  </w:r>
                </w:p>
              </w:tc>
              <w:tc>
                <w:tcPr>
                  <w:tcW w:w="65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0.567</w:t>
                  </w:r>
                </w:p>
              </w:tc>
              <w:tc>
                <w:tcPr>
                  <w:tcW w:w="62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0.375</w:t>
                  </w:r>
                </w:p>
              </w:tc>
              <w:tc>
                <w:tcPr>
                  <w:tcW w:w="63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0.234</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0.143</w:t>
                  </w:r>
                </w:p>
              </w:tc>
              <w:tc>
                <w:tcPr>
                  <w:tcW w:w="6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0.102</w:t>
                  </w:r>
                </w:p>
              </w:tc>
              <w:tc>
                <w:tcPr>
                  <w:tcW w:w="69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0.081</w:t>
                  </w:r>
                </w:p>
              </w:tc>
            </w:tr>
          </w:tbl>
          <w:p>
            <w:pPr>
              <w:pStyle w:val="108"/>
              <w:ind w:firstLine="482"/>
              <w:rPr>
                <w:rFonts w:cs="Times New Roman"/>
                <w:b/>
                <w:color w:val="auto"/>
                <w:sz w:val="21"/>
                <w:szCs w:val="16"/>
              </w:rPr>
            </w:pPr>
            <w:r>
              <w:rPr>
                <w:rFonts w:cs="Times New Roman"/>
                <w:b/>
                <w:color w:val="auto"/>
                <w:sz w:val="21"/>
                <w:szCs w:val="16"/>
              </w:rPr>
              <w:t>（3）水源</w:t>
            </w:r>
            <w:r>
              <w:rPr>
                <w:rFonts w:hint="eastAsia" w:cs="Times New Roman"/>
                <w:b/>
                <w:color w:val="auto"/>
                <w:sz w:val="21"/>
                <w:szCs w:val="16"/>
                <w:lang w:val="en-US" w:eastAsia="zh-CN"/>
              </w:rPr>
              <w:t>保护区划分</w:t>
            </w:r>
            <w:r>
              <w:rPr>
                <w:rFonts w:cs="Times New Roman"/>
                <w:b/>
                <w:color w:val="auto"/>
                <w:sz w:val="21"/>
                <w:szCs w:val="16"/>
              </w:rPr>
              <w:t>情况</w:t>
            </w:r>
          </w:p>
          <w:p>
            <w:pPr>
              <w:pStyle w:val="108"/>
              <w:ind w:firstLine="480"/>
              <w:rPr>
                <w:rFonts w:hint="eastAsia" w:cs="Times New Roman"/>
                <w:color w:val="auto"/>
                <w:sz w:val="21"/>
                <w:szCs w:val="16"/>
                <w:lang w:val="en-US" w:eastAsia="zh-CN"/>
              </w:rPr>
            </w:pPr>
            <w:r>
              <w:rPr>
                <w:rFonts w:hint="eastAsia" w:cs="Times New Roman"/>
                <w:color w:val="auto"/>
                <w:sz w:val="21"/>
                <w:szCs w:val="16"/>
                <w:lang w:val="en-US" w:eastAsia="zh-CN"/>
              </w:rPr>
              <w:t>根据《</w:t>
            </w:r>
            <w:r>
              <w:rPr>
                <w:rFonts w:cs="Times New Roman"/>
                <w:color w:val="auto"/>
                <w:sz w:val="21"/>
                <w:szCs w:val="16"/>
                <w:lang w:val="en-US"/>
              </w:rPr>
              <w:t>四川省人民政府</w:t>
            </w:r>
            <w:r>
              <w:rPr>
                <w:rFonts w:hint="eastAsia" w:cs="Times New Roman"/>
                <w:color w:val="auto"/>
                <w:sz w:val="21"/>
                <w:szCs w:val="16"/>
                <w:lang w:val="en-US"/>
              </w:rPr>
              <w:t>关于同意划定、调整、撤销部分城市集中式饮用水水源保护区的批复</w:t>
            </w:r>
            <w:r>
              <w:rPr>
                <w:rFonts w:hint="eastAsia" w:cs="Times New Roman"/>
                <w:color w:val="auto"/>
                <w:sz w:val="21"/>
                <w:szCs w:val="16"/>
                <w:lang w:val="en-US" w:eastAsia="zh-CN"/>
              </w:rPr>
              <w:t>》（</w:t>
            </w:r>
            <w:r>
              <w:rPr>
                <w:rFonts w:hint="eastAsia" w:cs="Times New Roman"/>
                <w:color w:val="auto"/>
                <w:sz w:val="21"/>
                <w:szCs w:val="16"/>
                <w:lang w:val="en-US"/>
              </w:rPr>
              <w:t>川府函〔2018〕144号</w:t>
            </w:r>
            <w:r>
              <w:rPr>
                <w:rFonts w:hint="eastAsia" w:cs="Times New Roman"/>
                <w:color w:val="auto"/>
                <w:sz w:val="21"/>
                <w:szCs w:val="16"/>
                <w:lang w:val="en-US" w:eastAsia="zh-CN"/>
              </w:rPr>
              <w:t>），乌木滩水库水源地取水口位置位于大竹县东柳街道办事处清风寺社区，具体情况如下表：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0"/>
                <w:szCs w:val="21"/>
                <w:lang w:val="en-US" w:eastAsia="zh-CN" w:bidi="ar"/>
              </w:rPr>
            </w:pPr>
            <w:r>
              <w:rPr>
                <w:rFonts w:hint="default" w:ascii="Times New Roman" w:hAnsi="Times New Roman" w:eastAsia="宋体" w:cs="Times New Roman"/>
                <w:b/>
                <w:color w:val="auto"/>
                <w:kern w:val="0"/>
                <w:szCs w:val="21"/>
                <w:lang w:bidi="ar"/>
              </w:rPr>
              <w:t>表</w:t>
            </w:r>
            <w:r>
              <w:rPr>
                <w:rFonts w:hint="eastAsia" w:cs="Times New Roman"/>
                <w:b/>
                <w:color w:val="auto"/>
                <w:kern w:val="0"/>
                <w:szCs w:val="21"/>
                <w:lang w:val="en-US" w:eastAsia="zh-CN" w:bidi="ar"/>
              </w:rPr>
              <w:t xml:space="preserve">1-13 </w:t>
            </w:r>
            <w:r>
              <w:rPr>
                <w:rFonts w:hint="default" w:ascii="Times New Roman" w:hAnsi="Times New Roman" w:eastAsia="宋体" w:cs="Times New Roman"/>
                <w:b/>
                <w:color w:val="auto"/>
                <w:kern w:val="0"/>
                <w:szCs w:val="21"/>
                <w:lang w:bidi="ar"/>
              </w:rPr>
              <w:t>乌木滩水库</w:t>
            </w:r>
            <w:r>
              <w:rPr>
                <w:rFonts w:hint="eastAsia" w:cs="Times New Roman"/>
                <w:b/>
                <w:color w:val="auto"/>
                <w:kern w:val="0"/>
                <w:szCs w:val="21"/>
                <w:lang w:val="en-US" w:eastAsia="zh-CN" w:bidi="ar"/>
              </w:rPr>
              <w:t>水源地概况</w:t>
            </w:r>
          </w:p>
          <w:tbl>
            <w:tblPr>
              <w:tblStyle w:val="29"/>
              <w:tblW w:w="7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32"/>
              <w:gridCol w:w="1923"/>
              <w:gridCol w:w="2836"/>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tcMar>
                    <w:top w:w="0" w:type="dxa"/>
                    <w:left w:w="57" w:type="dxa"/>
                    <w:bottom w:w="0" w:type="dxa"/>
                    <w:right w:w="57" w:type="dxa"/>
                  </w:tcMar>
                  <w:vAlign w:val="center"/>
                </w:tcPr>
                <w:p>
                  <w:pPr>
                    <w:pStyle w:val="2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水源地名称</w:t>
                  </w:r>
                </w:p>
              </w:tc>
              <w:tc>
                <w:tcPr>
                  <w:tcW w:w="1332" w:type="dxa"/>
                  <w:tcMar>
                    <w:top w:w="0" w:type="dxa"/>
                    <w:left w:w="57" w:type="dxa"/>
                    <w:bottom w:w="0" w:type="dxa"/>
                    <w:right w:w="57" w:type="dxa"/>
                  </w:tcMar>
                  <w:vAlign w:val="center"/>
                </w:tcPr>
                <w:p>
                  <w:pPr>
                    <w:pStyle w:val="2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取水口</w:t>
                  </w:r>
                </w:p>
              </w:tc>
              <w:tc>
                <w:tcPr>
                  <w:tcW w:w="1923" w:type="dxa"/>
                  <w:tcMar>
                    <w:top w:w="0" w:type="dxa"/>
                    <w:left w:w="57" w:type="dxa"/>
                    <w:bottom w:w="0" w:type="dxa"/>
                    <w:right w:w="57" w:type="dxa"/>
                  </w:tcMar>
                  <w:vAlign w:val="center"/>
                </w:tcPr>
                <w:p>
                  <w:pPr>
                    <w:pStyle w:val="2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一级保护区</w:t>
                  </w:r>
                </w:p>
              </w:tc>
              <w:tc>
                <w:tcPr>
                  <w:tcW w:w="2836" w:type="dxa"/>
                  <w:tcMar>
                    <w:top w:w="0" w:type="dxa"/>
                    <w:left w:w="57" w:type="dxa"/>
                    <w:bottom w:w="0" w:type="dxa"/>
                    <w:right w:w="57" w:type="dxa"/>
                  </w:tcMar>
                  <w:vAlign w:val="center"/>
                </w:tcPr>
                <w:p>
                  <w:pPr>
                    <w:pStyle w:val="2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二级保护区</w:t>
                  </w:r>
                </w:p>
              </w:tc>
              <w:tc>
                <w:tcPr>
                  <w:tcW w:w="940" w:type="dxa"/>
                  <w:tcMar>
                    <w:top w:w="0" w:type="dxa"/>
                    <w:left w:w="57" w:type="dxa"/>
                    <w:bottom w:w="0" w:type="dxa"/>
                    <w:right w:w="57" w:type="dxa"/>
                  </w:tcMar>
                  <w:vAlign w:val="center"/>
                </w:tcPr>
                <w:p>
                  <w:pPr>
                    <w:pStyle w:val="2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default" w:cs="Times New Roman"/>
                      <w:b/>
                      <w:bCs/>
                      <w:color w:val="auto"/>
                      <w:sz w:val="18"/>
                      <w:szCs w:val="18"/>
                      <w:vertAlign w:val="baseline"/>
                      <w:lang w:val="en-US" w:eastAsia="zh-CN"/>
                    </w:rPr>
                  </w:pPr>
                  <w:r>
                    <w:rPr>
                      <w:rFonts w:hint="default" w:ascii="Times New Roman" w:hAnsi="Times New Roman" w:cs="Times New Roman"/>
                      <w:b/>
                      <w:bCs/>
                      <w:color w:val="auto"/>
                      <w:sz w:val="18"/>
                      <w:szCs w:val="18"/>
                    </w:rPr>
                    <w:t>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乌木滩水库水源地</w:t>
                  </w:r>
                </w:p>
              </w:tc>
              <w:tc>
                <w:tcPr>
                  <w:tcW w:w="1332"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大竹县东柳街道办事处清风寺社区(30°43'38"N</w:t>
                  </w:r>
                  <w:r>
                    <w:rPr>
                      <w:rFonts w:hint="eastAsia" w:cs="Times New Roman"/>
                      <w:color w:val="auto"/>
                      <w:sz w:val="18"/>
                      <w:szCs w:val="18"/>
                      <w:vertAlign w:val="baseline"/>
                      <w:lang w:val="en-US" w:eastAsia="zh-CN"/>
                    </w:rPr>
                    <w:t>，</w:t>
                  </w:r>
                  <w:r>
                    <w:rPr>
                      <w:rFonts w:hint="default" w:cs="Times New Roman"/>
                      <w:color w:val="auto"/>
                      <w:sz w:val="18"/>
                      <w:szCs w:val="18"/>
                      <w:vertAlign w:val="baseline"/>
                      <w:lang w:val="en-US" w:eastAsia="zh-CN"/>
                    </w:rPr>
                    <w:t>107°16'16.9"E)</w:t>
                  </w:r>
                </w:p>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vertAlign w:val="baseline"/>
                      <w:lang w:val="en-US" w:eastAsia="zh-CN"/>
                    </w:rPr>
                  </w:pPr>
                </w:p>
              </w:tc>
              <w:tc>
                <w:tcPr>
                  <w:tcW w:w="1923"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正常水位线</w:t>
                  </w:r>
                  <w:r>
                    <w:rPr>
                      <w:rFonts w:hint="eastAsia" w:cs="Times New Roman"/>
                      <w:color w:val="auto"/>
                      <w:sz w:val="18"/>
                      <w:szCs w:val="18"/>
                      <w:vertAlign w:val="baseline"/>
                      <w:lang w:val="en-US" w:eastAsia="zh-CN"/>
                    </w:rPr>
                    <w:t>（</w:t>
                  </w:r>
                  <w:r>
                    <w:rPr>
                      <w:rFonts w:hint="default" w:cs="Times New Roman"/>
                      <w:color w:val="auto"/>
                      <w:sz w:val="18"/>
                      <w:szCs w:val="18"/>
                      <w:vertAlign w:val="baseline"/>
                      <w:lang w:val="en-US" w:eastAsia="zh-CN"/>
                    </w:rPr>
                    <w:t>海拔高程402米</w:t>
                  </w:r>
                  <w:r>
                    <w:rPr>
                      <w:rFonts w:hint="eastAsia" w:cs="Times New Roman"/>
                      <w:color w:val="auto"/>
                      <w:sz w:val="18"/>
                      <w:szCs w:val="18"/>
                      <w:vertAlign w:val="baseline"/>
                      <w:lang w:val="en-US" w:eastAsia="zh-CN"/>
                    </w:rPr>
                    <w:t>）</w:t>
                  </w:r>
                  <w:r>
                    <w:rPr>
                      <w:rFonts w:hint="default" w:cs="Times New Roman"/>
                      <w:color w:val="auto"/>
                      <w:sz w:val="18"/>
                      <w:szCs w:val="18"/>
                      <w:vertAlign w:val="baseline"/>
                      <w:lang w:val="en-US" w:eastAsia="zh-CN"/>
                    </w:rPr>
                    <w:t>以下，以取水口为中心，半径500米范围内的水域范围。一级保护区外水域外200米但不超过流域分水岭的陆域范围。</w:t>
                  </w:r>
                </w:p>
              </w:tc>
              <w:tc>
                <w:tcPr>
                  <w:tcW w:w="2836"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水库正常水位线以下除一级保护区外的全部水域范围。水库坝址控制断面以上，正常水位线以上水平距离2000米但不超过流域分水</w:t>
                  </w:r>
                  <w:r>
                    <w:rPr>
                      <w:rFonts w:hint="eastAsia" w:cs="Times New Roman"/>
                      <w:color w:val="auto"/>
                      <w:sz w:val="18"/>
                      <w:szCs w:val="18"/>
                      <w:vertAlign w:val="baseline"/>
                      <w:lang w:val="en-US" w:eastAsia="zh-CN"/>
                    </w:rPr>
                    <w:t>岭除</w:t>
                  </w:r>
                  <w:r>
                    <w:rPr>
                      <w:rFonts w:hint="default" w:cs="Times New Roman"/>
                      <w:color w:val="auto"/>
                      <w:sz w:val="18"/>
                      <w:szCs w:val="18"/>
                      <w:vertAlign w:val="baseline"/>
                      <w:lang w:val="en-US" w:eastAsia="zh-CN"/>
                    </w:rPr>
                    <w:t>一级</w:t>
                  </w:r>
                  <w:r>
                    <w:rPr>
                      <w:rFonts w:hint="eastAsia" w:cs="Times New Roman"/>
                      <w:color w:val="auto"/>
                      <w:sz w:val="18"/>
                      <w:szCs w:val="18"/>
                      <w:vertAlign w:val="baseline"/>
                      <w:lang w:val="en-US" w:eastAsia="zh-CN"/>
                    </w:rPr>
                    <w:t>保护区</w:t>
                  </w:r>
                  <w:r>
                    <w:rPr>
                      <w:rFonts w:hint="default" w:cs="Times New Roman"/>
                      <w:color w:val="auto"/>
                      <w:sz w:val="18"/>
                      <w:szCs w:val="18"/>
                      <w:vertAlign w:val="baseline"/>
                      <w:lang w:val="en-US" w:eastAsia="zh-CN"/>
                    </w:rPr>
                    <w:t>外的</w:t>
                  </w:r>
                  <w:r>
                    <w:rPr>
                      <w:rFonts w:hint="eastAsia" w:cs="Times New Roman"/>
                      <w:color w:val="auto"/>
                      <w:sz w:val="18"/>
                      <w:szCs w:val="18"/>
                      <w:vertAlign w:val="baseline"/>
                      <w:lang w:val="en-US" w:eastAsia="zh-CN"/>
                    </w:rPr>
                    <w:t>陆域范围</w:t>
                  </w:r>
                  <w:r>
                    <w:rPr>
                      <w:rFonts w:hint="default" w:cs="Times New Roman"/>
                      <w:color w:val="auto"/>
                      <w:sz w:val="18"/>
                      <w:szCs w:val="18"/>
                      <w:vertAlign w:val="baseline"/>
                      <w:lang w:val="en-US" w:eastAsia="zh-CN"/>
                    </w:rPr>
                    <w:t>，其中有防护堤的湖岸段为正常水位线以上至防护堤外侧边界的陆域范围。</w:t>
                  </w:r>
                </w:p>
              </w:tc>
              <w:tc>
                <w:tcPr>
                  <w:tcW w:w="940" w:type="dxa"/>
                  <w:tcMar>
                    <w:top w:w="0" w:type="dxa"/>
                    <w:left w:w="57" w:type="dxa"/>
                    <w:bottom w:w="0" w:type="dxa"/>
                    <w:right w:w="57" w:type="dxa"/>
                  </w:tcMar>
                </w:tcPr>
                <w:p>
                  <w:pPr>
                    <w:pStyle w:val="10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乌木滩水库集水范围内除一、二级保护区</w:t>
                  </w:r>
                  <w:r>
                    <w:rPr>
                      <w:rFonts w:hint="eastAsia" w:cs="Times New Roman"/>
                      <w:color w:val="auto"/>
                      <w:sz w:val="18"/>
                      <w:szCs w:val="18"/>
                      <w:vertAlign w:val="baseline"/>
                      <w:lang w:val="en-US" w:eastAsia="zh-CN"/>
                    </w:rPr>
                    <w:t>外的全部水域和陆域范围</w:t>
                  </w:r>
                </w:p>
              </w:tc>
            </w:tr>
          </w:tbl>
          <w:p>
            <w:pPr>
              <w:spacing w:line="360" w:lineRule="auto"/>
              <w:ind w:firstLine="482"/>
              <w:rPr>
                <w:b/>
                <w:color w:val="auto"/>
                <w:sz w:val="21"/>
                <w:szCs w:val="21"/>
              </w:rPr>
            </w:pPr>
            <w:r>
              <w:rPr>
                <w:b/>
                <w:color w:val="auto"/>
                <w:sz w:val="21"/>
                <w:szCs w:val="21"/>
              </w:rPr>
              <w:t>（</w:t>
            </w:r>
            <w:r>
              <w:rPr>
                <w:rFonts w:hint="eastAsia"/>
                <w:b/>
                <w:color w:val="auto"/>
                <w:sz w:val="21"/>
                <w:szCs w:val="21"/>
                <w:lang w:val="en-US" w:eastAsia="zh-CN"/>
              </w:rPr>
              <w:t>4</w:t>
            </w:r>
            <w:r>
              <w:rPr>
                <w:b/>
                <w:color w:val="auto"/>
                <w:sz w:val="21"/>
                <w:szCs w:val="21"/>
              </w:rPr>
              <w:t>）</w:t>
            </w:r>
            <w:r>
              <w:rPr>
                <w:rFonts w:hint="eastAsia"/>
                <w:b/>
                <w:color w:val="auto"/>
                <w:sz w:val="21"/>
                <w:szCs w:val="21"/>
                <w:lang w:val="en-US" w:eastAsia="zh-CN"/>
              </w:rPr>
              <w:t>乌木滩水库水源地水质情况</w:t>
            </w:r>
          </w:p>
          <w:p>
            <w:pPr>
              <w:widowControl/>
              <w:spacing w:line="360" w:lineRule="auto"/>
              <w:ind w:firstLine="420" w:firstLineChars="200"/>
              <w:jc w:val="left"/>
              <w:rPr>
                <w:rFonts w:hint="eastAsia" w:ascii="Times New Roman" w:eastAsia="宋体" w:cs="Times New Roman"/>
                <w:color w:val="auto"/>
                <w:sz w:val="21"/>
                <w:szCs w:val="21"/>
                <w:lang w:val="en-US" w:eastAsia="zh-CN"/>
              </w:rPr>
            </w:pPr>
            <w:r>
              <w:rPr>
                <w:rFonts w:hint="eastAsia" w:cs="Times New Roman"/>
                <w:color w:val="auto"/>
                <w:sz w:val="21"/>
                <w:szCs w:val="21"/>
                <w:lang w:val="en-US" w:eastAsia="zh-CN" w:bidi="ar"/>
              </w:rPr>
              <w:t>根据达州市生态环境局委托四川省达州生态环境监测中心站、成都市华测检测技术有限公司对</w:t>
            </w:r>
            <w:r>
              <w:rPr>
                <w:rFonts w:hint="eastAsia" w:ascii="Times New Roman" w:hAnsi="Times New Roman" w:cs="Times New Roman"/>
                <w:color w:val="auto"/>
                <w:sz w:val="21"/>
                <w:szCs w:val="21"/>
                <w:lang w:val="en-US" w:eastAsia="zh-CN" w:bidi="ar"/>
              </w:rPr>
              <w:t>乌木滩水库水质的</w:t>
            </w:r>
            <w:r>
              <w:rPr>
                <w:rFonts w:hint="eastAsia" w:cs="Times New Roman"/>
                <w:color w:val="auto"/>
                <w:sz w:val="21"/>
                <w:szCs w:val="21"/>
                <w:lang w:val="en-US" w:eastAsia="zh-CN" w:bidi="ar"/>
              </w:rPr>
              <w:t>监测数据。2023年1月15日乌木滩水库水质不能满足《地表水环境质量标准》（GB3838-2002）Ⅲ类水质标准，其中超标因子包括氨氮、总氮（参考指标）、总磷、硫酸盐、锰，超标倍数分别为锰超标2.82倍、氨氮超标0.8倍、总磷超标0.2倍、硫酸盐超标0.184倍；参考指标总氮超标0.84倍，超标原因主要要是大竹县遭遇了罕见旱情，乌木滩水库因水位降低、气温骤变等原因，库底沉积物上扬，库区水质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Cs/>
                <w:color w:val="auto"/>
                <w:kern w:val="2"/>
                <w:sz w:val="21"/>
                <w:szCs w:val="21"/>
                <w:lang w:val="en-US" w:eastAsia="zh-CN"/>
              </w:rPr>
            </w:pPr>
            <w:r>
              <w:rPr>
                <w:rFonts w:hint="eastAsia" w:cs="Times New Roman"/>
                <w:i w:val="0"/>
                <w:iCs w:val="0"/>
                <w:caps w:val="0"/>
                <w:snapToGrid/>
                <w:color w:val="auto"/>
                <w:spacing w:val="0"/>
                <w:w w:val="100"/>
                <w:kern w:val="21"/>
                <w:position w:val="0"/>
                <w:sz w:val="21"/>
                <w:szCs w:val="21"/>
                <w:highlight w:val="none"/>
                <w:lang w:eastAsia="zh-CN"/>
              </w:rPr>
              <w:t>根据</w:t>
            </w:r>
            <w:r>
              <w:rPr>
                <w:rFonts w:hint="eastAsia" w:cs="Times New Roman"/>
                <w:i w:val="0"/>
                <w:iCs w:val="0"/>
                <w:caps w:val="0"/>
                <w:snapToGrid/>
                <w:color w:val="auto"/>
                <w:spacing w:val="0"/>
                <w:w w:val="100"/>
                <w:kern w:val="21"/>
                <w:position w:val="0"/>
                <w:sz w:val="21"/>
                <w:szCs w:val="21"/>
                <w:highlight w:val="none"/>
                <w:lang w:val="en-US" w:eastAsia="zh-CN"/>
              </w:rPr>
              <w:t>达州市生态环</w:t>
            </w:r>
            <w:r>
              <w:rPr>
                <w:rFonts w:hint="eastAsia" w:eastAsia="宋体"/>
                <w:color w:val="auto"/>
                <w:sz w:val="21"/>
                <w:szCs w:val="21"/>
                <w:highlight w:val="none"/>
                <w:lang w:val="en-US" w:eastAsia="zh-CN"/>
              </w:rPr>
              <w:t>境局发布的</w:t>
            </w:r>
            <w:r>
              <w:rPr>
                <w:rFonts w:hint="eastAsia" w:eastAsia="宋体"/>
                <w:color w:val="auto"/>
                <w:sz w:val="21"/>
                <w:szCs w:val="21"/>
                <w:highlight w:val="none"/>
              </w:rPr>
              <w:t>达州市县级城市集中式饮用水水源地水质状况</w:t>
            </w:r>
            <w:r>
              <w:rPr>
                <w:rFonts w:hint="eastAsia" w:eastAsia="宋体"/>
                <w:color w:val="auto"/>
                <w:sz w:val="21"/>
                <w:szCs w:val="21"/>
                <w:highlight w:val="none"/>
                <w:lang w:eastAsia="zh-CN"/>
              </w:rPr>
              <w:t>，</w:t>
            </w:r>
            <w:r>
              <w:rPr>
                <w:rFonts w:hint="eastAsia"/>
                <w:color w:val="auto"/>
                <w:sz w:val="21"/>
                <w:szCs w:val="21"/>
                <w:highlight w:val="none"/>
                <w:lang w:val="en-US" w:eastAsia="zh-CN"/>
              </w:rPr>
              <w:t>乌木滩水库近三季度</w:t>
            </w:r>
            <w:r>
              <w:rPr>
                <w:rFonts w:hint="eastAsia"/>
                <w:color w:val="auto"/>
                <w:sz w:val="21"/>
                <w:szCs w:val="21"/>
                <w:highlight w:val="none"/>
              </w:rPr>
              <w:t>水质能够满足《地表水环境质量标准》（GB3838-2002）III类标准，</w:t>
            </w:r>
            <w:r>
              <w:rPr>
                <w:rFonts w:hint="eastAsia"/>
                <w:color w:val="auto"/>
                <w:sz w:val="21"/>
                <w:szCs w:val="21"/>
                <w:highlight w:val="none"/>
                <w:lang w:val="en-US" w:eastAsia="zh-CN"/>
              </w:rPr>
              <w:t>乌木滩水库</w:t>
            </w:r>
            <w:r>
              <w:rPr>
                <w:rFonts w:hint="eastAsia"/>
                <w:color w:val="auto"/>
                <w:sz w:val="21"/>
                <w:szCs w:val="21"/>
                <w:highlight w:val="none"/>
              </w:rPr>
              <w:t>地表水环境质量</w:t>
            </w:r>
            <w:r>
              <w:rPr>
                <w:rFonts w:hint="eastAsia"/>
                <w:color w:val="auto"/>
                <w:sz w:val="21"/>
                <w:szCs w:val="21"/>
                <w:highlight w:val="none"/>
                <w:lang w:val="en-US" w:eastAsia="zh-CN"/>
              </w:rPr>
              <w:t>现状已转为良</w:t>
            </w:r>
            <w:r>
              <w:rPr>
                <w:rFonts w:hint="eastAsia"/>
                <w:color w:val="auto"/>
                <w:sz w:val="21"/>
                <w:szCs w:val="21"/>
                <w:highlight w:val="none"/>
              </w:rPr>
              <w:t>好</w:t>
            </w:r>
            <w:r>
              <w:rPr>
                <w:rFonts w:hint="eastAsia"/>
                <w:color w:val="auto"/>
                <w:sz w:val="21"/>
                <w:szCs w:val="21"/>
                <w:highlight w:val="none"/>
                <w:lang w:eastAsia="zh-CN"/>
              </w:rPr>
              <w:t>，</w:t>
            </w:r>
            <w:r>
              <w:rPr>
                <w:rFonts w:hint="eastAsia"/>
                <w:color w:val="auto"/>
                <w:sz w:val="21"/>
                <w:szCs w:val="21"/>
                <w:highlight w:val="none"/>
                <w:lang w:val="en-US"/>
              </w:rPr>
              <w:t>可用于生活用水原水。</w:t>
            </w:r>
          </w:p>
          <w:p>
            <w:pPr>
              <w:pStyle w:val="108"/>
              <w:ind w:firstLine="48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（5）建设规模合理性分析</w:t>
            </w:r>
          </w:p>
          <w:p>
            <w:pPr>
              <w:pStyle w:val="108"/>
              <w:ind w:firstLine="480"/>
              <w:rPr>
                <w:rFonts w:hint="default" w:cs="Times New Roman"/>
                <w:bCs/>
                <w:color w:val="auto"/>
                <w:kern w:val="2"/>
                <w:sz w:val="21"/>
                <w:szCs w:val="21"/>
                <w:lang w:val="en-US"/>
              </w:rPr>
            </w:pPr>
            <w:r>
              <w:rPr>
                <w:rFonts w:hint="eastAsia" w:ascii="Times New Roman" w:hAnsi="Times New Roman" w:eastAsia="宋体" w:cs="Times New Roman"/>
                <w:color w:val="auto"/>
                <w:sz w:val="21"/>
                <w:szCs w:val="21"/>
                <w:lang w:val="en-US" w:eastAsia="zh-CN"/>
              </w:rPr>
              <w:t>大竹县城区日常由乌木滩水库、龙潭水库两个饮用水源地供水，</w:t>
            </w:r>
            <w:r>
              <w:rPr>
                <w:rFonts w:hint="eastAsia" w:cs="Times New Roman"/>
                <w:color w:val="auto"/>
                <w:sz w:val="21"/>
                <w:szCs w:val="21"/>
                <w:lang w:val="en-US" w:eastAsia="zh-CN"/>
              </w:rPr>
              <w:t>其中乌木滩水源地供水至老东柳水厂、东柳二水厂，其中</w:t>
            </w:r>
            <w:r>
              <w:rPr>
                <w:rFonts w:hint="eastAsia" w:ascii="Times New Roman" w:hAnsi="Times New Roman" w:eastAsia="宋体" w:cs="Times New Roman"/>
                <w:color w:val="auto"/>
                <w:sz w:val="21"/>
                <w:szCs w:val="21"/>
                <w:lang w:val="en-US" w:eastAsia="zh-CN"/>
              </w:rPr>
              <w:t>老东柳水厂设计供水规模为3.5万m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/d，东柳二水厂取水水源也为乌木滩水库，日常供水约3800m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w:t>
            </w:r>
            <w:r>
              <w:rPr>
                <w:rFonts w:hint="eastAsia" w:cs="Times New Roman"/>
                <w:color w:val="auto"/>
                <w:sz w:val="21"/>
                <w:szCs w:val="21"/>
                <w:lang w:val="en-US" w:eastAsia="zh-CN"/>
              </w:rPr>
              <w:t>本项目所需</w:t>
            </w:r>
            <w:r>
              <w:rPr>
                <w:rFonts w:hint="eastAsia" w:ascii="Times New Roman" w:hAnsi="Times New Roman" w:eastAsia="宋体" w:cs="Times New Roman"/>
                <w:b w:val="0"/>
                <w:bCs w:val="0"/>
                <w:color w:val="auto"/>
                <w:sz w:val="21"/>
                <w:szCs w:val="21"/>
                <w:lang w:val="en-US" w:eastAsia="zh-CN"/>
              </w:rPr>
              <w:t>原水由原东柳水厂已建进水管道接入，</w:t>
            </w:r>
            <w:r>
              <w:rPr>
                <w:rFonts w:hint="eastAsia" w:cs="Times New Roman"/>
                <w:b w:val="0"/>
                <w:bCs w:val="0"/>
                <w:color w:val="auto"/>
                <w:sz w:val="21"/>
                <w:szCs w:val="21"/>
                <w:lang w:val="en-US" w:eastAsia="zh-CN"/>
              </w:rPr>
              <w:t>项目</w:t>
            </w:r>
            <w:r>
              <w:rPr>
                <w:rFonts w:hint="eastAsia" w:ascii="Times New Roman" w:hAnsi="Times New Roman" w:eastAsia="宋体" w:cs="Times New Roman"/>
                <w:b w:val="0"/>
                <w:bCs w:val="0"/>
                <w:color w:val="auto"/>
                <w:sz w:val="21"/>
                <w:szCs w:val="21"/>
                <w:lang w:val="en-US" w:eastAsia="zh-CN"/>
              </w:rPr>
              <w:t>建设内容不含取水建（构）筑物、引水管道</w:t>
            </w:r>
            <w:r>
              <w:rPr>
                <w:rFonts w:hint="eastAsia" w:cs="Times New Roman"/>
                <w:b w:val="0"/>
                <w:bCs w:val="0"/>
                <w:color w:val="auto"/>
                <w:sz w:val="21"/>
                <w:szCs w:val="21"/>
                <w:lang w:val="en-US" w:eastAsia="zh-CN"/>
              </w:rPr>
              <w:t>，</w:t>
            </w:r>
            <w:r>
              <w:rPr>
                <w:rFonts w:hint="eastAsia" w:cs="Times New Roman"/>
                <w:color w:val="auto"/>
                <w:sz w:val="21"/>
                <w:szCs w:val="21"/>
                <w:lang w:val="en-US" w:eastAsia="zh-CN"/>
              </w:rPr>
              <w:t>项目设计原水深度处理规模4.0</w:t>
            </w:r>
            <w:r>
              <w:rPr>
                <w:rFonts w:hint="eastAsia" w:ascii="Times New Roman" w:hAnsi="Times New Roman" w:eastAsia="宋体" w:cs="Times New Roman"/>
                <w:color w:val="auto"/>
                <w:sz w:val="21"/>
                <w:szCs w:val="21"/>
                <w:lang w:val="en-US" w:eastAsia="zh-CN"/>
              </w:rPr>
              <w:t>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w:t>
            </w:r>
            <w:r>
              <w:rPr>
                <w:rFonts w:hint="eastAsia" w:cs="Times New Roman"/>
                <w:color w:val="auto"/>
                <w:sz w:val="21"/>
                <w:szCs w:val="21"/>
                <w:lang w:val="en-US" w:eastAsia="zh-CN"/>
              </w:rPr>
              <w:t>，与原取水规模基本一致，项目建设规模合理。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8、选址选线合理性分析</w:t>
            </w:r>
          </w:p>
          <w:p>
            <w:pPr>
              <w:adjustRightInd w:val="0"/>
              <w:snapToGrid w:val="0"/>
              <w:spacing w:line="360" w:lineRule="auto"/>
              <w:ind w:firstLine="420" w:firstLineChars="200"/>
              <w:rPr>
                <w:rFonts w:hint="default" w:eastAsia="宋体"/>
                <w:bCs/>
                <w:color w:val="auto"/>
                <w:kern w:val="0"/>
                <w:sz w:val="21"/>
                <w:szCs w:val="21"/>
                <w:highlight w:val="none"/>
                <w:lang w:val="en-US" w:eastAsia="zh-CN"/>
              </w:rPr>
            </w:pPr>
            <w:r>
              <w:rPr>
                <w:rFonts w:hint="eastAsia" w:eastAsia="宋体"/>
                <w:bCs/>
                <w:color w:val="auto"/>
                <w:kern w:val="0"/>
                <w:sz w:val="21"/>
                <w:szCs w:val="21"/>
                <w:highlight w:val="none"/>
                <w:lang w:val="en-US" w:eastAsia="zh-CN"/>
              </w:rPr>
              <w:t>本项目</w:t>
            </w:r>
            <w:r>
              <w:rPr>
                <w:rFonts w:hint="eastAsia"/>
                <w:bCs/>
                <w:color w:val="auto"/>
                <w:kern w:val="0"/>
                <w:sz w:val="21"/>
                <w:szCs w:val="21"/>
                <w:highlight w:val="none"/>
                <w:lang w:val="en-US" w:eastAsia="zh-CN"/>
              </w:rPr>
              <w:t>永久用地</w:t>
            </w:r>
            <w:r>
              <w:rPr>
                <w:rFonts w:hint="eastAsia" w:cs="Times New Roman"/>
                <w:b w:val="0"/>
                <w:bCs w:val="0"/>
                <w:color w:val="auto"/>
                <w:sz w:val="21"/>
                <w:szCs w:val="21"/>
                <w:highlight w:val="none"/>
                <w:lang w:val="en-US" w:eastAsia="zh-CN"/>
              </w:rPr>
              <w:t>包括调节水池、加压泵站、值班室用地，</w:t>
            </w:r>
            <w:r>
              <w:rPr>
                <w:rFonts w:hint="eastAsia"/>
                <w:bCs/>
                <w:color w:val="auto"/>
                <w:kern w:val="0"/>
                <w:sz w:val="21"/>
                <w:szCs w:val="21"/>
                <w:highlight w:val="none"/>
                <w:lang w:val="en-US" w:eastAsia="zh-CN"/>
              </w:rPr>
              <w:t>永久用地</w:t>
            </w:r>
            <w:r>
              <w:rPr>
                <w:rFonts w:hint="eastAsia" w:eastAsia="宋体"/>
                <w:bCs/>
                <w:color w:val="auto"/>
                <w:kern w:val="0"/>
                <w:sz w:val="21"/>
                <w:szCs w:val="21"/>
                <w:highlight w:val="none"/>
                <w:lang w:val="en-US" w:eastAsia="zh-CN"/>
              </w:rPr>
              <w:t>面积</w:t>
            </w:r>
            <w:r>
              <w:rPr>
                <w:rFonts w:hint="eastAsia"/>
                <w:color w:val="auto"/>
                <w:sz w:val="21"/>
                <w:szCs w:val="21"/>
                <w:highlight w:val="none"/>
                <w:lang w:val="en-US" w:eastAsia="zh-CN"/>
              </w:rPr>
              <w:t>844.36</w:t>
            </w:r>
            <w:r>
              <w:rPr>
                <w:rFonts w:hint="eastAsia" w:eastAsia="宋体"/>
                <w:bCs/>
                <w:color w:val="auto"/>
                <w:kern w:val="0"/>
                <w:sz w:val="21"/>
                <w:szCs w:val="21"/>
                <w:highlight w:val="none"/>
                <w:lang w:val="en-US" w:eastAsia="zh-CN"/>
              </w:rPr>
              <w:t>m</w:t>
            </w:r>
            <w:r>
              <w:rPr>
                <w:rFonts w:hint="eastAsia" w:eastAsia="宋体"/>
                <w:bCs/>
                <w:color w:val="auto"/>
                <w:kern w:val="0"/>
                <w:sz w:val="21"/>
                <w:szCs w:val="21"/>
                <w:highlight w:val="none"/>
                <w:vertAlign w:val="superscript"/>
                <w:lang w:val="en-US" w:eastAsia="zh-CN"/>
              </w:rPr>
              <w:t>2</w:t>
            </w:r>
            <w:r>
              <w:rPr>
                <w:rFonts w:hint="eastAsia"/>
                <w:bCs/>
                <w:color w:val="auto"/>
                <w:kern w:val="0"/>
                <w:sz w:val="21"/>
                <w:szCs w:val="21"/>
                <w:highlight w:val="none"/>
                <w:lang w:val="en-US" w:eastAsia="zh-CN"/>
              </w:rPr>
              <w:t>，</w:t>
            </w:r>
            <w:r>
              <w:rPr>
                <w:rFonts w:hint="eastAsia" w:eastAsia="宋体"/>
                <w:bCs/>
                <w:color w:val="auto"/>
                <w:kern w:val="0"/>
                <w:sz w:val="21"/>
                <w:szCs w:val="21"/>
                <w:highlight w:val="none"/>
                <w:lang w:val="en-US" w:eastAsia="zh-CN"/>
              </w:rPr>
              <w:t>选址于东柳水厂用地红线范围内空地</w:t>
            </w:r>
            <w:r>
              <w:rPr>
                <w:rFonts w:hint="eastAsia"/>
                <w:bCs/>
                <w:color w:val="auto"/>
                <w:kern w:val="0"/>
                <w:sz w:val="21"/>
                <w:szCs w:val="21"/>
                <w:highlight w:val="none"/>
                <w:lang w:val="en-US" w:eastAsia="zh-CN"/>
              </w:rPr>
              <w:t>；本项目永久占地范围</w:t>
            </w:r>
            <w:r>
              <w:rPr>
                <w:rFonts w:hint="eastAsia" w:eastAsia="宋体"/>
                <w:bCs/>
                <w:color w:val="auto"/>
                <w:kern w:val="0"/>
                <w:sz w:val="21"/>
                <w:szCs w:val="21"/>
                <w:highlight w:val="none"/>
                <w:lang w:val="en-US" w:eastAsia="zh-CN"/>
              </w:rPr>
              <w:t>东柳水厂位于大竹县工业园区</w:t>
            </w:r>
            <w:r>
              <w:rPr>
                <w:rFonts w:hint="default" w:eastAsia="宋体"/>
                <w:bCs/>
                <w:color w:val="auto"/>
                <w:kern w:val="0"/>
                <w:sz w:val="21"/>
                <w:szCs w:val="21"/>
                <w:highlight w:val="none"/>
                <w:lang w:val="en-US" w:eastAsia="zh-CN"/>
              </w:rPr>
              <w:t>DZG329</w:t>
            </w:r>
            <w:r>
              <w:rPr>
                <w:rFonts w:hint="eastAsia" w:eastAsia="宋体"/>
                <w:bCs/>
                <w:color w:val="auto"/>
                <w:kern w:val="0"/>
                <w:sz w:val="21"/>
                <w:szCs w:val="21"/>
                <w:highlight w:val="none"/>
                <w:lang w:val="en-US" w:eastAsia="zh-CN"/>
              </w:rPr>
              <w:t>地块，根据该地块国有建设用地使用权出让合同，东柳水厂占地面积为</w:t>
            </w:r>
            <w:r>
              <w:rPr>
                <w:rFonts w:hint="default" w:eastAsia="宋体"/>
                <w:bCs/>
                <w:color w:val="auto"/>
                <w:kern w:val="0"/>
                <w:sz w:val="21"/>
                <w:szCs w:val="21"/>
                <w:highlight w:val="none"/>
                <w:lang w:val="en-US" w:eastAsia="zh-CN"/>
              </w:rPr>
              <w:t>8.9669hm</w:t>
            </w:r>
            <w:r>
              <w:rPr>
                <w:rFonts w:hint="default" w:eastAsia="宋体"/>
                <w:bCs/>
                <w:color w:val="auto"/>
                <w:kern w:val="0"/>
                <w:sz w:val="21"/>
                <w:szCs w:val="21"/>
                <w:highlight w:val="none"/>
                <w:vertAlign w:val="superscript"/>
                <w:lang w:val="en-US" w:eastAsia="zh-CN"/>
              </w:rPr>
              <w:t>2</w:t>
            </w:r>
            <w:r>
              <w:rPr>
                <w:rFonts w:hint="eastAsia" w:eastAsia="宋体"/>
                <w:bCs/>
                <w:color w:val="auto"/>
                <w:kern w:val="0"/>
                <w:sz w:val="21"/>
                <w:szCs w:val="21"/>
                <w:highlight w:val="none"/>
                <w:lang w:val="en-US" w:eastAsia="zh-CN"/>
              </w:rPr>
              <w:t>，根据《大竹县人民政府关于</w:t>
            </w:r>
            <w:r>
              <w:rPr>
                <w:rFonts w:hint="default" w:eastAsia="宋体"/>
                <w:bCs/>
                <w:color w:val="auto"/>
                <w:kern w:val="0"/>
                <w:sz w:val="21"/>
                <w:szCs w:val="21"/>
                <w:highlight w:val="none"/>
                <w:lang w:val="en-US" w:eastAsia="zh-CN"/>
              </w:rPr>
              <w:t>DZG329</w:t>
            </w:r>
            <w:r>
              <w:rPr>
                <w:rFonts w:hint="eastAsia" w:eastAsia="宋体"/>
                <w:bCs/>
                <w:color w:val="auto"/>
                <w:kern w:val="0"/>
                <w:sz w:val="21"/>
                <w:szCs w:val="21"/>
                <w:highlight w:val="none"/>
                <w:lang w:val="en-US" w:eastAsia="zh-CN"/>
              </w:rPr>
              <w:t>号地块规划调整方案的批复竹府函〔</w:t>
            </w:r>
            <w:r>
              <w:rPr>
                <w:rFonts w:hint="default" w:eastAsia="宋体"/>
                <w:bCs/>
                <w:color w:val="auto"/>
                <w:kern w:val="0"/>
                <w:sz w:val="21"/>
                <w:szCs w:val="21"/>
                <w:highlight w:val="none"/>
                <w:lang w:val="en-US" w:eastAsia="zh-CN"/>
              </w:rPr>
              <w:t>2021</w:t>
            </w:r>
            <w:r>
              <w:rPr>
                <w:rFonts w:hint="eastAsia" w:eastAsia="宋体"/>
                <w:bCs/>
                <w:color w:val="auto"/>
                <w:kern w:val="0"/>
                <w:sz w:val="21"/>
                <w:szCs w:val="21"/>
                <w:highlight w:val="none"/>
                <w:lang w:val="en-US" w:eastAsia="zh-CN"/>
              </w:rPr>
              <w:t>〕</w:t>
            </w:r>
            <w:r>
              <w:rPr>
                <w:rFonts w:hint="default" w:eastAsia="宋体"/>
                <w:bCs/>
                <w:color w:val="auto"/>
                <w:kern w:val="0"/>
                <w:sz w:val="21"/>
                <w:szCs w:val="21"/>
                <w:highlight w:val="none"/>
                <w:lang w:val="en-US" w:eastAsia="zh-CN"/>
              </w:rPr>
              <w:t>26</w:t>
            </w:r>
            <w:r>
              <w:rPr>
                <w:rFonts w:hint="eastAsia" w:eastAsia="宋体"/>
                <w:bCs/>
                <w:color w:val="auto"/>
                <w:kern w:val="0"/>
                <w:sz w:val="21"/>
                <w:szCs w:val="21"/>
                <w:highlight w:val="none"/>
                <w:lang w:val="en-US" w:eastAsia="zh-CN"/>
              </w:rPr>
              <w:t>号》内容，其地块为供应设施用地，也为大竹县工业园区配套供水。本项目属于</w:t>
            </w:r>
            <w:r>
              <w:rPr>
                <w:bCs/>
                <w:color w:val="auto"/>
                <w:kern w:val="0"/>
                <w:sz w:val="21"/>
                <w:szCs w:val="21"/>
                <w:highlight w:val="none"/>
              </w:rPr>
              <w:t>自来水生产和供应</w:t>
            </w:r>
            <w:r>
              <w:rPr>
                <w:rFonts w:hint="eastAsia"/>
                <w:bCs/>
                <w:color w:val="auto"/>
                <w:kern w:val="0"/>
                <w:sz w:val="21"/>
                <w:szCs w:val="21"/>
                <w:highlight w:val="none"/>
                <w:lang w:val="en-US" w:eastAsia="zh-CN"/>
              </w:rPr>
              <w:t>项目，符合大竹经开区国土空间规划，</w:t>
            </w:r>
            <w:r>
              <w:rPr>
                <w:rFonts w:hint="eastAsia" w:eastAsia="宋体"/>
                <w:bCs/>
                <w:color w:val="auto"/>
                <w:kern w:val="0"/>
                <w:sz w:val="21"/>
                <w:szCs w:val="21"/>
                <w:lang w:val="en-US" w:eastAsia="zh-CN"/>
              </w:rPr>
              <w:t>项目</w:t>
            </w:r>
            <w:r>
              <w:rPr>
                <w:rFonts w:hint="eastAsia"/>
                <w:bCs/>
                <w:color w:val="auto"/>
                <w:kern w:val="0"/>
                <w:sz w:val="21"/>
                <w:szCs w:val="21"/>
                <w:lang w:val="en-US" w:eastAsia="zh-CN"/>
              </w:rPr>
              <w:t>永久占地</w:t>
            </w:r>
            <w:r>
              <w:rPr>
                <w:rFonts w:hint="eastAsia" w:eastAsia="宋体"/>
                <w:bCs/>
                <w:color w:val="auto"/>
                <w:kern w:val="0"/>
                <w:sz w:val="21"/>
                <w:szCs w:val="21"/>
                <w:lang w:val="en-US" w:eastAsia="zh-CN"/>
              </w:rPr>
              <w:t>周边主要为电子产品加工企业，非重污染企业，不会对本项目产生较大影响</w:t>
            </w:r>
            <w:r>
              <w:rPr>
                <w:rFonts w:hint="eastAsia"/>
                <w:bCs/>
                <w:color w:val="auto"/>
                <w:kern w:val="0"/>
                <w:sz w:val="21"/>
                <w:szCs w:val="21"/>
                <w:lang w:val="en-US" w:eastAsia="zh-CN"/>
              </w:rPr>
              <w:t>，</w:t>
            </w:r>
            <w:r>
              <w:rPr>
                <w:rFonts w:hint="eastAsia"/>
                <w:bCs/>
                <w:color w:val="auto"/>
                <w:kern w:val="0"/>
                <w:sz w:val="21"/>
                <w:szCs w:val="21"/>
                <w:highlight w:val="none"/>
                <w:lang w:val="en-US" w:eastAsia="zh-CN"/>
              </w:rPr>
              <w:t>选址合理。</w:t>
            </w:r>
          </w:p>
          <w:p>
            <w:pPr>
              <w:adjustRightInd w:val="0"/>
              <w:snapToGrid w:val="0"/>
              <w:spacing w:line="360" w:lineRule="auto"/>
              <w:ind w:firstLine="420" w:firstLineChars="200"/>
              <w:rPr>
                <w:rFonts w:hint="default"/>
                <w:bCs/>
                <w:color w:val="auto"/>
                <w:kern w:val="0"/>
                <w:sz w:val="21"/>
                <w:szCs w:val="21"/>
                <w:highlight w:val="none"/>
                <w:lang w:val="en-US" w:eastAsia="zh-CN"/>
              </w:rPr>
            </w:pPr>
            <w:r>
              <w:rPr>
                <w:rFonts w:hint="eastAsia"/>
                <w:bCs/>
                <w:color w:val="auto"/>
                <w:kern w:val="0"/>
                <w:sz w:val="21"/>
                <w:szCs w:val="21"/>
                <w:highlight w:val="none"/>
                <w:lang w:val="en-US" w:eastAsia="zh-CN"/>
              </w:rPr>
              <w:t>本项目管网占地为临时用地，临时用地面积约1644m</w:t>
            </w:r>
            <w:r>
              <w:rPr>
                <w:rFonts w:hint="eastAsia"/>
                <w:bCs/>
                <w:color w:val="auto"/>
                <w:kern w:val="0"/>
                <w:sz w:val="21"/>
                <w:szCs w:val="21"/>
                <w:highlight w:val="none"/>
                <w:vertAlign w:val="superscript"/>
                <w:lang w:val="en-US" w:eastAsia="zh-CN"/>
              </w:rPr>
              <w:t>2</w:t>
            </w:r>
            <w:r>
              <w:rPr>
                <w:rFonts w:hint="eastAsia"/>
                <w:bCs/>
                <w:color w:val="auto"/>
                <w:kern w:val="0"/>
                <w:sz w:val="21"/>
                <w:szCs w:val="21"/>
                <w:highlight w:val="none"/>
                <w:lang w:val="en-US" w:eastAsia="zh-CN"/>
              </w:rPr>
              <w:t>，临时用地类型包括工业用地、道路用地、绿化用地等，项目管线主要沿大竹县经开大道绿化带、东柳河岸线分布，最终接入东柳二水厂进水井，不占用耕地、林地，沿线不涉及重要生态敏感目标，选线合理。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9、平面布置及其合理性分析</w:t>
            </w:r>
          </w:p>
          <w:p>
            <w:pPr>
              <w:pStyle w:val="108"/>
              <w:ind w:firstLine="480"/>
              <w:rPr>
                <w:rFonts w:hint="default" w:cs="Times New Roman"/>
                <w:bCs/>
                <w:color w:val="auto"/>
                <w:sz w:val="21"/>
                <w:szCs w:val="21"/>
                <w:lang w:val="en-US" w:eastAsia="zh-CN"/>
              </w:rPr>
            </w:pPr>
            <w:r>
              <w:rPr>
                <w:rFonts w:hint="eastAsia" w:eastAsia="宋体"/>
                <w:bCs/>
                <w:color w:val="auto"/>
                <w:kern w:val="0"/>
                <w:sz w:val="21"/>
                <w:szCs w:val="21"/>
                <w:highlight w:val="none"/>
                <w:lang w:val="en-US" w:eastAsia="zh-CN"/>
              </w:rPr>
              <w:t>本项目</w:t>
            </w:r>
            <w:r>
              <w:rPr>
                <w:rFonts w:hint="eastAsia"/>
                <w:bCs/>
                <w:color w:val="auto"/>
                <w:kern w:val="0"/>
                <w:sz w:val="21"/>
                <w:szCs w:val="21"/>
                <w:highlight w:val="none"/>
                <w:lang w:val="en-US" w:eastAsia="zh-CN"/>
              </w:rPr>
              <w:t>永久用地</w:t>
            </w:r>
            <w:r>
              <w:rPr>
                <w:rFonts w:hint="eastAsia" w:cs="Times New Roman"/>
                <w:b w:val="0"/>
                <w:bCs w:val="0"/>
                <w:color w:val="auto"/>
                <w:sz w:val="21"/>
                <w:szCs w:val="21"/>
                <w:highlight w:val="none"/>
                <w:lang w:val="en-US" w:eastAsia="zh-CN"/>
              </w:rPr>
              <w:t>包括调节水池、加压泵站、值班室用地，</w:t>
            </w:r>
            <w:r>
              <w:rPr>
                <w:rFonts w:hint="eastAsia"/>
                <w:bCs/>
                <w:color w:val="auto"/>
                <w:kern w:val="0"/>
                <w:sz w:val="21"/>
                <w:szCs w:val="21"/>
                <w:highlight w:val="none"/>
                <w:lang w:val="en-US" w:eastAsia="zh-CN"/>
              </w:rPr>
              <w:t>永久用地</w:t>
            </w:r>
            <w:r>
              <w:rPr>
                <w:rFonts w:hint="eastAsia" w:eastAsia="宋体"/>
                <w:bCs/>
                <w:color w:val="auto"/>
                <w:kern w:val="0"/>
                <w:sz w:val="21"/>
                <w:szCs w:val="21"/>
                <w:highlight w:val="none"/>
                <w:lang w:val="en-US" w:eastAsia="zh-CN"/>
              </w:rPr>
              <w:t>面积</w:t>
            </w:r>
            <w:r>
              <w:rPr>
                <w:rFonts w:hint="eastAsia"/>
                <w:color w:val="auto"/>
                <w:sz w:val="21"/>
                <w:szCs w:val="21"/>
                <w:highlight w:val="none"/>
                <w:lang w:val="en-US" w:eastAsia="zh-CN"/>
              </w:rPr>
              <w:t>844.36</w:t>
            </w:r>
            <w:r>
              <w:rPr>
                <w:rFonts w:hint="eastAsia" w:eastAsia="宋体"/>
                <w:bCs/>
                <w:color w:val="auto"/>
                <w:kern w:val="0"/>
                <w:sz w:val="21"/>
                <w:szCs w:val="21"/>
                <w:highlight w:val="none"/>
                <w:lang w:val="en-US" w:eastAsia="zh-CN"/>
              </w:rPr>
              <w:t>m</w:t>
            </w:r>
            <w:r>
              <w:rPr>
                <w:rFonts w:hint="eastAsia" w:eastAsia="宋体"/>
                <w:bCs/>
                <w:color w:val="auto"/>
                <w:kern w:val="0"/>
                <w:sz w:val="21"/>
                <w:szCs w:val="21"/>
                <w:highlight w:val="none"/>
                <w:vertAlign w:val="superscript"/>
                <w:lang w:val="en-US" w:eastAsia="zh-CN"/>
              </w:rPr>
              <w:t>2</w:t>
            </w:r>
            <w:r>
              <w:rPr>
                <w:rFonts w:hint="eastAsia"/>
                <w:bCs/>
                <w:color w:val="auto"/>
                <w:kern w:val="0"/>
                <w:sz w:val="21"/>
                <w:szCs w:val="21"/>
                <w:highlight w:val="none"/>
                <w:lang w:val="en-US" w:eastAsia="zh-CN"/>
              </w:rPr>
              <w:t>，</w:t>
            </w:r>
            <w:r>
              <w:rPr>
                <w:rFonts w:hint="eastAsia" w:eastAsia="宋体"/>
                <w:bCs/>
                <w:color w:val="auto"/>
                <w:kern w:val="0"/>
                <w:sz w:val="21"/>
                <w:szCs w:val="21"/>
                <w:highlight w:val="none"/>
                <w:lang w:val="en-US" w:eastAsia="zh-CN"/>
              </w:rPr>
              <w:t>选址于东柳水厂用地红线范围内空地</w:t>
            </w:r>
            <w:r>
              <w:rPr>
                <w:rFonts w:hint="eastAsia"/>
                <w:bCs/>
                <w:color w:val="auto"/>
                <w:kern w:val="0"/>
                <w:sz w:val="21"/>
                <w:szCs w:val="21"/>
                <w:highlight w:val="none"/>
                <w:lang w:val="en-US" w:eastAsia="zh-CN"/>
              </w:rPr>
              <w:t>；项目调节池、加压泵站位于</w:t>
            </w:r>
            <w:r>
              <w:rPr>
                <w:rFonts w:hint="eastAsia" w:eastAsia="宋体"/>
                <w:bCs/>
                <w:color w:val="auto"/>
                <w:kern w:val="0"/>
                <w:sz w:val="21"/>
                <w:szCs w:val="21"/>
                <w:highlight w:val="none"/>
                <w:lang w:val="en-US" w:eastAsia="zh-CN"/>
              </w:rPr>
              <w:t>竹县宜美生态环保工程有限公司</w:t>
            </w:r>
            <w:r>
              <w:rPr>
                <w:rFonts w:hint="eastAsia"/>
                <w:bCs/>
                <w:color w:val="auto"/>
                <w:kern w:val="0"/>
                <w:sz w:val="21"/>
                <w:szCs w:val="21"/>
                <w:highlight w:val="none"/>
                <w:lang w:val="en-US" w:eastAsia="zh-CN"/>
              </w:rPr>
              <w:t>建设的“</w:t>
            </w:r>
            <w:r>
              <w:rPr>
                <w:rFonts w:hint="eastAsia" w:eastAsia="宋体"/>
                <w:bCs/>
                <w:color w:val="auto"/>
                <w:kern w:val="0"/>
                <w:sz w:val="21"/>
                <w:szCs w:val="21"/>
                <w:highlight w:val="none"/>
                <w:lang w:val="en-US" w:eastAsia="zh-CN"/>
              </w:rPr>
              <w:t>乌木滩水库原水深度处理工程（一体化设备建设工程部分）</w:t>
            </w:r>
            <w:r>
              <w:rPr>
                <w:rFonts w:hint="eastAsia"/>
                <w:bCs/>
                <w:color w:val="auto"/>
                <w:kern w:val="0"/>
                <w:sz w:val="21"/>
                <w:szCs w:val="21"/>
                <w:highlight w:val="none"/>
                <w:lang w:val="en-US" w:eastAsia="zh-CN"/>
              </w:rPr>
              <w:t>”</w:t>
            </w:r>
            <w:r>
              <w:rPr>
                <w:rFonts w:hint="eastAsia" w:cs="Times New Roman"/>
                <w:bCs/>
                <w:color w:val="auto"/>
                <w:sz w:val="21"/>
                <w:szCs w:val="21"/>
                <w:lang w:val="en-US" w:eastAsia="zh-CN"/>
              </w:rPr>
              <w:t>西侧，临近该项目清水外排池旁，便于来水输送，项目值班室位于该项目一体化设备与加压泵站中间，便于工作人员进出及管理。</w:t>
            </w:r>
          </w:p>
          <w:p>
            <w:pPr>
              <w:adjustRightInd w:val="0"/>
              <w:snapToGrid w:val="0"/>
              <w:spacing w:line="360" w:lineRule="auto"/>
              <w:ind w:firstLine="420" w:firstLineChars="200"/>
              <w:rPr>
                <w:rFonts w:hint="default"/>
                <w:bCs/>
                <w:color w:val="auto"/>
                <w:kern w:val="0"/>
                <w:sz w:val="21"/>
                <w:szCs w:val="21"/>
                <w:highlight w:val="none"/>
                <w:lang w:val="en-US" w:eastAsia="zh-CN"/>
              </w:rPr>
            </w:pPr>
            <w:r>
              <w:rPr>
                <w:rFonts w:hint="eastAsia"/>
                <w:bCs/>
                <w:color w:val="auto"/>
                <w:kern w:val="0"/>
                <w:sz w:val="21"/>
                <w:szCs w:val="21"/>
                <w:highlight w:val="none"/>
                <w:lang w:val="en-US" w:eastAsia="zh-CN"/>
              </w:rPr>
              <w:t>本项目管网占地为临时用地，用地类型包括工业用地、道路用地、绿化用地等，项目管线一部分位于东柳水厂用地范围，另外部分主要沿大竹县经开大道绿化带、东柳河岸线分布，最终接入东柳二水厂进水井，本项目临时占地不占用耕地、林地，沿线不涉及重要生态敏感目标，管线布置合理。</w:t>
            </w: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p>
            <w:pPr>
              <w:pStyle w:val="108"/>
              <w:ind w:firstLine="480"/>
              <w:rPr>
                <w:rFonts w:hint="eastAsia"/>
                <w:color w:val="auto"/>
                <w:lang w:val="en-US" w:eastAsia="zh-CN"/>
              </w:rPr>
            </w:pPr>
          </w:p>
        </w:tc>
      </w:tr>
    </w:tbl>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bookmarkStart w:id="7" w:name="_Toc68596105"/>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bookmarkEnd w:id="7"/>
    </w:p>
    <w:tbl>
      <w:tblPr>
        <w:tblStyle w:val="28"/>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654" w:type="dxa"/>
            <w:vAlign w:val="center"/>
          </w:tcPr>
          <w:p>
            <w:pPr>
              <w:pStyle w:val="24"/>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406" w:type="dxa"/>
          </w:tcPr>
          <w:p>
            <w:pPr>
              <w:pStyle w:val="11"/>
              <w:spacing w:before="0" w:after="0" w:line="360" w:lineRule="auto"/>
              <w:ind w:right="0"/>
              <w:jc w:val="left"/>
              <w:rPr>
                <w:b/>
                <w:color w:val="auto"/>
                <w:kern w:val="2"/>
                <w:sz w:val="24"/>
                <w:szCs w:val="24"/>
              </w:rPr>
            </w:pPr>
            <w:r>
              <w:rPr>
                <w:b/>
                <w:color w:val="auto"/>
                <w:kern w:val="2"/>
                <w:sz w:val="24"/>
                <w:szCs w:val="24"/>
              </w:rPr>
              <w:t>一、项目由来</w:t>
            </w:r>
          </w:p>
          <w:p>
            <w:pPr>
              <w:spacing w:line="360" w:lineRule="auto"/>
              <w:ind w:firstLine="480" w:firstLineChars="200"/>
              <w:rPr>
                <w:rFonts w:hint="default" w:ascii="Times New Roman" w:hAnsi="Times New Roman" w:eastAsia="宋体" w:cs="Times New Roman"/>
                <w:color w:val="auto"/>
                <w:sz w:val="24"/>
                <w:lang w:val="en-US" w:eastAsia="zh-CN"/>
              </w:rPr>
            </w:pPr>
            <w:bookmarkStart w:id="8" w:name="_Hlk104251698"/>
            <w:r>
              <w:rPr>
                <w:rFonts w:hint="eastAsia" w:ascii="Times New Roman" w:hAnsi="Times New Roman" w:eastAsia="宋体" w:cs="Times New Roman"/>
                <w:color w:val="auto"/>
                <w:sz w:val="24"/>
                <w:lang w:val="en-US" w:eastAsia="zh-CN"/>
              </w:rPr>
              <w:t xml:space="preserve"> 大竹县城区日常由乌木滩水库、龙潭水库两个饮用水源地供水，城区日常供水约5.5万m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/d。大竹县城区供水由老东柳水厂、西城水厂供水，老东柳水厂的取水水源为乌木滩水库，设计供水规模为3.5万m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/d，日常供水约2万m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/d；西城水厂的取水水源为龙潭水库，设计供水规模为4.0万m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/d，日常供水约3.5万m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/d。另外，东柳二水厂取水水源也为乌木滩水库，日常供水约3800m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2022年，大竹县遭遇了罕见旱情，乌木滩水库因水位降低、气温骤变等原因，库底沉积物上扬，原水水质受到影响，根据</w:t>
            </w:r>
            <w:r>
              <w:rPr>
                <w:rFonts w:hint="eastAsia" w:cs="Times New Roman"/>
                <w:color w:val="auto"/>
                <w:sz w:val="24"/>
                <w:lang w:val="en-US" w:eastAsia="zh-CN"/>
              </w:rPr>
              <w:t>达州市</w:t>
            </w:r>
            <w:r>
              <w:rPr>
                <w:rFonts w:hint="eastAsia" w:ascii="Times New Roman" w:hAnsi="Times New Roman" w:eastAsia="宋体" w:cs="Times New Roman"/>
                <w:color w:val="auto"/>
                <w:sz w:val="24"/>
                <w:lang w:val="en-US" w:eastAsia="zh-CN"/>
              </w:rPr>
              <w:t>生态环境局</w:t>
            </w:r>
            <w:r>
              <w:rPr>
                <w:rFonts w:hint="eastAsia" w:cs="Times New Roman"/>
                <w:color w:val="auto"/>
                <w:sz w:val="24"/>
                <w:lang w:val="en-US" w:eastAsia="zh-CN"/>
              </w:rPr>
              <w:t>委托监测</w:t>
            </w:r>
            <w:r>
              <w:rPr>
                <w:rFonts w:hint="eastAsia" w:ascii="Times New Roman" w:hAnsi="Times New Roman" w:eastAsia="宋体" w:cs="Times New Roman"/>
                <w:color w:val="auto"/>
                <w:sz w:val="24"/>
                <w:lang w:val="en-US" w:eastAsia="zh-CN"/>
              </w:rPr>
              <w:t>的乌木滩水库水质监测</w:t>
            </w:r>
            <w:r>
              <w:rPr>
                <w:rFonts w:hint="eastAsia" w:cs="Times New Roman"/>
                <w:color w:val="auto"/>
                <w:sz w:val="24"/>
                <w:lang w:val="en-US" w:eastAsia="zh-CN"/>
              </w:rPr>
              <w:t>报告</w:t>
            </w:r>
            <w:r>
              <w:rPr>
                <w:rFonts w:hint="eastAsia" w:ascii="Times New Roman" w:hAnsi="Times New Roman" w:eastAsia="宋体" w:cs="Times New Roman"/>
                <w:color w:val="auto"/>
                <w:sz w:val="24"/>
                <w:lang w:val="en-US" w:eastAsia="zh-CN"/>
              </w:rPr>
              <w:t>（202</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年</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日</w:t>
            </w:r>
            <w:r>
              <w:rPr>
                <w:rFonts w:hint="eastAsia" w:cs="Times New Roman"/>
                <w:color w:val="auto"/>
                <w:sz w:val="24"/>
                <w:lang w:val="en-US" w:eastAsia="zh-CN"/>
              </w:rPr>
              <w:t>，见附件</w:t>
            </w:r>
            <w:r>
              <w:rPr>
                <w:rFonts w:hint="eastAsia" w:ascii="Times New Roman" w:hAnsi="Times New Roman" w:eastAsia="宋体" w:cs="Times New Roman"/>
                <w:color w:val="auto"/>
                <w:sz w:val="24"/>
                <w:lang w:val="en-US" w:eastAsia="zh-CN"/>
              </w:rPr>
              <w:t>），乌木滩水库水质存在锰、氨氮、总氮等指标超标的问题，不能满足《地表水环境质量标准》（GB3838-2002）Ⅲ类水质标准</w:t>
            </w:r>
            <w:r>
              <w:rPr>
                <w:rFonts w:hint="eastAsia" w:eastAsia="宋体" w:cs="Times New Roman"/>
                <w:color w:val="auto"/>
                <w:sz w:val="24"/>
                <w:lang w:val="en-US" w:eastAsia="zh-CN"/>
              </w:rPr>
              <w:t>，不</w:t>
            </w:r>
            <w:r>
              <w:rPr>
                <w:rFonts w:hint="eastAsia" w:ascii="Times New Roman" w:hAnsi="Times New Roman" w:eastAsia="宋体" w:cs="Times New Roman"/>
                <w:color w:val="auto"/>
                <w:sz w:val="24"/>
                <w:lang w:val="en-US" w:eastAsia="zh-CN"/>
              </w:rPr>
              <w:t>能</w:t>
            </w:r>
            <w:r>
              <w:rPr>
                <w:rFonts w:hint="eastAsia" w:eastAsia="宋体" w:cs="Times New Roman"/>
                <w:color w:val="auto"/>
                <w:sz w:val="24"/>
                <w:lang w:val="en-US" w:eastAsia="zh-CN"/>
              </w:rPr>
              <w:t>直接作为</w:t>
            </w:r>
            <w:r>
              <w:rPr>
                <w:rFonts w:hint="eastAsia" w:ascii="Times New Roman" w:hAnsi="Times New Roman" w:eastAsia="宋体" w:cs="Times New Roman"/>
                <w:color w:val="auto"/>
                <w:sz w:val="24"/>
                <w:lang w:val="en-US" w:eastAsia="zh-CN"/>
              </w:rPr>
              <w:t>饮用水水源。</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保障居民用水安全，自2022年12月底，暂停由乌木滩水库水源取水。乌木滩水库暂停取水期间，仅依靠龙潭水库水源，由西城水厂保障城区供水，造成了较大的供水缺口，为此，大竹县紧急采取了分片区分时段供水措施。</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大竹县供水量不足和饮用水水源地水质不达标的问题严重影响了大竹县居民的正常生活，为解决大竹县饮水安全问题，大竹县政府于2022年12月紧急启动“乌木滩水库原水深度处理工程 ”，该项目将乌木滩水库原水经深度处理到地表水Ⅲ类水质标准，然后再加压向老东柳水厂、东柳二水厂进行供水。</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根据“大竹县饮用水安全保供专项工作领导小组会议纪要（2023年1月9日）”，明确“由大竹县盛洁城乡供排水有限公司为业主，实施乌木滩水库原水深度处理工程（输水、排水、加压系统配套设施建设工程部分）</w:t>
            </w:r>
            <w:r>
              <w:rPr>
                <w:rFonts w:hint="eastAsia" w:cs="Times New Roman"/>
                <w:b/>
                <w:bCs/>
                <w:color w:val="auto"/>
                <w:sz w:val="24"/>
                <w:lang w:val="en-US" w:eastAsia="zh-CN"/>
              </w:rPr>
              <w:t>（本次评价内容，</w:t>
            </w:r>
            <w:r>
              <w:rPr>
                <w:rFonts w:hint="eastAsia" w:ascii="宋体" w:hAnsi="宋体" w:eastAsia="宋体" w:cs="宋体"/>
                <w:b/>
                <w:bCs/>
                <w:color w:val="auto"/>
                <w:sz w:val="24"/>
                <w:szCs w:val="24"/>
                <w:lang w:val="en-US" w:eastAsia="zh-CN"/>
              </w:rPr>
              <w:t>以下简称“本项目”或“项目”</w:t>
            </w:r>
            <w:r>
              <w:rPr>
                <w:rFonts w:hint="eastAsia" w:cs="Times New Roman"/>
                <w:b/>
                <w:bCs/>
                <w:color w:val="auto"/>
                <w:sz w:val="24"/>
                <w:lang w:val="en-US" w:eastAsia="zh-CN"/>
              </w:rPr>
              <w:t>）</w:t>
            </w:r>
            <w:r>
              <w:rPr>
                <w:rFonts w:hint="eastAsia" w:ascii="Times New Roman" w:hAnsi="Times New Roman" w:eastAsia="宋体" w:cs="Times New Roman"/>
                <w:b/>
                <w:bCs/>
                <w:color w:val="auto"/>
                <w:sz w:val="24"/>
                <w:lang w:val="en-US" w:eastAsia="zh-CN"/>
              </w:rPr>
              <w:t>”</w:t>
            </w:r>
            <w:r>
              <w:rPr>
                <w:rFonts w:hint="eastAsia" w:ascii="Times New Roman" w:hAnsi="Times New Roman" w:eastAsia="宋体" w:cs="Times New Roman"/>
                <w:color w:val="auto"/>
                <w:sz w:val="24"/>
                <w:lang w:val="en-US" w:eastAsia="zh-CN"/>
              </w:rPr>
              <w:t>；由大竹县宜美生态环保工程有限公司为业主，实施乌木滩水库原水深度处理工程（一体化设备建设工程部分）</w:t>
            </w:r>
            <w:r>
              <w:rPr>
                <w:rFonts w:hint="eastAsia" w:cs="Times New Roman"/>
                <w:color w:val="auto"/>
                <w:sz w:val="24"/>
                <w:lang w:val="en-US" w:eastAsia="zh-CN"/>
              </w:rPr>
              <w:t>，</w:t>
            </w:r>
            <w:r>
              <w:rPr>
                <w:rFonts w:hint="eastAsia" w:cs="Times New Roman"/>
                <w:b/>
                <w:bCs/>
                <w:color w:val="auto"/>
                <w:sz w:val="24"/>
                <w:lang w:val="en-US" w:eastAsia="zh-CN"/>
              </w:rPr>
              <w:t>该建设内容另行环评</w:t>
            </w:r>
            <w:r>
              <w:rPr>
                <w:rFonts w:hint="eastAsia" w:ascii="Times New Roman" w:hAnsi="Times New Roman" w:eastAsia="宋体" w:cs="Times New Roman"/>
                <w:b/>
                <w:bCs/>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宋体" w:hAnsi="宋体" w:eastAsia="宋体" w:cs="宋体"/>
                <w:color w:val="auto"/>
                <w:sz w:val="24"/>
                <w:szCs w:val="24"/>
                <w:lang w:val="en-US" w:eastAsia="zh-CN"/>
              </w:rPr>
              <w:t>本项目主要建设内容包括：</w:t>
            </w:r>
            <w:r>
              <w:rPr>
                <w:rFonts w:hint="eastAsia" w:ascii="Times New Roman" w:hAnsi="Times New Roman" w:eastAsia="宋体" w:cs="Times New Roman"/>
                <w:color w:val="auto"/>
                <w:sz w:val="24"/>
                <w:lang w:val="en-US" w:eastAsia="zh-CN"/>
              </w:rPr>
              <w:t>新建泵房一座</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安装三台大泵（两备一用）供给老东柳水厂；安装两台小泵（一备一用）供给东柳</w:t>
            </w:r>
            <w:r>
              <w:rPr>
                <w:rFonts w:hint="eastAsia" w:cs="Times New Roman"/>
                <w:color w:val="auto"/>
                <w:sz w:val="24"/>
                <w:lang w:val="en-US" w:eastAsia="zh-CN"/>
              </w:rPr>
              <w:t>二</w:t>
            </w:r>
            <w:r>
              <w:rPr>
                <w:rFonts w:hint="eastAsia" w:ascii="Times New Roman" w:hAnsi="Times New Roman" w:eastAsia="宋体" w:cs="Times New Roman"/>
                <w:color w:val="auto"/>
                <w:sz w:val="24"/>
                <w:lang w:val="en-US" w:eastAsia="zh-CN"/>
              </w:rPr>
              <w:t>水厂</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铺设DN600球墨管360</w:t>
            </w:r>
            <w:r>
              <w:rPr>
                <w:rFonts w:hint="eastAsia" w:cs="Times New Roman"/>
                <w:color w:val="auto"/>
                <w:sz w:val="24"/>
                <w:lang w:val="en-US" w:eastAsia="zh-CN"/>
              </w:rPr>
              <w:t>m，由经开大道老东柳老水厂原水输送管道接</w:t>
            </w:r>
            <w:r>
              <w:rPr>
                <w:rFonts w:hint="eastAsia" w:ascii="Times New Roman" w:hAnsi="Times New Roman" w:eastAsia="宋体" w:cs="Times New Roman"/>
                <w:color w:val="auto"/>
                <w:sz w:val="24"/>
                <w:lang w:val="en-US" w:eastAsia="zh-CN"/>
              </w:rPr>
              <w:t>大竹县宜美生态环保工程有限公司</w:t>
            </w:r>
            <w:r>
              <w:rPr>
                <w:rFonts w:hint="eastAsia" w:cs="Times New Roman"/>
                <w:color w:val="auto"/>
                <w:sz w:val="24"/>
                <w:lang w:val="en-US" w:eastAsia="zh-CN"/>
              </w:rPr>
              <w:t>建设的原水深度处理一体化设备；</w:t>
            </w:r>
            <w:r>
              <w:rPr>
                <w:rFonts w:hint="eastAsia" w:ascii="Times New Roman" w:hAnsi="Times New Roman" w:eastAsia="宋体" w:cs="Times New Roman"/>
                <w:color w:val="auto"/>
                <w:sz w:val="24"/>
                <w:lang w:val="en-US" w:eastAsia="zh-CN"/>
              </w:rPr>
              <w:t>铺设DN600球墨管</w:t>
            </w:r>
            <w:r>
              <w:rPr>
                <w:rFonts w:hint="eastAsia" w:cs="Times New Roman"/>
                <w:color w:val="auto"/>
                <w:sz w:val="24"/>
                <w:lang w:val="en-US" w:eastAsia="zh-CN"/>
              </w:rPr>
              <w:t>24</w:t>
            </w:r>
            <w:r>
              <w:rPr>
                <w:rFonts w:hint="eastAsia" w:ascii="Times New Roman" w:hAnsi="Times New Roman" w:eastAsia="宋体" w:cs="Times New Roman"/>
                <w:color w:val="auto"/>
                <w:sz w:val="24"/>
                <w:lang w:val="en-US" w:eastAsia="zh-CN"/>
              </w:rPr>
              <w:t>0</w:t>
            </w:r>
            <w:r>
              <w:rPr>
                <w:rFonts w:hint="eastAsia" w:cs="Times New Roman"/>
                <w:color w:val="auto"/>
                <w:sz w:val="24"/>
                <w:lang w:val="en-US" w:eastAsia="zh-CN"/>
              </w:rPr>
              <w:t>m，连接</w:t>
            </w:r>
            <w:r>
              <w:rPr>
                <w:rFonts w:hint="eastAsia" w:ascii="Times New Roman" w:hAnsi="Times New Roman" w:eastAsia="宋体" w:cs="Times New Roman"/>
                <w:color w:val="auto"/>
                <w:sz w:val="24"/>
                <w:lang w:val="en-US" w:eastAsia="zh-CN"/>
              </w:rPr>
              <w:t>新建泵房</w:t>
            </w:r>
            <w:r>
              <w:rPr>
                <w:rFonts w:hint="eastAsia" w:cs="Times New Roman"/>
                <w:color w:val="auto"/>
                <w:sz w:val="24"/>
                <w:lang w:val="en-US" w:eastAsia="zh-CN"/>
              </w:rPr>
              <w:t>至老东柳水厂原水输送管道；</w:t>
            </w:r>
            <w:r>
              <w:rPr>
                <w:rFonts w:hint="eastAsia" w:ascii="Times New Roman" w:hAnsi="Times New Roman" w:eastAsia="宋体" w:cs="Times New Roman"/>
                <w:color w:val="auto"/>
                <w:sz w:val="24"/>
                <w:lang w:val="en-US" w:eastAsia="zh-CN"/>
              </w:rPr>
              <w:t>从泵站新建1.0Mpa</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val="en-US" w:eastAsia="zh-CN"/>
              </w:rPr>
              <w:t>DN315</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val="en-US" w:eastAsia="zh-CN"/>
              </w:rPr>
              <w:t>PE输水管3600</w:t>
            </w:r>
            <w:r>
              <w:rPr>
                <w:rFonts w:hint="eastAsia" w:cs="Times New Roman"/>
                <w:color w:val="auto"/>
                <w:sz w:val="24"/>
                <w:lang w:val="en-US" w:eastAsia="zh-CN"/>
              </w:rPr>
              <w:t>m</w:t>
            </w:r>
            <w:r>
              <w:rPr>
                <w:rFonts w:hint="eastAsia" w:ascii="Times New Roman" w:hAnsi="Times New Roman" w:eastAsia="宋体" w:cs="Times New Roman"/>
                <w:color w:val="auto"/>
                <w:sz w:val="24"/>
                <w:lang w:val="en-US" w:eastAsia="zh-CN"/>
              </w:rPr>
              <w:t>至东柳</w:t>
            </w:r>
            <w:r>
              <w:rPr>
                <w:rFonts w:hint="eastAsia" w:cs="Times New Roman"/>
                <w:color w:val="auto"/>
                <w:sz w:val="24"/>
                <w:lang w:val="en-US" w:eastAsia="zh-CN"/>
              </w:rPr>
              <w:t>二</w:t>
            </w:r>
            <w:r>
              <w:rPr>
                <w:rFonts w:hint="eastAsia" w:ascii="Times New Roman" w:hAnsi="Times New Roman" w:eastAsia="宋体" w:cs="Times New Roman"/>
                <w:color w:val="auto"/>
                <w:sz w:val="24"/>
                <w:lang w:val="en-US" w:eastAsia="zh-CN"/>
              </w:rPr>
              <w:t>水厂；</w:t>
            </w:r>
            <w:r>
              <w:rPr>
                <w:rFonts w:hint="eastAsia" w:cs="Times New Roman"/>
                <w:color w:val="auto"/>
                <w:sz w:val="24"/>
                <w:lang w:val="en-US" w:eastAsia="zh-CN"/>
              </w:rPr>
              <w:t>从反冲洗水回用池</w:t>
            </w:r>
            <w:r>
              <w:rPr>
                <w:rFonts w:hint="eastAsia" w:ascii="Times New Roman" w:hAnsi="Times New Roman" w:eastAsia="宋体" w:cs="Times New Roman"/>
                <w:color w:val="auto"/>
                <w:sz w:val="24"/>
                <w:lang w:val="en-US" w:eastAsia="zh-CN"/>
              </w:rPr>
              <w:t>铺设DN500砼管300</w:t>
            </w:r>
            <w:r>
              <w:rPr>
                <w:rFonts w:hint="eastAsia" w:cs="Times New Roman"/>
                <w:color w:val="auto"/>
                <w:sz w:val="24"/>
                <w:lang w:val="en-US" w:eastAsia="zh-CN"/>
              </w:rPr>
              <w:t>m</w:t>
            </w:r>
            <w:r>
              <w:rPr>
                <w:rFonts w:hint="eastAsia" w:ascii="Times New Roman" w:hAnsi="Times New Roman" w:eastAsia="宋体" w:cs="Times New Roman"/>
                <w:color w:val="auto"/>
                <w:sz w:val="24"/>
                <w:lang w:val="en-US" w:eastAsia="zh-CN"/>
              </w:rPr>
              <w:t>至园区污水管网内；新建700</w:t>
            </w:r>
            <w:r>
              <w:rPr>
                <w:rFonts w:hint="eastAsia" w:cs="Times New Roman"/>
                <w:color w:val="auto"/>
                <w:sz w:val="24"/>
                <w:lang w:val="en-US" w:eastAsia="zh-CN"/>
              </w:rPr>
              <w:t>m</w:t>
            </w:r>
            <w:r>
              <w:rPr>
                <w:rFonts w:hint="eastAsia" w:cs="Times New Roman"/>
                <w:color w:val="auto"/>
                <w:sz w:val="24"/>
                <w:vertAlign w:val="superscript"/>
                <w:lang w:val="en-US" w:eastAsia="zh-CN"/>
              </w:rPr>
              <w:t>3</w:t>
            </w:r>
            <w:r>
              <w:rPr>
                <w:rFonts w:hint="eastAsia" w:cs="Times New Roman"/>
                <w:color w:val="auto"/>
                <w:sz w:val="24"/>
                <w:vertAlign w:val="baseline"/>
                <w:lang w:val="en-US" w:eastAsia="zh-CN"/>
              </w:rPr>
              <w:t>吸水</w:t>
            </w:r>
            <w:r>
              <w:rPr>
                <w:rFonts w:hint="eastAsia" w:ascii="Times New Roman" w:hAnsi="Times New Roman" w:eastAsia="宋体" w:cs="Times New Roman"/>
                <w:color w:val="auto"/>
                <w:sz w:val="24"/>
                <w:lang w:val="en-US" w:eastAsia="zh-CN"/>
              </w:rPr>
              <w:t>调节池1座</w:t>
            </w:r>
            <w:r>
              <w:rPr>
                <w:rFonts w:hint="eastAsia" w:cs="Times New Roman"/>
                <w:color w:val="auto"/>
                <w:sz w:val="24"/>
                <w:lang w:val="en-US" w:eastAsia="zh-CN"/>
              </w:rPr>
              <w:t>；新建值班室1间</w:t>
            </w:r>
            <w:r>
              <w:rPr>
                <w:rFonts w:hint="eastAsia" w:ascii="Times New Roman" w:hAnsi="Times New Roman" w:eastAsia="宋体" w:cs="Times New Roman"/>
                <w:color w:val="auto"/>
                <w:sz w:val="24"/>
                <w:lang w:val="en-US" w:eastAsia="zh-CN"/>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本项目与老东柳水厂、在建东柳水厂、东柳二水厂等关联关系如下图：</w:t>
            </w:r>
          </w:p>
          <w:p>
            <w:pPr>
              <w:spacing w:line="360" w:lineRule="auto"/>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4164330</wp:posOffset>
                      </wp:positionH>
                      <wp:positionV relativeFrom="paragraph">
                        <wp:posOffset>96520</wp:posOffset>
                      </wp:positionV>
                      <wp:extent cx="564515" cy="27305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56451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pt;margin-top:7.6pt;height:21.5pt;width:44.45pt;z-index:251683840;mso-width-relative:page;mso-height-relative:page;" filled="f" stroked="f" coordsize="21600,21600" o:gfxdata="UEsDBAoAAAAAAIdO4kAAAAAAAAAAAAAAAAAEAAAAZHJzL1BLAwQUAAAACACHTuJAEfdDBdoAAAAJ&#10;AQAADwAAAGRycy9kb3ducmV2LnhtbE2PzU7DMBCE70i8g7VI3KjTqGmjEKdCkSokBIeWXrhtYjeJ&#10;sNchdn/g6VlO9Dia0cw35frirDiZKQyeFMxnCQhDrdcDdQr275uHHESISBqtJ6Pg2wRYV7c3JRba&#10;n2lrTrvYCS6hUKCCPsaxkDK0vXEYZn40xN7BTw4jy6mTesIzlzsr0yRZSocD8UKPo6l7037ujk7B&#10;S715w22TuvzH1s+vh6fxa/+RKXV/N08eQURzif9h+MNndKiYqfFH0kFYBcssY/TIRpaC4MBqsViB&#10;aBRkeQqyKuX1g+oXUEsDBBQAAAAIAIdO4kD/7u2pIAIAABkEAAAOAAAAZHJzL2Uyb0RvYy54bWyt&#10;U82O0zAQviPxDpbvNG236bJV01XZVRFSxa5UEGfXsZtItsfYbpPyAPAGnLhw57n6HIydtlt+ToiL&#10;M56ZzPj75pvpbasV2QnnazAFHfT6lAjDoazNpqDv3y1evKTEB2ZKpsCIgu6Fp7ez58+mjZ2IIVSg&#10;SuEIFjF+0tiCViHYSZZ5XgnNfA+sMBiU4DQLeHWbrHSswepaZcN+f5w14ErrgAvv0XvfBeks1ZdS&#10;8PAgpReBqILi20I6XTrX8cxmUzbZOGarmh+fwf7hFZrVBpueS92zwMjW1X+U0jV34EGGHgedgZQ1&#10;FwkDohn0f0OzqpgVCQuS4+2ZJv//yvK3u0dH6rKg+Q0lhmmc0eHrl8O3H4fvnwn6kKDG+gnmrSxm&#10;hvYVtDjok9+jM+JupdPxi4gIxpHq/Zle0QbC0ZmPR/kgp4RjaHh91c8T/dnTz9b58FqAJtEoqMPp&#10;JVLZbukDPgRTTymxl4FFrVSaoDKkKej4Ckv+EsE/lMEfI4TuqdEK7bo94lpDuUdYDjpleMsXNTZf&#10;Mh8emUMpIBKUd3jAQyrAJnC0KKnAffqbP+bjhDBKSYPSKqj/uGVOUKLeGJzdzWA0ilpMl1F+PcSL&#10;u4ysLyNmq+8A1TvARbI8mTE/qJMpHegPuAXz2BVDzHDsXdBwMu9CJ3jcIi7m85SE6rMsLM3K8li6&#10;I22+DSDrxHSkqePmyB7qLw3guCtR4Jf3lPW00b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fdD&#10;BdoAAAAJAQAADwAAAAAAAAABACAAAAAiAAAAZHJzL2Rvd25yZXYueG1sUEsBAhQAFAAAAAgAh07i&#10;QP/u7akgAgAAGQQAAA4AAAAAAAAAAQAgAAAAKQEAAGRycy9lMm9Eb2MueG1sUEsFBgAAAAAGAAYA&#10;WQEAALsFAAAAAA==&#10;">
                      <v:fill on="f" focussize="0,0"/>
                      <v:stroke on="f" weight="0.5pt"/>
                      <v:imagedata o:title=""/>
                      <o:lock v:ext="edit" aspectratio="f"/>
                      <v:textbox>
                        <w:txbxContent>
                          <w:p>
                            <w:pPr>
                              <w:jc w:val="center"/>
                              <w:rPr>
                                <w:rFonts w:hint="default"/>
                                <w:lang w:val="en-US" w:eastAsia="zh-CN"/>
                              </w:rPr>
                            </w:pPr>
                            <w:r>
                              <w:rPr>
                                <w:rFonts w:hint="eastAsia"/>
                                <w:lang w:val="en-US" w:eastAsia="zh-CN"/>
                              </w:rPr>
                              <w:t>图例</w:t>
                            </w:r>
                          </w:p>
                        </w:txbxContent>
                      </v:textbox>
                    </v:shape>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3577590</wp:posOffset>
                      </wp:positionH>
                      <wp:positionV relativeFrom="paragraph">
                        <wp:posOffset>40640</wp:posOffset>
                      </wp:positionV>
                      <wp:extent cx="1624965" cy="1769745"/>
                      <wp:effectExtent l="9525" t="9525" r="16510" b="11430"/>
                      <wp:wrapNone/>
                      <wp:docPr id="88" name="矩形 88"/>
                      <wp:cNvGraphicFramePr/>
                      <a:graphic xmlns:a="http://schemas.openxmlformats.org/drawingml/2006/main">
                        <a:graphicData uri="http://schemas.microsoft.com/office/word/2010/wordprocessingShape">
                          <wps:wsp>
                            <wps:cNvSpPr/>
                            <wps:spPr>
                              <a:xfrm>
                                <a:off x="0" y="0"/>
                                <a:ext cx="1624965" cy="176974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7pt;margin-top:3.2pt;height:139.35pt;width:127.95pt;z-index:251709440;v-text-anchor:middle;mso-width-relative:page;mso-height-relative:page;" filled="f" stroked="t" coordsize="21600,21600" o:gfxdata="UEsDBAoAAAAAAIdO4kAAAAAAAAAAAAAAAAAEAAAAZHJzL1BLAwQUAAAACACHTuJA2sqpLdoAAAAJ&#10;AQAADwAAAGRycy9kb3ducmV2LnhtbE2PzU7DMBCE70i8g7VI3KiThkYhxKn4ETdUlbYXbk68JBHx&#10;OoqdtunTs5zgNFrNaObbYn22vTji6DtHCuJFBAKpdqajRsFh/3aXgfBBk9G9I1Qwo4d1eX1V6Ny4&#10;E33gcRcawSXkc62gDWHIpfR1i1b7hRuQ2Ptyo9WBz7GRZtQnLre9XEZRKq3uiBdaPeBLi/X3brIK&#10;rH5NLttqpnlfvR/658/N5vI0KXV7E0ePIAKew18YfvEZHUpmqtxExotewSpN7jmqIGVhP4sfEhCV&#10;gmW2ikGWhfz/QfkDUEsDBBQAAAAIAIdO4kC3GlkkTgIAAIAEAAAOAAAAZHJzL2Uyb0RvYy54bWyt&#10;VEuKGzEQ3QdyB6F9pm3jz7hxezAzTAiYjGESsi6rJbdAv0iy285lAtnlEDlOyDVSUvd4nM8qxAu5&#10;SlV6Ur161Yubo1bkwH2Q1lR0eDWghBtma2l2FX3/7v7VNSUhgqlBWcMreuKB3ixfvli0ruQj21hV&#10;c08QxISydRVtYnRlUQTWcA3hyjpuMCis1xDR9bui9tAiulbFaDCYFq31tfOW8RBw964L0mXGF4Kz&#10;+CBE4JGoiuLbYl59XrdpLZYLKHceXCNZ/wz4h1dokAYvPUPdQQSy9/IPKC2Zt8GKeMWsLqwQkvFc&#10;A1YzHPxWzWMDjudakJzgzjSF/wfL3h42nsi6otfYKQMae/Tj89fv374Q3EB2WhdKTHp0G997Ac1U&#10;6lF4nf6xCHLMjJ7OjPJjJAw3h9PReD6dUMIwNpxN57PxJKEWz8edD/E1t5oko6IeW5aZhMM6xC71&#10;KSXdZuy9VAr3oVSGtIg6H0ywswxQPUJBRFM7rCeYHSWgdihLFn2GDFbJOh1Pp4PfbW+VJwdI0si/&#10;/mW/pKW77yA0XV4OpTQotYyoXCU1Und5WhksL7HW8ZSsra1PyLK3nfyCY/cSYdcQ4gY86g3fjzMU&#10;H3ARymJRtrcoaaz/9Lf9lI8ywCglLeoXC/64B88pUW8MCmQ+HI+T4LMznsxG6PjLyPYyYvb61iIP&#10;Q5xWx7KZ8qN6MoW3+gOO2irdiiEwDO/uqO2d29jNFQ4r46tVTkORO4hr8+hYAu8auNpHK2Tu7TM7&#10;PWko86yOfiTTHF36Oev5w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rKqS3aAAAACQEAAA8A&#10;AAAAAAAAAQAgAAAAIgAAAGRycy9kb3ducmV2LnhtbFBLAQIUABQAAAAIAIdO4kC3GlkkTgIAAIAE&#10;AAAOAAAAAAAAAAEAIAAAACkBAABkcnMvZTJvRG9jLnhtbFBLBQYAAAAABgAGAFkBAADpBQAAAAA=&#10;">
                      <v:fill on="f" focussize="0,0"/>
                      <v:stroke weight="1.5pt" color="#000000 [3213]"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99695</wp:posOffset>
                      </wp:positionH>
                      <wp:positionV relativeFrom="paragraph">
                        <wp:posOffset>29210</wp:posOffset>
                      </wp:positionV>
                      <wp:extent cx="857250" cy="285750"/>
                      <wp:effectExtent l="4445" t="4445" r="14605" b="14605"/>
                      <wp:wrapNone/>
                      <wp:docPr id="36" name="文本框 36"/>
                      <wp:cNvGraphicFramePr/>
                      <a:graphic xmlns:a="http://schemas.openxmlformats.org/drawingml/2006/main">
                        <a:graphicData uri="http://schemas.microsoft.com/office/word/2010/wordprocessingShape">
                          <wps:wsp>
                            <wps:cNvSpPr txBox="1"/>
                            <wps:spPr>
                              <a:xfrm>
                                <a:off x="1786890" y="3853180"/>
                                <a:ext cx="85725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老东柳水厂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2.3pt;height:22.5pt;width:67.5pt;z-index:251665408;mso-width-relative:page;mso-height-relative:page;" fillcolor="#FFFFFF [3201]" filled="t" stroked="t" coordsize="21600,21600" o:gfxdata="UEsDBAoAAAAAAIdO4kAAAAAAAAAAAAAAAAAEAAAAZHJzL1BLAwQUAAAACACHTuJAQeZk5dIAAAAH&#10;AQAADwAAAGRycy9kb3ducmV2LnhtbE2OwU7DMBBE70j8g7VIvVG7LQ0Q4lQCqRLiRpsLNzfeJhH2&#10;OrLdpvw92xMcn2Y086rNxTtxxpiGQBoWcwUCqQ12oE5Ds9/eP4FI2ZA1LhBq+MEEm/r2pjKlDRN9&#10;4nmXO8EjlEqjoc95LKVMbY/epHkYkTg7huhNZoydtNFMPO6dXCpVSG8G4ofejPjWY/u9O3kN78Vr&#10;/sLGftjVchWmRrbx6JLWs7uFegGR8ZL/ynDVZ3Wo2ekQTmSTcMzrR25qeChAXOO1Yj4wPxcg60r+&#10;969/AVBLAwQUAAAACACHTuJAkU0xyUMCAAB2BAAADgAAAGRycy9lMm9Eb2MueG1srVTNbhMxEL4j&#10;8Q6W73STtE3TKJsqtApCqmilgDg7Xm+ywusxtpPd8gD0DThx4c5z9Tn47GzaQDkhcnDmT9/MfDOz&#10;k4u21myrnK/I5Lx/1ONMGUlFZVY5//B+/mrEmQ/CFEKTUTm/U55fTF++mDR2rAa0Jl0oxwBi/Lix&#10;OV+HYMdZ5uVa1cIfkVUGzpJcLQJUt8oKJxqg1zob9HrDrCFXWEdSeQ/r1c7Jpwm/LJUMN2XpVWA6&#10;56gtpNeldxnfbDoR45UTdl3JrgzxD1XUojJI+gh1JYJgG1c9g6or6chTGY4k1RmVZSVV6gHd9Ht/&#10;dLNYC6tSLyDH20ea/P+Dle+2t45VRc6Ph5wZUWNGD9/uH77/fPjxlcEGghrrx4hbWESG9jW1GPTe&#10;7mGMfbelq+M/OmLRfzYajs5B+B2AR6fH/VFHtWoDkwgYnZ4NTuGXCBhAgYxM2ROQdT68UVSzKOTc&#10;YZKJYLG99mEXug+JeT3pqphXWifFrZaX2rGtwNTn6deh/xamDWtyPjxG7mcQEfsRYqmF/PQcAdVq&#10;g6IjPzseohTaZduRtqTiDpw52q2dt3JeAfda+HArHPYMBOB2wg2eUhOKoU7ibE3uy9/sMR7jh5ez&#10;Bnubc/95I5ziTL81WIzz/slJXPSknIBlKO7Qszz0mE19SSCpjyu1MokxPui9WDqqP+LEZjErXMJI&#10;5M552IuXYXdNOFGpZrMUhNW2IlybhZUROpJraLYJVFZpdJGmHTcde1juNPzuEOP1HOop6ulzM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eZk5dIAAAAHAQAADwAAAAAAAAABACAAAAAiAAAAZHJz&#10;L2Rvd25yZXYueG1sUEsBAhQAFAAAAAgAh07iQJFNMclDAgAAdgQAAA4AAAAAAAAAAQAgAAAAIQEA&#10;AGRycy9lMm9Eb2MueG1sUEsFBgAAAAAGAAYAWQEAANY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老东柳水厂</w:t>
                            </w:r>
                          </w:p>
                        </w:txbxContent>
                      </v:textbox>
                    </v:shape>
                  </w:pict>
                </mc:Fallback>
              </mc:AlternateContent>
            </w:r>
          </w:p>
          <w:p>
            <w:pPr>
              <w:spacing w:line="360" w:lineRule="auto"/>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288290</wp:posOffset>
                      </wp:positionH>
                      <wp:positionV relativeFrom="paragraph">
                        <wp:posOffset>128270</wp:posOffset>
                      </wp:positionV>
                      <wp:extent cx="1941830" cy="25146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94183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宋体"/>
                                      <w:color w:val="0070C0"/>
                                      <w:sz w:val="21"/>
                                      <w:szCs w:val="24"/>
                                      <w:lang w:val="en-US" w:eastAsia="zh-CN"/>
                                    </w:rPr>
                                  </w:pPr>
                                  <w:r>
                                    <w:rPr>
                                      <w:rFonts w:hint="eastAsia"/>
                                      <w:color w:val="0070C0"/>
                                      <w:sz w:val="21"/>
                                      <w:szCs w:val="24"/>
                                      <w:lang w:val="en-US" w:eastAsia="zh-CN"/>
                                    </w:rPr>
                                    <w:t>DN600球墨进水管240m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pt;margin-top:10.1pt;height:19.8pt;width:152.9pt;z-index:251700224;mso-width-relative:page;mso-height-relative:page;" filled="f" stroked="f" coordsize="21600,21600" o:gfxdata="UEsDBAoAAAAAAIdO4kAAAAAAAAAAAAAAAAAEAAAAZHJzL1BLAwQUAAAACACHTuJAl8qkndkAAAAI&#10;AQAADwAAAGRycy9kb3ducmV2LnhtbE2PzU7DMBCE70i8g7VI3Kid0KAQsqlQpAoJwaGlF25OvE0i&#10;YjvE7g88PcsJbrOa0cy35epsR3GkOQzeISQLBYJc683gOoTd2/omBxGidkaP3hHCFwVYVZcXpS6M&#10;P7kNHbexE1ziQqER+hinQsrQ9mR1WPiJHHt7P1sd+Zw7aWZ94nI7ylSpO2n14Hih1xPVPbUf24NF&#10;eK7Xr3rTpDb/Huunl/3j9Ll7zxCvrxL1ACLSOf6F4Ref0aFipsYfnAliRFhmS04ipCoFwf5tlrBo&#10;ELL7HGRVyv8PVD9QSwMEFAAAAAgAh07iQDeyiT0gAgAAGgQAAA4AAABkcnMvZTJvRG9jLnhtbK1T&#10;zW4TMRC+I/EOlu9ks2mStlE2VWgVhBTRSgFxdrx2diXbY2wnu+EB4A04ceHOc+U5GHuTNAJOiIs9&#10;9vx/8830rtWK7ITzNZiC5r0+JcJwKGuzKeiH94tXN5T4wEzJFBhR0L3w9G728sW0sRMxgApUKRzB&#10;IMZPGlvQKgQ7yTLPK6GZ74EVBpUSnGYBn26TlY41GF2rbNDvj7MGXGkdcOE9/j50SjpL8aUUPDxK&#10;6UUgqqBYW0inS+c6ntlsyiYbx2xV82MZ7B+q0Kw2mPQc6oEFRrau/iOUrrkDDzL0OOgMpKy5SD1g&#10;N3n/t25WFbMi9YLgeHuGyf+/sPzd7smRuizo9ZgSwzTO6PDt6+H7z8OPLwT/EKDG+gnarSxahvY1&#10;tDjo07/Hz9h3K52ON3ZEUI9Q78/wijYQHp1uh/nNFao46gajfDhO+GfP3tb58EaAJlEoqMPxJVTZ&#10;bukDVoKmJ5OYzMCiViqNUBnSFHR8Neonh7MGPZRBx9hDV2uUQrtuj42todxjXw46anjLFzUmXzIf&#10;nphDLmC9yO/wiIdUgEngKFFSgfv8t/9ojyNCLSUNcqug/tOWOUGJemtweLf5cBjJmB7D0fUAH+5S&#10;s77UmK2+B6RvjptkeRKjfVAnUTrQH3EN5jErqpjhmLug4STeh47xuEZczOfJCOlnWVialeUxdAfn&#10;fBtA1gnpCFOHzRE9JGAawHFZIsMv38nqeaV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yqSd&#10;2QAAAAgBAAAPAAAAAAAAAAEAIAAAACIAAABkcnMvZG93bnJldi54bWxQSwECFAAUAAAACACHTuJA&#10;N7KJPSACAAAaBAAADgAAAAAAAAABACAAAAAoAQAAZHJzL2Uyb0RvYy54bWxQSwUGAAAAAAYABgBZ&#10;AQAAugUAAAAA&#10;">
                      <v:fill on="f" focussize="0,0"/>
                      <v:stroke on="f" weight="0.5pt"/>
                      <v:imagedata o:title=""/>
                      <o:lock v:ext="edit" aspectratio="f"/>
                      <v:textbox>
                        <w:txbxContent>
                          <w:p>
                            <w:pPr>
                              <w:jc w:val="left"/>
                              <w:rPr>
                                <w:rFonts w:hint="default" w:eastAsia="宋体"/>
                                <w:color w:val="0070C0"/>
                                <w:sz w:val="21"/>
                                <w:szCs w:val="24"/>
                                <w:lang w:val="en-US" w:eastAsia="zh-CN"/>
                              </w:rPr>
                            </w:pPr>
                            <w:r>
                              <w:rPr>
                                <w:rFonts w:hint="eastAsia"/>
                                <w:color w:val="0070C0"/>
                                <w:sz w:val="21"/>
                                <w:szCs w:val="24"/>
                                <w:lang w:val="en-US" w:eastAsia="zh-CN"/>
                              </w:rPr>
                              <w:t>DN600球墨进水管240m</w:t>
                            </w:r>
                          </w:p>
                        </w:txbxContent>
                      </v:textbox>
                    </v:shape>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3617595</wp:posOffset>
                      </wp:positionH>
                      <wp:positionV relativeFrom="paragraph">
                        <wp:posOffset>261620</wp:posOffset>
                      </wp:positionV>
                      <wp:extent cx="363855" cy="5715"/>
                      <wp:effectExtent l="0" t="9525" r="4445" b="10160"/>
                      <wp:wrapNone/>
                      <wp:docPr id="81" name="直接连接符 81"/>
                      <wp:cNvGraphicFramePr/>
                      <a:graphic xmlns:a="http://schemas.openxmlformats.org/drawingml/2006/main">
                        <a:graphicData uri="http://schemas.microsoft.com/office/word/2010/wordprocessingShape">
                          <wps:wsp>
                            <wps:cNvCnPr/>
                            <wps:spPr>
                              <a:xfrm>
                                <a:off x="0" y="0"/>
                                <a:ext cx="363855" cy="5715"/>
                              </a:xfrm>
                              <a:prstGeom prst="line">
                                <a:avLst/>
                              </a:prstGeom>
                              <a:ln w="19050" cmpd="sng">
                                <a:solidFill>
                                  <a:srgbClr val="FF0000"/>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4.85pt;margin-top:20.6pt;height:0.45pt;width:28.65pt;z-index:251703296;mso-width-relative:page;mso-height-relative:page;" filled="f" stroked="t" coordsize="21600,21600" o:gfxdata="UEsDBAoAAAAAAIdO4kAAAAAAAAAAAAAAAAAEAAAAZHJzL1BLAwQUAAAACACHTuJASOc4b9kAAAAJ&#10;AQAADwAAAGRycy9kb3ducmV2LnhtbE2PwU7DMAyG70i8Q2QkbixtNLrRNd1hggMSEmJDk7hlSdZW&#10;S5wqybrx9pgTHG1/+v39zfrqHZtsTENACeWsAGZRBzNgJ+Fz9/KwBJayQqNcQCvh2yZYt7c3japN&#10;uOCHnba5YxSCqVYS+pzHmvOke+tVmoXRIt2OIXqVaYwdN1FdKNw7Loqi4l4NSB96NdpNb/Vpe/YS&#10;lu/V7ij2foo6uTe9mb/uh+cvKe/vymIFLNtr/oPhV5/UoSWnQzijScxJeKyeFoRKmJcCGAGVWFC5&#10;Ay1ECbxt+P8G7Q9QSwMEFAAAAAgAh07iQNbrC1vRAQAAagMAAA4AAABkcnMvZTJvRG9jLnhtbK1T&#10;zY7TMBC+I/EOlu806a66lKjpHrYqFwSVgAeYOnZiyX/ymKZ9CV4AiRucOHLnbVgeg7Hb7cLuDZHD&#10;xPP3Zb7Pk8X13hq2kxG1dy2fTmrOpBO+065v+ft362dzzjCB68B4J1t+kMivl0+fLMbQyAs/eNPJ&#10;yAjEYTOGlg8phaaqUAzSAk58kI6SykcLidzYV12EkdCtqS7q+qoafexC9EIiUnR1TPJlwVdKivRG&#10;KZSJmZbTbKnYWOw222q5gKaPEAYtTmPAP0xhQTv66BlqBQnYh6gfQVktokev0kR4W3mltJCFA7GZ&#10;1g/YvB0gyMKFxMFwlgn/H6x4vdtEpruWz6ecObB0R7efvv/8+OXXj89kb799ZZQhmcaADVXfuE08&#10;eRg2MXPeq2jzm9iwfZH2cJZW7hMTFLy8upzPZpwJSs2eT2cZsbpvDRHTS+kty4eWG+0yb2hg9wrT&#10;sfSuJIedX2tjKA6NcWykxXtRz+h6BdAKKQOJjjYQKXQ9Z2B62k2RYoFEb3SX23M3xn57YyLbAe3H&#10;el3Tc5rsr7L87RXgcKzDA2YnF0JjdaIFNtqSgrn9rt84Ipg1O6qUT1vfHYp4JU4XWiQ4LV/emD/9&#10;0n3/i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jnOG/ZAAAACQEAAA8AAAAAAAAAAQAgAAAA&#10;IgAAAGRycy9kb3ducmV2LnhtbFBLAQIUABQAAAAIAIdO4kDW6wtb0QEAAGoDAAAOAAAAAAAAAAEA&#10;IAAAACgBAABkcnMvZTJvRG9jLnhtbFBLBQYAAAAABgAGAFkBAABrBQAAAAA=&#10;">
                      <v:fill on="f" focussize="0,0"/>
                      <v:stroke weight="1.5pt" color="#FF0000 [3204]" miterlimit="8" joinstyle="miter" dashstyle="3 1"/>
                      <v:imagedata o:title=""/>
                      <o:lock v:ext="edit" aspectratio="f"/>
                    </v:line>
                  </w:pict>
                </mc:Fallback>
              </mc:AlternateContent>
            </w: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3916680</wp:posOffset>
                      </wp:positionH>
                      <wp:positionV relativeFrom="paragraph">
                        <wp:posOffset>121920</wp:posOffset>
                      </wp:positionV>
                      <wp:extent cx="1358265" cy="28575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3582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东柳水厂红线范围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4pt;margin-top:9.6pt;height:22.5pt;width:106.95pt;z-index:251702272;mso-width-relative:page;mso-height-relative:page;" filled="f" stroked="f" coordsize="21600,21600" o:gfxdata="UEsDBAoAAAAAAIdO4kAAAAAAAAAAAAAAAAAEAAAAZHJzL1BLAwQUAAAACACHTuJAsO/nfdkAAAAJ&#10;AQAADwAAAGRycy9kb3ducmV2LnhtbE2Py07DMBBF90j8gzVI7KidACGEOBWKVCEhWLR0w24Su0lE&#10;PA6x+4CvZ1jBcnSu7j1TLk9uFAc7h8GThmShQFhqvRmo07B9W13lIEJEMjh6shq+bIBldX5WYmH8&#10;kdb2sImd4BIKBWroY5wKKUPbW4dh4SdLzHZ+dhj5nDtpZjxyuRtlqlQmHQ7ECz1Otu5t+7HZOw3P&#10;9eoV103q8u+xfnrZPU6f2/dbrS8vEvUAItpT/AvDrz6rQ8VOjd+TCWLUkCUZq0cG9ykIDuTX6g5E&#10;w+QmBVmV8v8H1Q9QSwMEFAAAAAgAh07iQERmUekgAgAAGgQAAA4AAABkcnMvZTJvRG9jLnhtbK1T&#10;zY4aMQy+V+o7RLmXARZYFjGs6K6oKqHuSnTVc8gkzEhJnCaBGfoA7Rv01EvvfS6eo04GWPpzqnpJ&#10;HNv5bH+2p7eNVmQnnK/A5LTX6VIiDIeiMpucPr1fvBpT4gMzBVNgRE73wtPb2csX09pORB9KUIVw&#10;BEGMn9Q2p2UIdpJlnpdCM98BKwwaJTjNAj7dJiscqxFdq6zf7Y6yGlxhHXDhPWrvWyOdJXwpBQ8P&#10;UnoRiMop5hbS6dK5jmc2m7LJxjFbVvyYBvuHLDSrDAY9Q92zwMjWVX9A6Yo78CBDh4POQMqKi1QD&#10;VtPr/lbNqmRWpFqQHG/PNPn/B8vf7R4dqYqcjpEewzT26PD1y+Hbj8P3zwR1SFBt/QT9VhY9Q/Ma&#10;Gmz0Se9RGetupNPxxooI2hFrf6ZXNIHw+OlqOO6PhpRwtPXHw+thgs+ef1vnwxsBmkQhpw7bl1hl&#10;u6UPmAm6nlxiMAOLSqnUQmVIndPRFUL+YsEfyuDHWEOba5RCs26Oha2h2GNdDtrR8JYvKgy+ZD48&#10;MoezgKXgfIcHPKQCDAJHiZIS3Ke/6aM/tgitlNQ4Wzn1H7fMCUrUW4PNu+kNBnEY02MwvO7jw11a&#10;1pcWs9V3gOPbw02yPInRP6iTKB3oD7gG8xgVTcxwjJ3TcBLvQjvxuEZczOfJCcfPsrA0K8sjdEva&#10;fBtAVonpSFPLzZE9HMDUgOOyxAm/fCev55We/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7+d9&#10;2QAAAAkBAAAPAAAAAAAAAAEAIAAAACIAAABkcnMvZG93bnJldi54bWxQSwECFAAUAAAACACHTuJA&#10;RGZR6SACAAAaBAAADgAAAAAAAAABACAAAAAo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东柳水厂红线范围</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654050</wp:posOffset>
                      </wp:positionH>
                      <wp:positionV relativeFrom="paragraph">
                        <wp:posOffset>151765</wp:posOffset>
                      </wp:positionV>
                      <wp:extent cx="2784475" cy="2831465"/>
                      <wp:effectExtent l="13970" t="13970" r="20955" b="24765"/>
                      <wp:wrapNone/>
                      <wp:docPr id="38" name="矩形 38"/>
                      <wp:cNvGraphicFramePr/>
                      <a:graphic xmlns:a="http://schemas.openxmlformats.org/drawingml/2006/main">
                        <a:graphicData uri="http://schemas.microsoft.com/office/word/2010/wordprocessingShape">
                          <wps:wsp>
                            <wps:cNvSpPr/>
                            <wps:spPr>
                              <a:xfrm>
                                <a:off x="2009140" y="4335780"/>
                                <a:ext cx="2784475" cy="2831465"/>
                              </a:xfrm>
                              <a:prstGeom prst="rect">
                                <a:avLst/>
                              </a:prstGeom>
                              <a:noFill/>
                              <a:ln w="28575" cmpd="sng">
                                <a:solidFill>
                                  <a:srgbClr val="FF0000"/>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11.95pt;height:222.95pt;width:219.25pt;z-index:251667456;v-text-anchor:middle;mso-width-relative:page;mso-height-relative:page;" filled="f" stroked="t" coordsize="21600,21600" o:gfxdata="UEsDBAoAAAAAAIdO4kAAAAAAAAAAAAAAAAAEAAAAZHJzL1BLAwQUAAAACACHTuJAevcAedwAAAAK&#10;AQAADwAAAGRycy9kb3ducmV2LnhtbE2PwU7DMBBE70j8g7VI3KidpI3aEKcCBIhWQlVbDnBz4yWJ&#10;iO3IdtPy9ywnOI5mNPOmXJ5Nz0b0oXNWQjIRwNDWTne2kfC2f7qZAwtRWa16Z1HCNwZYVpcXpSq0&#10;O9ktjrvYMCqxoVAS2hiHgvNQt2hUmLgBLXmfzhsVSfqGa69OVG56ngqRc6M6SwutGvChxfprdzQS&#10;HsePl6S9y+/X72ZYp6/Pm1XmN1JeXyXiFljEc/wLwy8+oUNFTAd3tDqwnrTI6EuUkGYLYBSYTZMZ&#10;sIOEab6YA69K/v9C9QNQSwMEFAAAAAgAh07iQI6CKF5dAgAAjgQAAA4AAABkcnMvZTJvRG9jLnht&#10;bK1U224TMRB9R+IfLL/TzbUJq26qqFUQUkUrBcTzxGtnLfmG7WQTfgaJNz6in4P4DcbebRMuT4g8&#10;ODP28YznzJm9uj5oRfbcB2lNRYcXA0q4YbaWZlvRD+9Xr+aUhAimBmUNr+iRB3q9ePniqnUlH9nG&#10;qpp7gkFMKFtX0SZGVxZFYA3XEC6s4wYPhfUaIrp+W9QeWoyuVTEaDC6L1vraect4CLh72x3SRY4v&#10;BGfxXojAI1EVxbfFvPq8btJaLK6g3HpwjWT9M+AfXqFBGkz6HOoWIpCdl3+E0pJ5G6yIF8zqwgoh&#10;Gc81YDXDwW/VrBtwPNeC5AT3TFP4f2HZu/2DJ7Ku6Bg7ZUBjj358+fb98SvBDWSndaFE0No9+N4L&#10;aKZSD8Lr9I9FkENFsRuvhxPk+FjRyXg8nc17dvkhEpYAs/lkMptSwhAxmo+Hk8tpylCcQjkf4htu&#10;NUlGRT22L7MK+7sQO+gTJGU2diWVwn0olSFtijrNCQCVJBREzKUd1hbMlhJQW5Qoiz6HDFbJOl1P&#10;t4Pfbm6UJ3tAmaxWA/z1L/sFlnLfQmg6XDiG5CQglFpG1LGSuqLzdP3pvjJYYOKwYy1ZG1sfkXNv&#10;OzEGx1YSA99BiA/gUX3IIU5UvMdFKItl2d6ipLH+89/2Ex5FgaeUtKhmLPnTDjynRL01KBfsTGpN&#10;zM5kOhuh489PNucnZqdvLDIxxNl1LJsJH9WTKbzVH3HwlikrHoFhmLsjt3duYjdlOLqML5cZhpJ3&#10;EO/M2rEUvGvhchetkLm7J3Z60lD0WR/9gKapOvcz6vQZWf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vcAedwAAAAKAQAADwAAAAAAAAABACAAAAAiAAAAZHJzL2Rvd25yZXYueG1sUEsBAhQAFAAA&#10;AAgAh07iQI6CKF5dAgAAjgQAAA4AAAAAAAAAAQAgAAAAKwEAAGRycy9lMm9Eb2MueG1sUEsFBgAA&#10;AAAGAAYAWQEAAPoFAAAAAA==&#10;">
                      <v:fill on="f" focussize="0,0"/>
                      <v:stroke weight="2.25pt" color="#FF0000 [2404]" miterlimit="8" joinstyle="miter" dashstyle="3 1"/>
                      <v:imagedata o:title=""/>
                      <o:lock v:ext="edit" aspectratio="f"/>
                    </v:rect>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354330</wp:posOffset>
                      </wp:positionH>
                      <wp:positionV relativeFrom="paragraph">
                        <wp:posOffset>56515</wp:posOffset>
                      </wp:positionV>
                      <wp:extent cx="13970" cy="3326765"/>
                      <wp:effectExtent l="9525" t="0" r="14605" b="635"/>
                      <wp:wrapNone/>
                      <wp:docPr id="47" name="直接连接符 47"/>
                      <wp:cNvGraphicFramePr/>
                      <a:graphic xmlns:a="http://schemas.openxmlformats.org/drawingml/2006/main">
                        <a:graphicData uri="http://schemas.microsoft.com/office/word/2010/wordprocessingShape">
                          <wps:wsp>
                            <wps:cNvCnPr/>
                            <wps:spPr>
                              <a:xfrm>
                                <a:off x="0" y="0"/>
                                <a:ext cx="13970" cy="332676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9pt;margin-top:4.45pt;height:261.95pt;width:1.1pt;z-index:251675648;mso-width-relative:page;mso-height-relative:page;" filled="f" stroked="t" coordsize="21600,21600" o:gfxdata="UEsDBAoAAAAAAIdO4kAAAAAAAAAAAAAAAAAEAAAAZHJzL1BLAwQUAAAACACHTuJAuECuV9gAAAAH&#10;AQAADwAAAGRycy9kb3ducmV2LnhtbE2PzWrDMBCE74W+g9hCb42UBBfFsRxKIZTSFuqkhx4Va2Ob&#10;WCtjKT99+25P6WkZZpj5tlhdfC9OOMYukIHpRIFAqoPrqDHwtV0/aBAxWXK2D4QGfjDCqry9KWzu&#10;wpkqPG1SI7iEYm4NtCkNuZSxbtHbOAkDEnv7MHqbWI6NdKM9c7nv5UypR+ltR7zQ2gGfW6wPm6M3&#10;MH/72FbpU9O62i/eX8LTt35VwZj7u6lagkh4Sdcw/OEzOpTMtAtHclH0BrKMyZMBvQDBdqb5sx3f&#10;+UyDLAv5n7/8BVBLAwQUAAAACACHTuJAbQ3l380BAABqAwAADgAAAGRycy9lMm9Eb2MueG1srVNL&#10;jhMxEN0jcQfLe9L5MMlMK51ZTDRsEEQCDlBx292W/JPLpJNLcAEkdrBiyZ7bzHAMyk7IDLBD9KLa&#10;rs+req+rl9d7a9hORtTeNXwyGnMmnfCtdl3D3729fXbJGSZwLRjvZMMPEvn16umT5RBqOfW9N62M&#10;jEAc1kNoeJ9SqKsKRS8t4MgH6SiofLSQ6Bq7qo0wELo11XQ8nleDj22IXkhE8q6PQb4q+EpJkV4r&#10;hTIx03CaLRUbi91mW62WUHcRQq/FaQz4hyksaEdNz1BrSMDeR/0XlNUievQqjYS3lVdKC1k4EJvJ&#10;+A82b3oIsnAhcTCcZcL/Byte7TaR6bbhzxecObD0je4/frv78PnH909k779+YRQhmYaANWXfuE08&#10;3TBsYua8V9HmN7Fh+yLt4Syt3CcmyDmZXS1If0GR2Ww6X8wvMmb1UBwiphfSW5YPDTfaZeZQw+4l&#10;pmPqr5Tsdv5WG0N+qI1jAzW4Gl/kBkBLpAwkOtpAtNB1nIHpaDtFigUSvdFtLs/VGLvtjYlsB3lD&#10;ynOa7Le03HsN2B/zSiinQW11ogU22jb88nG1cUQva3ZUKZ+2vj0U8YqfPmgR4LR8eWMe30v1wy+y&#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QK5X2AAAAAcBAAAPAAAAAAAAAAEAIAAAACIAAABk&#10;cnMvZG93bnJldi54bWxQSwECFAAUAAAACACHTuJAbQ3l380BAABqAwAADgAAAAAAAAABACAAAAAn&#10;AQAAZHJzL2Uyb0RvYy54bWxQSwUGAAAAAAYABgBZAQAAZgU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1261110</wp:posOffset>
                      </wp:positionH>
                      <wp:positionV relativeFrom="paragraph">
                        <wp:posOffset>253365</wp:posOffset>
                      </wp:positionV>
                      <wp:extent cx="554990" cy="233680"/>
                      <wp:effectExtent l="9525" t="9525" r="19685" b="10795"/>
                      <wp:wrapNone/>
                      <wp:docPr id="56" name="文本框 56"/>
                      <wp:cNvGraphicFramePr/>
                      <a:graphic xmlns:a="http://schemas.openxmlformats.org/drawingml/2006/main">
                        <a:graphicData uri="http://schemas.microsoft.com/office/word/2010/wordprocessingShape">
                          <wps:wsp>
                            <wps:cNvSpPr txBox="1"/>
                            <wps:spPr>
                              <a:xfrm>
                                <a:off x="0" y="0"/>
                                <a:ext cx="554990" cy="233680"/>
                              </a:xfrm>
                              <a:prstGeom prst="rect">
                                <a:avLst/>
                              </a:prstGeom>
                              <a:solidFill>
                                <a:schemeClr val="lt1"/>
                              </a:solidFill>
                              <a:ln w="19050" cmpd="sng">
                                <a:solidFill>
                                  <a:srgbClr val="0070C0"/>
                                </a:solid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18"/>
                                      <w:szCs w:val="21"/>
                                      <w:lang w:val="en-US" w:eastAsia="zh-CN"/>
                                    </w:rPr>
                                  </w:pPr>
                                  <w:r>
                                    <w:rPr>
                                      <w:rFonts w:hint="eastAsia"/>
                                      <w:color w:val="0070C0"/>
                                      <w:sz w:val="18"/>
                                      <w:szCs w:val="21"/>
                                      <w:lang w:val="en-US" w:eastAsia="zh-CN"/>
                                    </w:rPr>
                                    <w:t>泵站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pt;margin-top:19.95pt;height:18.4pt;width:43.7pt;z-index:251681792;mso-width-relative:page;mso-height-relative:page;" fillcolor="#FFFFFF [3201]" filled="t" stroked="t" coordsize="21600,21600" o:gfxdata="UEsDBAoAAAAAAIdO4kAAAAAAAAAAAAAAAAAEAAAAZHJzL1BLAwQUAAAACACHTuJAM7KUB9YAAAAJ&#10;AQAADwAAAGRycy9kb3ducmV2LnhtbE2Py26DMBBF95XyD9ZE6q4xSSUCFBOpkfrYtSH5AAdPMQoe&#10;I+xA+vedrtrl1RzdObfc3VwvJhxD50nBepWAQGq86ahVcDq+PGQgQtRkdO8JFXxjgF21uCt1YfxM&#10;B5zq2AouoVBoBTbGoZAyNBadDis/IPHty49OR45jK82oZy53vdwkSSqd7og/WD3g3mJzqa9OAfq3&#10;sD92VIdXS++Xz4/DNE/PSt0v18kTiIi3+AfDrz6rQ8VOZ38lE0TPOc9SRhU85jkIBjZZyuPOCrbp&#10;FmRVyv8Lqh9QSwMEFAAAAAgAh07iQB06lVRQAgAAkAQAAA4AAABkcnMvZTJvRG9jLnhtbK1US27b&#10;MBDdF+gdCO4byY6dxIblwHXgokDQBEiLrmmKsgTwV5K2lB6gvUFX3XTfc+UcfaQ/sduuimpBDWee&#10;5vNmRpPrTkmyEc43Rhe0d5ZTIjQ3ZaNXBf3wfvHqihIfmC6ZNFoU9FF4ej19+WLS2rHom9rIUjgC&#10;J9qPW1vQOgQ7zjLPa6GYPzNWaBgr4xQLuLpVVjrWwruSWT/PL7LWuNI6w4X30N5sjXSa/FeV4OGu&#10;qrwIRBYUuYV0unQu45lNJ2y8cszWDd+lwf4hC8UajaAHVzcsMLJ2zR+uVMOd8aYKZ9yozFRVw0Wq&#10;AdX08t+qeaiZFakWkOPtgSb//9zyd5t7R5qyoMMLSjRT6NHTt69P338+/fhCoANBrfVj4B4skKF7&#10;bTo0eq/3UMa6u8qp+EZFBHZQ/XigV3SBcCiHw8FoBAuHqX9+fnGV6M+eP7bOhzfCKBKFgjp0L5HK&#10;Nrc+IBFA95AYyxvZlItGynRxq+VcOrJh6PQiPTFHfHICk5q0SH+UD2MiyqJwr1cpygnOH7vL88t8&#10;vk/2BBbTuWG+3oZNpl1UqRE8MrdlKEqhW3Y7OpemfASbzmwH0lu+aODqlvlwzxwmENlhq8Idjkoa&#10;pGx2EiW1cZ//po94DAaslLSYaFT2ac2coES+1RiZUW8wgNuQLoPhZR8Xd2xZHlv0Ws0NqOxhfy1P&#10;YsQHuRcrZ9RHLN8sRoWJaY7YBQ17cR62e4bl5WI2SyAMvWXhVj9YHl3HxmkzWwdTNanBkaYtNzv2&#10;MPapibsVjXt1fE+o5x/J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spQH1gAAAAkBAAAPAAAA&#10;AAAAAAEAIAAAACIAAABkcnMvZG93bnJldi54bWxQSwECFAAUAAAACACHTuJAHTqVVFACAACQBAAA&#10;DgAAAAAAAAABACAAAAAlAQAAZHJzL2Uyb0RvYy54bWxQSwUGAAAAAAYABgBZAQAA5wUAAAAA&#10;">
                      <v:fill on="t" focussize="0,0"/>
                      <v:stroke weight="1.5pt" color="#0070C0 [3204]" joinstyle="round"/>
                      <v:imagedata o:title=""/>
                      <o:lock v:ext="edit" aspectratio="f"/>
                      <v:textbox>
                        <w:txbxContent>
                          <w:p>
                            <w:pPr>
                              <w:jc w:val="center"/>
                              <w:rPr>
                                <w:rFonts w:hint="default" w:eastAsia="宋体"/>
                                <w:color w:val="0070C0"/>
                                <w:sz w:val="18"/>
                                <w:szCs w:val="21"/>
                                <w:lang w:val="en-US" w:eastAsia="zh-CN"/>
                              </w:rPr>
                            </w:pPr>
                            <w:r>
                              <w:rPr>
                                <w:rFonts w:hint="eastAsia"/>
                                <w:color w:val="0070C0"/>
                                <w:sz w:val="18"/>
                                <w:szCs w:val="21"/>
                                <w:lang w:val="en-US" w:eastAsia="zh-CN"/>
                              </w:rPr>
                              <w:t>泵站</w:t>
                            </w:r>
                          </w:p>
                        </w:txbxContent>
                      </v:textbox>
                    </v:shape>
                  </w:pict>
                </mc:Fallback>
              </mc:AlternateContent>
            </w: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1558290</wp:posOffset>
                      </wp:positionH>
                      <wp:positionV relativeFrom="paragraph">
                        <wp:posOffset>100965</wp:posOffset>
                      </wp:positionV>
                      <wp:extent cx="635" cy="146050"/>
                      <wp:effectExtent l="9525" t="0" r="15240" b="6350"/>
                      <wp:wrapNone/>
                      <wp:docPr id="77" name="直接连接符 77"/>
                      <wp:cNvGraphicFramePr/>
                      <a:graphic xmlns:a="http://schemas.openxmlformats.org/drawingml/2006/main">
                        <a:graphicData uri="http://schemas.microsoft.com/office/word/2010/wordprocessingShape">
                          <wps:wsp>
                            <wps:cNvCnPr/>
                            <wps:spPr>
                              <a:xfrm>
                                <a:off x="0" y="0"/>
                                <a:ext cx="635" cy="14605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2.7pt;margin-top:7.95pt;height:11.5pt;width:0.05pt;z-index:251701248;mso-width-relative:page;mso-height-relative:page;" filled="f" stroked="t" coordsize="21600,21600" o:gfxdata="UEsDBAoAAAAAAIdO4kAAAAAAAAAAAAAAAAAEAAAAZHJzL1BLAwQUAAAACACHTuJA9+6eS9YAAAAJ&#10;AQAADwAAAGRycy9kb3ducmV2LnhtbE2PzU7EMAyE70i8Q2QkLohN96ewW5quBGhvXCg8gLcxbbWN&#10;U5J0f94ec4KjPePxN+X27AZ1pBB7zwbmswwUceNtz62Bz4/d/RpUTMgWB89k4EIRttX1VYmF9Sd+&#10;p2OdWiUhHAs00KU0FlrHpiOHceZHYtG+fHCYZAyttgFPEu4GvciyB+2wZ/nQ4UgvHTWHenKC8fY8&#10;1j7cvep0eQxTv/wedwc05vZmnj2BSnROf2b4xZcbqIRp7ye2UQ0GFqt8JVYR8g0oMcgiB7U3sFxv&#10;QFel/t+g+gFQSwMEFAAAAAgAh07iQGShUPPOAQAAZwMAAA4AAABkcnMvZTJvRG9jLnhtbK1TS44T&#10;MRDdI3EHy3vSnYFJhlY6s0g0bBBEAg5QcdvdlvyTy6STS3ABJHawYsme28xwDMpOJsNnh+hFuVxV&#10;fq73XL243lvDdjKi9q7l00nNmXTCd9r1LX/39ubJFWeYwHVgvJMtP0jk18vHjxZjaOSFH7zpZGQE&#10;4rAZQ8uHlEJTVSgGaQEnPkhHSeWjhUTb2FddhJHQraku6npWjT52IXohESm6Pib5suArJUV6rRTK&#10;xEzLqbdUbCx2m221XEDTRwiDFqc24B+6sKAdXXqGWkMC9j7qv6CsFtGjV2kivK28UlrIwoHYTOs/&#10;2LwZIMjChcTBcJYJ/x+seLXbRKa7ls/nnDmw9EZ3H7/dfvj84/snsndfvzDKkExjwIaqV24TTzsM&#10;m5g571W0eSU2bF+kPZyllfvEBAVnTy85ExSfPpvVl0X36uFkiJheSG9ZdlputMu0oYHdS0x0G5Xe&#10;l+Sw8zfamPJ0xrGRQJ9nTCaAJkgZSOTaQJzQ9ZyB6Wk0RYoFEr3RXT6egTD225WJbAd5POp5vbrv&#10;7LeyfPcacDjWldRxcKxONL1G25Zf1fnLYWrWOFqyYEeJsrf13aEoV+L0mqXwNHl5XH7dl9MP/8f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funkvWAAAACQEAAA8AAAAAAAAAAQAgAAAAIgAAAGRy&#10;cy9kb3ducmV2LnhtbFBLAQIUABQAAAAIAIdO4kBkoVDzzgEAAGcDAAAOAAAAAAAAAAEAIAAAACUB&#10;AABkcnMvZTJvRG9jLnhtbFBLBQYAAAAABgAGAFkBAABl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342900</wp:posOffset>
                      </wp:positionH>
                      <wp:positionV relativeFrom="paragraph">
                        <wp:posOffset>102870</wp:posOffset>
                      </wp:positionV>
                      <wp:extent cx="1223645" cy="10795"/>
                      <wp:effectExtent l="0" t="9525" r="8255" b="17780"/>
                      <wp:wrapNone/>
                      <wp:docPr id="75" name="直接连接符 75"/>
                      <wp:cNvGraphicFramePr/>
                      <a:graphic xmlns:a="http://schemas.openxmlformats.org/drawingml/2006/main">
                        <a:graphicData uri="http://schemas.microsoft.com/office/word/2010/wordprocessingShape">
                          <wps:wsp>
                            <wps:cNvCnPr/>
                            <wps:spPr>
                              <a:xfrm flipH="1">
                                <a:off x="0" y="0"/>
                                <a:ext cx="1223645" cy="1079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7pt;margin-top:8.1pt;height:0.85pt;width:96.35pt;z-index:251699200;mso-width-relative:page;mso-height-relative:page;" filled="f" stroked="t" coordsize="21600,21600" o:gfxdata="UEsDBAoAAAAAAIdO4kAAAAAAAAAAAAAAAAAEAAAAZHJzL1BLAwQUAAAACACHTuJA2PxdONgAAAAI&#10;AQAADwAAAGRycy9kb3ducmV2LnhtbE2PS0/DMBCE70j8B2uRuFEnUUlpGqdCSKjiVtoK9ejGSx6N&#10;1yF2+vj3bE9w3JnR7Df58mI7ccLBN44UxJMIBFLpTEOVgt32/ekFhA+ajO4coYIrelgW93e5zow7&#10;0yeeNqESXEI+0wrqEPpMSl/WaLWfuB6JvW83WB34HCppBn3mctvJJIpSaXVD/KHWPb7VWB43o1Xw&#10;sR7TddOuQvt6jL/2e7v6kS0p9fgQRwsQAS/hLww3fEaHgpkObiTjRafgecpTAutpAoL9ZJrOQBxY&#10;mM1BFrn8P6D4BVBLAwQUAAAACACHTuJAUUTQH9sBAAB0AwAADgAAAGRycy9lMm9Eb2MueG1srVNL&#10;jhMxEN0jcQfLe9KdwExmWunMItHAAkEk4AAVt91tyT+5TDq5BBdAYgcrluznNgzHoOyE8NshelFt&#10;V5VfuV49L2721rCdjKi9a/l0UnMmnfCddn3L37y+fXTFGSZwHRjvZMsPEvnN8uGDxRgaOfODN52M&#10;jEAcNmNo+ZBSaKoKxSAt4MQH6SiofLSQaBv7qoswEro11ayuL6vRxy5ELyQiedfHIF8WfKWkSC+V&#10;QpmYaTndLRUbi91mWy0X0PQRwqDF6RrwD7ewoB0VPUOtIQF7G/VfUFaL6NGrNBHeVl4pLWTpgbqZ&#10;1n9082qAIEsvRA6GM034/2DFi90mMt21fH7BmQNLM7p//+Xru4/f7j6Qvf/8iVGEaBoDNpS9cpt4&#10;2mHYxNzzXkXLlNHhGSmgsEB9sX0h+XAmWe4TE+SczmaPL59QMUGxaT2/LujVESbDhYjpqfSW5UXL&#10;jXaZA2hg9xwTlabUHynZ7fytNqbM0Tg2EuZ1fUGjFkByUgYSLW2gBtH1nIHpSacixQKJ3uguH89A&#10;GPvtykS2g6yVel6vijyo3G9pufYacDjmldBRRVYnkrLRtuVXdf6ym04bR7/M3pGvvNr67lBoLH4a&#10;bUk8yTBr59d9Of3zsSy/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j8XTjYAAAACAEAAA8AAAAA&#10;AAAAAQAgAAAAIgAAAGRycy9kb3ducmV2LnhtbFBLAQIUABQAAAAIAIdO4kBRRNAf2wEAAHQDAAAO&#10;AAAAAAAAAAEAIAAAACcBAABkcnMvZTJvRG9jLnhtbFBLBQYAAAAABgAGAFkBAAB0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2573655</wp:posOffset>
                      </wp:positionH>
                      <wp:positionV relativeFrom="paragraph">
                        <wp:posOffset>136525</wp:posOffset>
                      </wp:positionV>
                      <wp:extent cx="781685" cy="755650"/>
                      <wp:effectExtent l="9525" t="9525" r="21590" b="9525"/>
                      <wp:wrapNone/>
                      <wp:docPr id="39" name="矩形 39"/>
                      <wp:cNvGraphicFramePr/>
                      <a:graphic xmlns:a="http://schemas.openxmlformats.org/drawingml/2006/main">
                        <a:graphicData uri="http://schemas.microsoft.com/office/word/2010/wordprocessingShape">
                          <wps:wsp>
                            <wps:cNvSpPr/>
                            <wps:spPr>
                              <a:xfrm>
                                <a:off x="0" y="0"/>
                                <a:ext cx="781685" cy="755650"/>
                              </a:xfrm>
                              <a:prstGeom prst="rect">
                                <a:avLst/>
                              </a:prstGeom>
                              <a:noFill/>
                              <a:ln w="190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65pt;margin-top:10.75pt;height:59.5pt;width:61.55pt;z-index:251668480;v-text-anchor:middle;mso-width-relative:page;mso-height-relative:page;" filled="f" stroked="t" coordsize="21600,21600" o:gfxdata="UEsDBAoAAAAAAIdO4kAAAAAAAAAAAAAAAAAEAAAAZHJzL1BLAwQUAAAACACHTuJAwDZXZNgAAAAK&#10;AQAADwAAAGRycy9kb3ducmV2LnhtbE2Py07DMBBF90j8gzVI7Kgd09AojVMJJIRALEqhezeeJlH9&#10;iGI3KX/PsILl6B7de6baXJxlE46xD15BthDA0DfB9L5V8PX5fFcAi0l7o23wqOAbI2zq66tKlybM&#10;/gOnXWoZlfhYagVdSkPJeWw6dDouwoCesmMYnU50ji03o56p3FkuhXjgTveeFjo94FOHzWl3dgq2&#10;4XTkdi/l2+rxRa5eXTG307tStzeZWANLeEl/MPzqkzrU5HQIZ28iswqWIr8nVIHMcmAE5LJYAjsQ&#10;SRHwuuL/X6h/AFBLAwQUAAAACACHTuJAcnuMVFECAAB+BAAADgAAAGRycy9lMm9Eb2MueG1srVTb&#10;bhMxEH1H4h8sv9NNStOmUTdVlCgIqaKVCuLZ8dpZS75hO9mUn0HijY/o5yB+g2NvmpTLEyIPzoxn&#10;fMZzfGavrndGk60IUTlb0+HJgBJhuWuUXdf0w/vlqzElMTHbMO2sqOmDiPR6+vLFVecn4tS1Tjci&#10;EIDYOOl8TduU/KSqIm+FYfHEeWERlC4YluCGddUE1gHd6Op0MDivOhcaHxwXMWJ30QfptOBLKXi6&#10;lTKKRHRNcbdU1lDWVV6r6RWbrAPzreL7a7B/uIVhyqLoAWrBEiOboP6AMooHF51MJ9yZykmpuCg9&#10;oJvh4Ldu7lvmRekF5ER/oCn+P1j+bnsXiGpq+vqSEssM3ujHl2/fH78SbICdzscJku79Xdh7EWZu&#10;dSeDyf9oguwKow8HRsUuEY7Ni/HwfDyihCN0MRqdjwrj1fGwDzG9Ec6QbNQ04MEKj2x7ExMKIvUp&#10;Jdeybqm0Lo+mLemguMsBMAln0I7ULME0Ht1Eu6aE6TVEyVMokNFp1eTjGSiG9WquA9kyCGO5HOCX&#10;u0W5X9Jy7QWLbZ9XQr1kjErQrVampuN8+Om0tgDJnPUsZWvlmgdwHFwvvuj5UgH2hsV0xwLUhvtj&#10;gtItFqkdmnJ7i5LWhc9/28/5EAGilHRQLxr+tGFBUKLfWsjjcnh2luVenLPRxSmc8Dyyeh6xGzN3&#10;4GGIWfW8mDk/6SdTBmc+YtBmuSpCzHLU7qndO/PUTxVGlYvZrKRB4p6lG3vveQbvH3C2SU6q8rZH&#10;dvakQeTlDfYDmafouV+yjp+N6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Nldk2AAAAAoBAAAP&#10;AAAAAAAAAAEAIAAAACIAAABkcnMvZG93bnJldi54bWxQSwECFAAUAAAACACHTuJAcnuMVFECAAB+&#10;BAAADgAAAAAAAAABACAAAAAnAQAAZHJzL2Uyb0RvYy54bWxQSwUGAAAAAAYABgBZAQAA6gUAAAAA&#10;">
                      <v:fill on="f" focussize="0,0"/>
                      <v:stroke weight="1.5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2490470</wp:posOffset>
                      </wp:positionH>
                      <wp:positionV relativeFrom="paragraph">
                        <wp:posOffset>182880</wp:posOffset>
                      </wp:positionV>
                      <wp:extent cx="895985" cy="65849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95985" cy="658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sz w:val="21"/>
                                      <w:szCs w:val="24"/>
                                      <w:lang w:val="en-US" w:eastAsia="zh-CN"/>
                                    </w:rPr>
                                  </w:pPr>
                                  <w:r>
                                    <w:rPr>
                                      <w:rFonts w:hint="eastAsia"/>
                                      <w:color w:val="FF0000"/>
                                      <w:sz w:val="21"/>
                                      <w:szCs w:val="24"/>
                                      <w:lang w:val="en-US" w:eastAsia="zh-CN"/>
                                    </w:rPr>
                                    <w:t>本工程一</w:t>
                                  </w:r>
                                </w:p>
                                <w:p>
                                  <w:pPr>
                                    <w:jc w:val="center"/>
                                    <w:rPr>
                                      <w:rFonts w:hint="default"/>
                                      <w:color w:val="FF0000"/>
                                      <w:sz w:val="21"/>
                                      <w:szCs w:val="24"/>
                                      <w:lang w:val="en-US" w:eastAsia="zh-CN"/>
                                    </w:rPr>
                                  </w:pPr>
                                  <w:r>
                                    <w:rPr>
                                      <w:rFonts w:hint="eastAsia"/>
                                      <w:color w:val="FF0000"/>
                                      <w:sz w:val="21"/>
                                      <w:szCs w:val="24"/>
                                      <w:lang w:val="en-US" w:eastAsia="zh-CN"/>
                                    </w:rPr>
                                    <w:t>体化设备</w:t>
                                  </w:r>
                                </w:p>
                                <w:p>
                                  <w:pPr>
                                    <w:jc w:val="center"/>
                                    <w:rPr>
                                      <w:rFonts w:hint="default"/>
                                      <w:color w:val="FF0000"/>
                                      <w:sz w:val="21"/>
                                      <w:szCs w:val="24"/>
                                      <w:lang w:val="en-US" w:eastAsia="zh-CN"/>
                                    </w:rPr>
                                  </w:pPr>
                                  <w:r>
                                    <w:rPr>
                                      <w:rFonts w:hint="eastAsia"/>
                                      <w:color w:val="FF0000"/>
                                      <w:sz w:val="21"/>
                                      <w:szCs w:val="24"/>
                                      <w:lang w:val="en-US" w:eastAsia="zh-CN"/>
                                    </w:rPr>
                                    <w:t>（4万m</w:t>
                                  </w:r>
                                  <w:r>
                                    <w:rPr>
                                      <w:rFonts w:hint="eastAsia"/>
                                      <w:color w:val="FF0000"/>
                                      <w:sz w:val="21"/>
                                      <w:szCs w:val="24"/>
                                      <w:vertAlign w:val="superscript"/>
                                      <w:lang w:val="en-US" w:eastAsia="zh-CN"/>
                                    </w:rPr>
                                    <w:t>3</w:t>
                                  </w:r>
                                  <w:r>
                                    <w:rPr>
                                      <w:rFonts w:hint="eastAsia"/>
                                      <w:color w:val="FF0000"/>
                                      <w:sz w:val="21"/>
                                      <w:szCs w:val="24"/>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1pt;margin-top:14.4pt;height:51.85pt;width:70.55pt;z-index:251680768;mso-width-relative:page;mso-height-relative:page;" filled="f" stroked="f" coordsize="21600,21600" o:gfxdata="UEsDBAoAAAAAAIdO4kAAAAAAAAAAAAAAAAAEAAAAZHJzL1BLAwQUAAAACACHTuJAKwL7ytoAAAAK&#10;AQAADwAAAGRycy9kb3ducmV2LnhtbE2Py07DMBBF90j8gzVI7KhTW0EhxKlQpAoJwaKlG3ZO7CYR&#10;9jjE7gO+nmFFl6M5uvfcanX2jh3tHMeACpaLDJjFLpgRewW79/VdASwmjUa7gFbBt42wqq+vKl2a&#10;cMKNPW5TzygEY6kVDClNJeexG6zXcREmi/Tbh9nrROfcczPrE4V7x0WW3XOvR6SGQU+2GWz3uT14&#10;BS/N+k1vWuGLH9c8v+6fpq/dR67U7c0yewSW7Dn9w/CnT+pQk1MbDmgicwrkgxCEKhAFTSAgl1IC&#10;a4mUIgdeV/xyQv0LUEsDBBQAAAAIAIdO4kBXBnEJHwIAABkEAAAOAAAAZHJzL2Uyb0RvYy54bWyt&#10;U8GO0zAQvSPxD5bvNG1plrZquiq7KkKq2JUK4uw6dhPJ9hjbbVI+AP6AExfufFe/g7HTdivghLg4&#10;45nJG8+bN7PbViuyF87XYAo66PUpEYZDWZttQT+8X74YU+IDMyVTYERBD8LT2/nzZ7PGTsUQKlCl&#10;cARBjJ82tqBVCHaaZZ5XQjPfAysMBiU4zQJe3TYrHWsQXats2O/fZA240jrgwnv03ndBOk/4Ugoe&#10;HqT0IhBVUHxbSKdL5yae2XzGplvHbFXz0zPYP7xCs9pg0QvUPQuM7Fz9B5SuuQMPMvQ46AykrLlI&#10;PWA3g/5v3awrZkXqBcnx9kKT/3+w/N3+0ZG6LGg+osQwjTM6fvt6/P7z+OMLQR8S1Fg/xby1xczQ&#10;voYWB332e3TGvlvpdPxiRwTjSPXhQq9oA+HoHE/yyTinhGPoJh+PJnlEyZ5+ts6HNwI0iUZBHU4v&#10;kcr2Kx+61HNKrGVgWSuVJqgMaRD0Zd5PP1wiCK4M1ogtdE+NVmg37amvDZQHbMtBpwxv+bLG4ivm&#10;wyNzKAXsBOUdHvCQCrAInCxKKnCf/+aP+TghjFLSoLQK6j/tmBOUqLcGZzcZjEZRi+kyyl8N8eKu&#10;I5vriNnpO0D1DnCRLE9mzA/qbEoH+iNuwSJWxRAzHGsXNJzNu9AJHreIi8UiJaH6LAsrs7Y8Qnd0&#10;LnYBZJ2YjjR13JzYQ/2lWZ12JQr8+p6ynj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AvvK&#10;2gAAAAoBAAAPAAAAAAAAAAEAIAAAACIAAABkcnMvZG93bnJldi54bWxQSwECFAAUAAAACACHTuJA&#10;VwZxCR8CAAAZBAAADgAAAAAAAAABACAAAAApAQAAZHJzL2Uyb0RvYy54bWxQSwUGAAAAAAYABgBZ&#10;AQAAugUAAAAA&#10;">
                      <v:fill on="f" focussize="0,0"/>
                      <v:stroke on="f" weight="0.5pt"/>
                      <v:imagedata o:title=""/>
                      <o:lock v:ext="edit" aspectratio="f"/>
                      <v:textbox>
                        <w:txbxContent>
                          <w:p>
                            <w:pPr>
                              <w:jc w:val="center"/>
                              <w:rPr>
                                <w:rFonts w:hint="eastAsia"/>
                                <w:color w:val="FF0000"/>
                                <w:sz w:val="21"/>
                                <w:szCs w:val="24"/>
                                <w:lang w:val="en-US" w:eastAsia="zh-CN"/>
                              </w:rPr>
                            </w:pPr>
                            <w:r>
                              <w:rPr>
                                <w:rFonts w:hint="eastAsia"/>
                                <w:color w:val="FF0000"/>
                                <w:sz w:val="21"/>
                                <w:szCs w:val="24"/>
                                <w:lang w:val="en-US" w:eastAsia="zh-CN"/>
                              </w:rPr>
                              <w:t>本工程一</w:t>
                            </w:r>
                          </w:p>
                          <w:p>
                            <w:pPr>
                              <w:jc w:val="center"/>
                              <w:rPr>
                                <w:rFonts w:hint="default"/>
                                <w:color w:val="FF0000"/>
                                <w:sz w:val="21"/>
                                <w:szCs w:val="24"/>
                                <w:lang w:val="en-US" w:eastAsia="zh-CN"/>
                              </w:rPr>
                            </w:pPr>
                            <w:r>
                              <w:rPr>
                                <w:rFonts w:hint="eastAsia"/>
                                <w:color w:val="FF0000"/>
                                <w:sz w:val="21"/>
                                <w:szCs w:val="24"/>
                                <w:lang w:val="en-US" w:eastAsia="zh-CN"/>
                              </w:rPr>
                              <w:t>体化设备</w:t>
                            </w:r>
                          </w:p>
                          <w:p>
                            <w:pPr>
                              <w:jc w:val="center"/>
                              <w:rPr>
                                <w:rFonts w:hint="default"/>
                                <w:color w:val="FF0000"/>
                                <w:sz w:val="21"/>
                                <w:szCs w:val="24"/>
                                <w:lang w:val="en-US" w:eastAsia="zh-CN"/>
                              </w:rPr>
                            </w:pPr>
                            <w:r>
                              <w:rPr>
                                <w:rFonts w:hint="eastAsia"/>
                                <w:color w:val="FF0000"/>
                                <w:sz w:val="21"/>
                                <w:szCs w:val="24"/>
                                <w:lang w:val="en-US" w:eastAsia="zh-CN"/>
                              </w:rPr>
                              <w:t>（4万m</w:t>
                            </w:r>
                            <w:r>
                              <w:rPr>
                                <w:rFonts w:hint="eastAsia"/>
                                <w:color w:val="FF0000"/>
                                <w:sz w:val="21"/>
                                <w:szCs w:val="24"/>
                                <w:vertAlign w:val="superscript"/>
                                <w:lang w:val="en-US" w:eastAsia="zh-CN"/>
                              </w:rPr>
                              <w:t>3</w:t>
                            </w:r>
                            <w:r>
                              <w:rPr>
                                <w:rFonts w:hint="eastAsia"/>
                                <w:color w:val="FF0000"/>
                                <w:sz w:val="21"/>
                                <w:szCs w:val="24"/>
                                <w:lang w:val="en-US" w:eastAsia="zh-CN"/>
                              </w:rPr>
                              <w:t>/d）</w:t>
                            </w:r>
                          </w:p>
                        </w:txbxContent>
                      </v:textbox>
                    </v:shape>
                  </w:pict>
                </mc:Fallback>
              </mc:AlternateContent>
            </w: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4182745</wp:posOffset>
                      </wp:positionH>
                      <wp:positionV relativeFrom="paragraph">
                        <wp:posOffset>138430</wp:posOffset>
                      </wp:positionV>
                      <wp:extent cx="742950" cy="28575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7429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已建工程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5pt;margin-top:10.9pt;height:22.5pt;width:58.5pt;z-index:251706368;mso-width-relative:page;mso-height-relative:page;" filled="f" stroked="f" coordsize="21600,21600" o:gfxdata="UEsDBAoAAAAAAIdO4kAAAAAAAAAAAAAAAAAEAAAAZHJzL1BLAwQUAAAACACHTuJAakXVHNkAAAAJ&#10;AQAADwAAAGRycy9kb3ducmV2LnhtbE2PS0/DMBCE70j8B2uRuFEnkfJQiFOhSBUSgkNLL9w28TaJ&#10;iO0Quw/49SwnetyZT7Mz1fpiJnGixY/OKohXEQiyndOj7RXs3zcPBQgf0GqcnCUF3+RhXd/eVFhq&#10;d7ZbOu1CLzjE+hIVDCHMpZS+G8igX7mZLHsHtxgMfC691AueOdxMMomiTBocLX8YcKZmoO5zdzQK&#10;XprNG27bxBQ/U/P8eniav/YfqVL3d3H0CCLQJfzD8Fefq0PNnVp3tNqLSUGWFjmjCpKYJzCQ5ykL&#10;LTtZAbKu5PWC+hdQSwMEFAAAAAgAh07iQDi257seAgAAGQQAAA4AAABkcnMvZTJvRG9jLnhtbK1T&#10;zY7aMBC+V+o7WL6XAAsLiwgruiuqSqi7Eq16No5NItke1zYk9AHaN9hTL733uXiOjh1g6c+p6sUZ&#10;z0y+8XzzzfS20YrshPMVmJz2Ol1KhOFQVGaT0w/vF6/GlPjATMEUGJHTvfD0dvbyxbS2E9GHElQh&#10;HEEQ4ye1zWkZgp1kmeel0Mx3wAqDQQlOs4BXt8kKx2pE1yrrd7vXWQ2usA648B69922QzhK+lIKH&#10;Bym9CETlFN8W0unSuY5nNpuyycYxW1b8+Az2D6/QrDJY9Ax1zwIjW1f9AaUr7sCDDB0OOgMpKy5S&#10;D9hNr/tbN6uSWZF6QXK8PdPk/x8sf7d7dKQqcjq+osQwjTM6PH09fPtx+P6FoA8Jqq2fYN7KYmZo&#10;XkODgz75PTpj3410On6xI4JxpHp/plc0gXB0jgb9myFGOIb64+EIbUTPnn+2zoc3AjSJRk4dTi+R&#10;ynZLH9rUU0qsZWBRKZUmqAypc3p9hZC/RBBcGawRW2ifGq3QrJtjX2so9tiWg1YZ3vJFhcWXzIdH&#10;5lAK+F6Ud3jAQyrAInC0KCnBff6bP+bjhDBKSY3Syqn/tGVOUKLeGpzdTW8wiFpMl8Fw1MeLu4ys&#10;LyNmq+8A1dvDRbI8mTE/qJMpHeiPuAXzWBVDzHCsndNwMu9CK3jcIi7m85SE6rMsLM3K8gjdkjbf&#10;BpBVYjrS1HJzZA/1l2Z13JUo8Mt7ynre6N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kXVHNkA&#10;AAAJAQAADwAAAAAAAAABACAAAAAiAAAAZHJzL2Rvd25yZXYueG1sUEsBAhQAFAAAAAgAh07iQDi2&#10;57seAgAAGQQAAA4AAAAAAAAAAQAgAAAAKAEAAGRycy9lMm9Eb2MueG1sUEsFBgAAAAAGAAYAWQEA&#10;ALg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已建工程</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1140460</wp:posOffset>
                      </wp:positionH>
                      <wp:positionV relativeFrom="paragraph">
                        <wp:posOffset>113030</wp:posOffset>
                      </wp:positionV>
                      <wp:extent cx="4445" cy="794385"/>
                      <wp:effectExtent l="9525" t="0" r="11430" b="5715"/>
                      <wp:wrapNone/>
                      <wp:docPr id="62" name="直接连接符 62"/>
                      <wp:cNvGraphicFramePr/>
                      <a:graphic xmlns:a="http://schemas.openxmlformats.org/drawingml/2006/main">
                        <a:graphicData uri="http://schemas.microsoft.com/office/word/2010/wordprocessingShape">
                          <wps:wsp>
                            <wps:cNvCnPr/>
                            <wps:spPr>
                              <a:xfrm>
                                <a:off x="0" y="0"/>
                                <a:ext cx="4445" cy="79438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9.8pt;margin-top:8.9pt;height:62.55pt;width:0.35pt;z-index:251686912;mso-width-relative:page;mso-height-relative:page;" filled="f" stroked="t" coordsize="21600,21600" o:gfxdata="UEsDBAoAAAAAAIdO4kAAAAAAAAAAAAAAAAAEAAAAZHJzL1BLAwQUAAAACACHTuJATfvCaNQAAAAK&#10;AQAADwAAAGRycy9kb3ducmV2LnhtbE1Py07DMBC8I/EP1iJxQdRui/oIcSoB6o0LgQ/YxiaJGq+N&#10;7fTx92xOcJvRzszOlLuLG8TJxtR70jCfKRCWGm96ajV8fe4fNyBSRjI4eLIarjbBrrq9KbEw/kwf&#10;9lTnVnAIpQI1dDmHQsrUdNZhmvlgiW/fPjrMTGMrTcQzh7tBLpRaSYc98YcOg33tbHOsR8c13l9C&#10;7ePDm8zXdRz75U/YH1Hr+7u5egaR7SX/iWGqzx6ouNPBj2SSGJivtyuWToAnTIKNWoI4MHhabEFW&#10;pfw/ofoFUEsDBBQAAAAIAIdO4kDibRku0gEAAGgDAAAOAAAAZHJzL2Uyb0RvYy54bWytU8uO0zAU&#10;3SPxD5b3NJnSznSiprNoNWwQVAI+4NZxEkt+ydc07U/wA0jsYMWSPX/D8BlcO6UzAztEFjf2fZz4&#10;HJ8sbw5Gs70MqJyt+cWk5Exa4Rplu5q/e3v7bMEZRrANaGdlzY8S+c3q6ZPl4Cs5db3TjQyMQCxW&#10;g695H6OvigJFLw3gxHlpqdi6YCDSNnRFE2AgdKOLaVleFoMLjQ9OSETKbsYiX2X8tpUivm5blJHp&#10;mtPZYo4hx12KxWoJVRfA90qcjgH/cAoDytJHz1AbiMDeB/UXlFEiOHRtnAhnCte2SsjMgdhclH+w&#10;edODl5kLiYP+LBP+P1jxar8NTDU1v5xyZsHQHd19/Pbjw+ef3z9RvPv6hVGFZBo8VtS9tttw2qHf&#10;hsT50AaT3sSGHbK0x7O08hCZoORsNptzJqhwdT17vpgnxOJ+1AeML6QzLC1qrpVNvKGC/UuMY+vv&#10;lpS27lZpTXmotGUDGe+6nNP1CiALtRoiLY0nUmg7zkB35E0RQ4ZEp1WTxtM0hm631oHtIfmjvCrX&#10;2RJ0skdt6dsbwH7sy6XROUZFsq9WpuaLMj0nXtoSvaTYqFFa7VxzzNLlPF1nFuBkveSXh/s8ff+D&#10;r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fvCaNQAAAAKAQAADwAAAAAAAAABACAAAAAiAAAA&#10;ZHJzL2Rvd25yZXYueG1sUEsBAhQAFAAAAAgAh07iQOJtGS7SAQAAaAMAAA4AAAAAAAAAAQAgAAAA&#10;IwEAAGRycy9lMm9Eb2MueG1sUEsFBgAAAAAGAAYAWQEAAGcFA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1137285</wp:posOffset>
                      </wp:positionH>
                      <wp:positionV relativeFrom="paragraph">
                        <wp:posOffset>105410</wp:posOffset>
                      </wp:positionV>
                      <wp:extent cx="127635" cy="1905"/>
                      <wp:effectExtent l="0" t="9525" r="12065" b="13970"/>
                      <wp:wrapNone/>
                      <wp:docPr id="61" name="直接连接符 61"/>
                      <wp:cNvGraphicFramePr/>
                      <a:graphic xmlns:a="http://schemas.openxmlformats.org/drawingml/2006/main">
                        <a:graphicData uri="http://schemas.microsoft.com/office/word/2010/wordprocessingShape">
                          <wps:wsp>
                            <wps:cNvCnPr/>
                            <wps:spPr>
                              <a:xfrm flipV="1">
                                <a:off x="0" y="0"/>
                                <a:ext cx="127635" cy="190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9.55pt;margin-top:8.3pt;height:0.15pt;width:10.05pt;z-index:251685888;mso-width-relative:page;mso-height-relative:page;" filled="f" stroked="t" coordsize="21600,21600" o:gfxdata="UEsDBAoAAAAAAIdO4kAAAAAAAAAAAAAAAAAEAAAAZHJzL1BLAwQUAAAACACHTuJAM8q3w9cAAAAJ&#10;AQAADwAAAGRycy9kb3ducmV2LnhtbE2PS0/DMBCE70j9D9ZW6o066SGQEKeqkFDFrRSEenTjbR6N&#10;1yF2+vj3bE5w29kdzX6Tr2+2ExccfONIQbyMQCCVzjRUKfj6fHt8BuGDJqM7R6jgjh7Wxewh15lx&#10;V/rAyz5UgkPIZ1pBHUKfSenLGq32S9cj8e3kBqsDy6GSZtBXDredXEVRIq1uiD/UusfXGsvzfrQK&#10;3ndjsmvabWg35/j7cLDbH9mSUot5HL2ACHgLf2aY8BkdCmY6upGMFx3rpzRmKw9JAmIypOkKxHFa&#10;pCCLXP5vUPwCUEsDBBQAAAAIAIdO4kB1Nx4S1gEAAHIDAAAOAAAAZHJzL2Uyb0RvYy54bWytU0uO&#10;EzEQ3SNxB8t70p2gyQytdGaRaNggGInPvuK2uy35J5dJJ5fgAkjsYMWSPbeZ4RiU3SH8dohelOyq&#10;8nO959er64M1bC8jau9aPp/VnEknfKdd3/LXr24eXXGGCVwHxjvZ8qNEfr1++GA1hkYu/OBNJyMj&#10;EIfNGFo+pBSaqkIxSAs480E6KiofLSTaxr7qIoyEbk21qOtlNfrYheiFRKTsdirydcFXSor0QimU&#10;iZmW02ypxFjiLsdqvYKmjxAGLU5jwD9MYUE7uvQMtYUE7G3Uf0FZLaJHr9JMeFt5pbSQhQOxmdd/&#10;sHk5QJCFC4mD4SwT/j9Y8Xx/G5nuWr6cc+bA0hvdv/9y9+7jt68fKN5//sSoQjKNARvq3rjbeNph&#10;uI2Z80FFy5TR4Q05oKhAvNihiHw8iywPiQlKzheXy8cXnAkqzZ/UFxm7mkAyWIiYnkpvWV603GiX&#10;FYAG9s8wTa0/WnLa+RttDOWhMY6NEyQ9tAAykzKQaGkD0UPXcwamJ5eKFAskeqO7fDyfxtjvNiay&#10;PWSn1Jf1ppiDJvutLd+9BRymvlKaPGR1IiMbbVt+VefvxMs4ope1m9TKq53vjkXEkqeHLQKcTJid&#10;8+u+nP75q6y/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PKt8PXAAAACQEAAA8AAAAAAAAAAQAg&#10;AAAAIgAAAGRycy9kb3ducmV2LnhtbFBLAQIUABQAAAAIAIdO4kB1Nx4S1gEAAHIDAAAOAAAAAAAA&#10;AAEAIAAAACYBAABkcnMvZTJvRG9jLnhtbFBLBQYAAAAABgAGAFkBAABu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4560" behindDoc="0" locked="0" layoutInCell="1" allowOverlap="1">
                      <wp:simplePos x="0" y="0"/>
                      <wp:positionH relativeFrom="column">
                        <wp:posOffset>1558290</wp:posOffset>
                      </wp:positionH>
                      <wp:positionV relativeFrom="paragraph">
                        <wp:posOffset>227330</wp:posOffset>
                      </wp:positionV>
                      <wp:extent cx="635" cy="146050"/>
                      <wp:effectExtent l="9525" t="0" r="15240" b="6350"/>
                      <wp:wrapNone/>
                      <wp:docPr id="93" name="直接连接符 93"/>
                      <wp:cNvGraphicFramePr/>
                      <a:graphic xmlns:a="http://schemas.openxmlformats.org/drawingml/2006/main">
                        <a:graphicData uri="http://schemas.microsoft.com/office/word/2010/wordprocessingShape">
                          <wps:wsp>
                            <wps:cNvCnPr/>
                            <wps:spPr>
                              <a:xfrm>
                                <a:off x="0" y="0"/>
                                <a:ext cx="635" cy="14605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2.7pt;margin-top:17.9pt;height:11.5pt;width:0.05pt;z-index:251714560;mso-width-relative:page;mso-height-relative:page;" filled="f" stroked="t" coordsize="21600,21600" o:gfxdata="UEsDBAoAAAAAAIdO4kAAAAAAAAAAAAAAAAAEAAAAZHJzL1BLAwQUAAAACACHTuJAeUJRP9UAAAAJ&#10;AQAADwAAAGRycy9kb3ducmV2LnhtbE2PzU7EMAyE70i8Q2QkLohN96dQlaYrAdobFwoP4G1MW23j&#10;lCTdn7fHnOBoe2b8TbU9u1EdKcTBs4HlIgNF3Ho7cGfg82N3X4CKCdni6JkMXCjCtr6+qrC0/sTv&#10;dGxSpySEY4kG+pSmUuvY9uQwLvxELLcvHxwmGUOnbcCThLtRr7LsQTscWD70ONFLT+2hmZ1gvD1P&#10;jQ93rzpdHsM8rL+n3QGNub1ZZk+gEp3Tnxh+8cUDtTDt/cw2qtHAapNvRGpgnUsFEcgiB7U3kBcF&#10;6LrS/xvUP1BLAwQUAAAACACHTuJAaW45/c8BAABnAwAADgAAAGRycy9lMm9Eb2MueG1srVPNbhMx&#10;EL4j8Q6W72Q3LQ3tKpseEpULgkjAA0y89q4l/8ljsslL8AJI3ODEkTtvQ3kMxk6a0nJD7GE8nhl/&#10;nu/z7Px6Zw3byojau5ZPJzVn0gnfade3/P27m2eXnGEC14HxTrZ8L5FfL54+mY+hkWd+8KaTkRGI&#10;w2YMLR9SCk1VoRikBZz4IB0llY8WEm1jX3URRkK3pjqr61k1+tiF6IVEpOjqkOSLgq+UFOmNUigT&#10;My2n3lKxsdhNttViDk0fIQxaHNuAf+jCgnZ06QlqBQnYh6j/grJaRI9epYnwtvJKaSELB2IzrR+x&#10;eTtAkIULiYPhJBP+P1jxeruOTHctvzrnzIGlN7r99P3nxy+/fnwme/vtK6MMyTQGbKh66dbxuMOw&#10;jpnzTkWbV2LDdkXa/UlauUtMUHB2fsGZoPj0+ay+KLpX9ydDxPRSesuy03KjXaYNDWxfYaLbqPSu&#10;JIedv9HGlKczjo0EepUxmQCaIGUgkWsDcULXcwamp9EUKRZI9EZ3+XgGwthvliayLeTxqF/Uy7vO&#10;HpTlu1eAw6GupA6DY3Wi6TXatvyyzl8OU7PG0ZIFO0iUvY3v9kW5EqfXLIXHycvj8ue+nL7/Px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lCUT/VAAAACQEAAA8AAAAAAAAAAQAgAAAAIgAAAGRy&#10;cy9kb3ducmV2LnhtbFBLAQIUABQAAAAIAIdO4kBpbjn9zwEAAGcDAAAOAAAAAAAAAAEAIAAAACQB&#10;AABkcnMvZTJvRG9jLnhtbFBLBQYAAAAABgAGAFkBAABl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1488" behindDoc="0" locked="0" layoutInCell="1" allowOverlap="1">
                      <wp:simplePos x="0" y="0"/>
                      <wp:positionH relativeFrom="column">
                        <wp:posOffset>1966595</wp:posOffset>
                      </wp:positionH>
                      <wp:positionV relativeFrom="paragraph">
                        <wp:posOffset>236855</wp:posOffset>
                      </wp:positionV>
                      <wp:extent cx="469900" cy="356870"/>
                      <wp:effectExtent l="9525" t="9525" r="15875" b="14605"/>
                      <wp:wrapNone/>
                      <wp:docPr id="90" name="文本框 90"/>
                      <wp:cNvGraphicFramePr/>
                      <a:graphic xmlns:a="http://schemas.openxmlformats.org/drawingml/2006/main">
                        <a:graphicData uri="http://schemas.microsoft.com/office/word/2010/wordprocessingShape">
                          <wps:wsp>
                            <wps:cNvSpPr txBox="1"/>
                            <wps:spPr>
                              <a:xfrm>
                                <a:off x="0" y="0"/>
                                <a:ext cx="469900" cy="35687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85pt;margin-top:18.65pt;height:28.1pt;width:37pt;z-index:251711488;mso-width-relative:page;mso-height-relative:page;" fillcolor="#FFFFFF [3201]" filled="t" stroked="t" coordsize="21600,21600" o:gfxdata="UEsDBAoAAAAAAIdO4kAAAAAAAAAAAAAAAAAEAAAAZHJzL1BLAwQUAAAACACHTuJAjtmNK9cAAAAJ&#10;AQAADwAAAGRycy9kb3ducmV2LnhtbE2Py07DMBBF90j8gzVI7KhdLGgS4lQI6IJNK1rYO7FJAvY4&#10;st0HfD3DCnbzOLpzpl6evGMHG9MYUMF8JoBZ7IIZsVfwultdFcBS1mi0C2gVfNkEy+b8rNaVCUd8&#10;sYdt7hmFYKq0giHnqeI8dYP1Os3CZJF27yF6namNPTdRHyncO34txC33ekS6MOjJPgy2+9zuvYLH&#10;ri0/3HfwcfO8Ltb3T6tix9+UuryYiztg2Z7yHwy/+qQODTm1YY8mMadAinJBKBULCYwAWUgatApK&#10;eQO8qfn/D5ofUEsDBBQAAAAIAIdO4kA0KDgHPAIAAGwEAAAOAAAAZHJzL2Uyb0RvYy54bWytVM1u&#10;EzEQviPxDpbvdDclaZuomyqkCkKqaKWAODteb7KS12NsJ7vlAeANOHHhznPlOfjs/LSlnBB78M7f&#10;fp75ZmYvr7pGs41yviZT8N5JzpkyksraLAv+8cPs1QVnPghTCk1GFfxeeX41fvnisrUjdUor0qVy&#10;DCDGj1pb8FUIdpRlXq5UI/wJWWXgrMg1IkB1y6x0ogV6o7PTPD/LWnKldSSV97Be75x8nPCrSslw&#10;W1VeBaYLjtxCOl06F/HMxpditHTCrmq5T0P8QxaNqA0uPUJdiyDY2tXPoJpaOvJUhRNJTUZVVUuV&#10;akA1vfyPauYrYVWqBeR4e6TJ/z9Y+X5z51hdFnwIeoxo0KPt92/bH7+2P78y2EBQa/0IcXOLyNC9&#10;oQ6NPtg9jLHurnJNfKMiBj+w7o/0qi4wCWP/bDjM4ZFwvR6cXZwn9OzhY+t8eKuoYVEouEP3Eqli&#10;c+MDEkHoISTe5UnX5azWOiluuZhqxzYCnZ6lJ+aIT56EacNapD/MB3mCfuL0TzFyPM8xgKgNgCMr&#10;u+qjFLpFt6dqQeU9mHK0GzZv5axGPTfChzvhMF2gABsTbnFUmpAO7SXOVuS+/M0e49F0eDlrMa0F&#10;95/XwinO9DuDcRj2+n3AhqT0B+enUNxjz+Kxx6ybKYGmHnbTyiTG+KAPYuWo+YTFmsRb4RJG4u6C&#10;h4M4DbsdwmJKNZmkIAy0FeHGzK2M0LEphibrQFWdmhdp2nGzZw8jnRq0X7+4M4/1FPXwkx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7ZjSvXAAAACQEAAA8AAAAAAAAAAQAgAAAAIgAAAGRycy9k&#10;b3ducmV2LnhtbFBLAQIUABQAAAAIAIdO4kA0KDgHPAIAAGwEAAAOAAAAAAAAAAEAIAAAACYBAABk&#10;cnMvZTJvRG9jLnhtbFBLBQYAAAAABgAGAFkBAADUBQAAAAA=&#10;">
                      <v:fill on="t" focussize="0,0"/>
                      <v:stroke weight="1.5pt" color="#FF0000 [3204]" joinstyle="round"/>
                      <v:imagedata o:title=""/>
                      <o:lock v:ext="edit" aspectratio="f"/>
                      <v:textbox>
                        <w:txbxContent>
                          <w:p>
                            <w:pPr>
                              <w:rPr>
                                <w:rFonts w:hint="default"/>
                                <w:lang w:val="en-US" w:eastAsia="zh-CN"/>
                              </w:rPr>
                            </w:pPr>
                          </w:p>
                        </w:txbxContent>
                      </v:textbox>
                    </v:shape>
                  </w:pict>
                </mc:Fallback>
              </mc:AlternateContent>
            </w: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1888490</wp:posOffset>
                      </wp:positionH>
                      <wp:positionV relativeFrom="paragraph">
                        <wp:posOffset>188595</wp:posOffset>
                      </wp:positionV>
                      <wp:extent cx="586740" cy="38798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586740" cy="387985"/>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sz w:val="18"/>
                                      <w:szCs w:val="21"/>
                                      <w:lang w:val="en-US" w:eastAsia="zh-CN"/>
                                    </w:rPr>
                                  </w:pPr>
                                  <w:r>
                                    <w:rPr>
                                      <w:rFonts w:hint="eastAsia"/>
                                      <w:color w:val="FF0000"/>
                                      <w:sz w:val="18"/>
                                      <w:szCs w:val="21"/>
                                      <w:lang w:val="en-US" w:eastAsia="zh-CN"/>
                                    </w:rPr>
                                    <w:t>清水</w:t>
                                  </w:r>
                                </w:p>
                                <w:p>
                                  <w:pPr>
                                    <w:jc w:val="center"/>
                                    <w:rPr>
                                      <w:rFonts w:hint="default" w:eastAsia="宋体"/>
                                      <w:color w:val="FF0000"/>
                                      <w:sz w:val="18"/>
                                      <w:szCs w:val="21"/>
                                      <w:lang w:val="en-US" w:eastAsia="zh-CN"/>
                                    </w:rPr>
                                  </w:pPr>
                                  <w:r>
                                    <w:rPr>
                                      <w:rFonts w:hint="eastAsia"/>
                                      <w:color w:val="FF0000"/>
                                      <w:sz w:val="18"/>
                                      <w:szCs w:val="21"/>
                                      <w:lang w:val="en-US" w:eastAsia="zh-CN"/>
                                    </w:rPr>
                                    <w:t>外排池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4.85pt;height:30.55pt;width:46.2pt;z-index:251712512;mso-width-relative:page;mso-height-relative:page;" filled="f" stroked="f" coordsize="21600,21600" o:gfxdata="UEsDBAoAAAAAAIdO4kAAAAAAAAAAAAAAAAAEAAAAZHJzL1BLAwQUAAAACACHTuJANUxpMtYAAAAJ&#10;AQAADwAAAGRycy9kb3ducmV2LnhtbE2PTUvEMBCG74L/IYzgzU26ira16YKiNxF2t+A128Sm2ExK&#10;ku3Hv3f0orcZ5uGd5612ixvYZELsPUrINgKYwdbrHjsJzfH1JgcWk0KtBo9Gwmoi7OrLi0qV2s+4&#10;N9MhdYxCMJZKgk1pLDmPrTVOxY0fDdLt0wenEq2h4zqomcLdwLdC3HOneqQPVo3m2Zr263B2Etyb&#10;+Ni/v2S2WZtJpfX4FHBepLy+ysQjsGSW9AfDjz6pQ01OJ39GHdkgYVs83BH6OwAj4DYvqMtJQiFy&#10;4HXF/zeovwFQSwMEFAAAAAgAh07iQEANXTIfAgAAGgQAAA4AAABkcnMvZTJvRG9jLnhtbK1TS44T&#10;MRDdI3EHy3vSnZBMPkpnFGYUhBQxIwXE2nHbSUu2y9hOusMB4AazYsOec+UclN1JJgJWiI27XK+6&#10;Pq+ep7eNVmQvnK/AFLTbySkRhkNZmU1BP35YvBpR4gMzJVNgREEPwtPb2csX09pORA+2oErhCCYx&#10;flLbgm5DsJMs83wrNPMdsMIgKMFpFvDqNlnpWI3Ztcp6eX6T1eBK64AL79F734J0lvJLKXh4kNKL&#10;QFRBsbeQTpfOdTyz2ZRNNo7ZbcVPbbB/6EKzymDRS6p7FhjZueqPVLriDjzI0OGgM5Cy4iLNgNN0&#10;89+mWW2ZFWkWJMfbC03+/6Xl7/ePjlRlQcddSgzTuKPj07fj95/HH18J+pCg2voJxq0sRobmDTS4&#10;6LPfozPO3Uin4xcnIogj1YcLvaIJhKNzMLoZ9hHhCL0eDcejQcySPf9snQ9vBWgSjYI63F4ile2X&#10;PrSh55BYy8CiUiptUBlSY1fjfJCnPy4QZlcGi8QZ2l6jFZp1cxpsDeUB53LQSsNbvqiw+pL58Mgc&#10;agEbRn2HBzykAqwCJ4uSLbgvf/PHeFwRopTUqK2C+s875gQl6p3B5Y27/chDSJf+YNjDi7tG1teI&#10;2ek7QPnifrC7ZMb4oM6mdKA/4TOYx6oIMcOxdkHD2bwLreLxGXExn6cglJ9lYWlWlsfULZ/zXQBZ&#10;JaojTS03J/ZQgGlZp8cSFX59T1HPT3r2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MaTLWAAAA&#10;CQEAAA8AAAAAAAAAAQAgAAAAIgAAAGRycy9kb3ducmV2LnhtbFBLAQIUABQAAAAIAIdO4kBADV0y&#10;HwIAABoEAAAOAAAAAAAAAAEAIAAAACUBAABkcnMvZTJvRG9jLnhtbFBLBQYAAAAABgAGAFkBAAC2&#10;BQAAAAA=&#10;">
                      <v:fill on="f" focussize="0,0"/>
                      <v:stroke on="f" weight="1.5pt"/>
                      <v:imagedata o:title=""/>
                      <o:lock v:ext="edit" aspectratio="f"/>
                      <v:textbox>
                        <w:txbxContent>
                          <w:p>
                            <w:pPr>
                              <w:jc w:val="center"/>
                              <w:rPr>
                                <w:rFonts w:hint="eastAsia"/>
                                <w:color w:val="FF0000"/>
                                <w:sz w:val="18"/>
                                <w:szCs w:val="21"/>
                                <w:lang w:val="en-US" w:eastAsia="zh-CN"/>
                              </w:rPr>
                            </w:pPr>
                            <w:r>
                              <w:rPr>
                                <w:rFonts w:hint="eastAsia"/>
                                <w:color w:val="FF0000"/>
                                <w:sz w:val="18"/>
                                <w:szCs w:val="21"/>
                                <w:lang w:val="en-US" w:eastAsia="zh-CN"/>
                              </w:rPr>
                              <w:t>清水</w:t>
                            </w:r>
                          </w:p>
                          <w:p>
                            <w:pPr>
                              <w:jc w:val="center"/>
                              <w:rPr>
                                <w:rFonts w:hint="default" w:eastAsia="宋体"/>
                                <w:color w:val="FF0000"/>
                                <w:sz w:val="18"/>
                                <w:szCs w:val="21"/>
                                <w:lang w:val="en-US" w:eastAsia="zh-CN"/>
                              </w:rPr>
                            </w:pPr>
                            <w:r>
                              <w:rPr>
                                <w:rFonts w:hint="eastAsia"/>
                                <w:color w:val="FF0000"/>
                                <w:sz w:val="18"/>
                                <w:szCs w:val="21"/>
                                <w:lang w:val="en-US" w:eastAsia="zh-CN"/>
                              </w:rPr>
                              <w:t>外排池</w:t>
                            </w:r>
                          </w:p>
                        </w:txbxContent>
                      </v:textbox>
                    </v:shape>
                  </w:pict>
                </mc:Fallback>
              </mc:AlternateContent>
            </w: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4030345</wp:posOffset>
                      </wp:positionH>
                      <wp:positionV relativeFrom="paragraph">
                        <wp:posOffset>167640</wp:posOffset>
                      </wp:positionV>
                      <wp:extent cx="1181100" cy="2857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1811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宜美公司建设内容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35pt;margin-top:13.2pt;height:22.5pt;width:93pt;z-index:251707392;mso-width-relative:page;mso-height-relative:page;" filled="f" stroked="f" coordsize="21600,21600" o:gfxdata="UEsDBAoAAAAAAIdO4kAAAAAAAAAAAAAAAAAEAAAAZHJzL1BLAwQUAAAACACHTuJAvFD2ZNoAAAAJ&#10;AQAADwAAAGRycy9kb3ducmV2LnhtbE2Py07DMBBF90j8gzVI7KidENIoxKlQpAoJwaKlG3ZOPE0i&#10;7HGI3Qd8PWZVljNzdOfcanW2hh1x9qMjCclCAEPqnB6pl7B7X98VwHxQpJVxhBK+0cOqvr6qVKnd&#10;iTZ43IaexRDypZIwhDCVnPtuQKv8wk1I8bZ3s1UhjnPP9axOMdwangqRc6tGih8GNWEzYPe5PVgJ&#10;L836TW3a1BY/pnl+3T9NX7uPBylvbxLxCCzgOVxg+NOP6lBHp9YdSHtmJOT32TKiEtI8AxaBIhVx&#10;0UpYJhnwuuL/G9S/UEsDBBQAAAAIAIdO4kDiasvzHwIAABoEAAAOAAAAZHJzL2Uyb0RvYy54bWyt&#10;U0uOEzEQ3SNxB8t70umQzIQonVGYURBSxIwUEGvHbadbsl3GdtIdDgA3mBUb9pwr56DsTjLhs0Js&#10;7HK9cn1eVU1vWq3ITjhfgylo3utTIgyHsjabgn54v3gxpsQHZkqmwIiC7oWnN7Pnz6aNnYgBVKBK&#10;4Qg6MX7S2IJWIdhJlnleCc18D6wwCEpwmgV8uk1WOtagd62yQb9/lTXgSuuAC+9Re9eBdJb8Syl4&#10;uJfSi0BUQTG3kE6XznU8s9mUTTaO2armxzTYP2ShWW0w6NnVHQuMbF39hytdcwceZOhx0BlIWXOR&#10;asBq8v5v1awqZkWqBcnx9kyT/39u+bvdgyN1WdDxiBLDNPbo8Pj18O3H4fsXgjokqLF+gnYri5ah&#10;fQ0tNvqk96iMdbfS6XhjRQRxpHp/ple0gfD4KR/neR8hjthgPLoeJf6zp9/W+fBGgCZRKKjD9iVW&#10;2W7pA2aCpieTGMzAolYqtVAZ0hT06iW6/AXBH8rgx1hDl2uUQrtuj4WtodxjXQ660fCWL2oMvmQ+&#10;PDCHs4D54nyHezykAgwCR4mSCtznv+mjPbYIUUoanK2C+k9b5gQl6q3B5r3Kh8M4jOkxHF0P8OEu&#10;kfUlYrb6FnB8c9wky5MY7YM6idKB/ohrMI9REWKGY+yChpN4G7qJxzXiYj5PRjh+loWlWVkeXXek&#10;zbcBZJ2YjjR13BzZwwFMDTguS5zwy3eyelrp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8UPZk&#10;2gAAAAkBAAAPAAAAAAAAAAEAIAAAACIAAABkcnMvZG93bnJldi54bWxQSwECFAAUAAAACACHTuJA&#10;4mrL8x8CAAAa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宜美公司建设内容</w:t>
                            </w:r>
                          </w:p>
                        </w:txbxContent>
                      </v:textbox>
                    </v:shape>
                  </w:pict>
                </mc:Fallback>
              </mc:AlternateContent>
            </w: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3630295</wp:posOffset>
                      </wp:positionH>
                      <wp:positionV relativeFrom="paragraph">
                        <wp:posOffset>20955</wp:posOffset>
                      </wp:positionV>
                      <wp:extent cx="367665" cy="635"/>
                      <wp:effectExtent l="0" t="9525" r="635" b="15240"/>
                      <wp:wrapNone/>
                      <wp:docPr id="82" name="直接连接符 82"/>
                      <wp:cNvGraphicFramePr/>
                      <a:graphic xmlns:a="http://schemas.openxmlformats.org/drawingml/2006/main">
                        <a:graphicData uri="http://schemas.microsoft.com/office/word/2010/wordprocessingShape">
                          <wps:wsp>
                            <wps:cNvCnPr/>
                            <wps:spPr>
                              <a:xfrm flipV="1">
                                <a:off x="0" y="0"/>
                                <a:ext cx="367665" cy="63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5.85pt;margin-top:1.65pt;height:0.05pt;width:28.95pt;z-index:251697152;mso-width-relative:page;mso-height-relative:page;" filled="f" stroked="t" coordsize="21600,21600" o:gfxdata="UEsDBAoAAAAAAIdO4kAAAAAAAAAAAAAAAAAEAAAAZHJzL1BLAwQUAAAACACHTuJA++pcG9UAAAAH&#10;AQAADwAAAGRycy9kb3ducmV2LnhtbE2OsU7DMBRFdyT+wXpIbNRxQhMa4nRAYmRoYKCbG78mgfg5&#10;it208PU8Jhiv7tW5p9pe3CgWnMPgSYNaJSCQWm8H6jS8vT7fPYAI0ZA1oyfU8IUBtvX1VWVK68+0&#10;w6WJnWAIhdJo6GOcSilD26MzYeUnJO6OfnYmcpw7aWdzZrgbZZokuXRmIH7ozYRPPbafzclpaJRC&#10;uc828ePl+P4d1/u+SJed1rc3KnkEEfES/8bwq8/qULPTwZ/IBjFqWBeq4KmGLAPBfZ5uchAHzvcg&#10;60r+969/AFBLAwQUAAAACACHTuJAg9N3X9EBAABxAwAADgAAAGRycy9lMm9Eb2MueG1srVNLjhMx&#10;EN0jcQfLe9I9GSUMrXRmMdGwQRCJz77itrst+SeXSSeX4AJI7GDFkj23YTgGZXcIA+wQvSi5fs/1&#10;nqtX1wdr2F5G1N61/GJWcyad8J12fctfv7p9dMUZJnAdGO9ky48S+fX64YPVGBo594M3nYyMQBw2&#10;Y2j5kFJoqgrFIC3gzAfpKKl8tJDIjX3VRRgJ3ZpqXtfLavSxC9ELiUjRzZTk64KvlBTphVIoEzMt&#10;p9lSsbHYXbbVegVNHyEMWpzGgH+YwoJ2dOkZagMJ2Nuo/4KyWkSPXqWZ8LbySmkhCwdic1H/webl&#10;AEEWLiQOhrNM+P9gxfP9NjLdtfxqzpkDS2909/7Lt3cfv3/9QPbu8ydGGZJpDNhQ9Y3bxpOHYRsz&#10;54OKlimjwxvagKIC8WKHIvLxLLI8JCYoeLl8vFwuOBOUWl4uMnQ1YWSsEDE9ld6yfGi50S4LAA3s&#10;n2GaSn+W5LDzt9oYikNjHBvp/if1gt5ZAO2SMpDoaAOxQ9dzBqanJRUpFkj0Rne5PXdj7Hc3JrI9&#10;5EUp32my38ry3RvAYaorqVwGjdWJ9thoS0Le7zaO6GXpJrHyaee7Y9GwxOldiwCnHcyLc98v3b/+&#10;lP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cG9UAAAAHAQAADwAAAAAAAAABACAAAAAiAAAA&#10;ZHJzL2Rvd25yZXYueG1sUEsBAhQAFAAAAAgAh07iQIPTd1/RAQAAcQMAAA4AAAAAAAAAAQAgAAAA&#10;JAEAAGRycy9lMm9Eb2MueG1sUEsFBgAAAAAGAAYAWQEAAGcFA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rPr>
            </w:pP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4004945</wp:posOffset>
                      </wp:positionH>
                      <wp:positionV relativeFrom="paragraph">
                        <wp:posOffset>252095</wp:posOffset>
                      </wp:positionV>
                      <wp:extent cx="1282065" cy="2857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2820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本项目建设内容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35pt;margin-top:19.85pt;height:22.5pt;width:100.95pt;z-index:251708416;mso-width-relative:page;mso-height-relative:page;" filled="f" stroked="f" coordsize="21600,21600" o:gfxdata="UEsDBAoAAAAAAIdO4kAAAAAAAAAAAAAAAAAEAAAAZHJzL1BLAwQUAAAACACHTuJANVjoTNoAAAAJ&#10;AQAADwAAAGRycy9kb3ducmV2LnhtbE2PTU/DMAyG70j8h8hI3FiyFrpSmk6o0oQ0wWFjF25uk7UV&#10;+ShN9sF+PeYEJ9vyo9ePy+XZGnbUUxi8kzCfCWDatV4NrpOwe1/d5cBCRKfQeKclfOsAy+r6qsRC&#10;+ZPb6OM2doxCXChQQh/jWHAe2l5bDDM/ake7vZ8sRhqnjqsJTxRuDU+EyLjFwdGFHkdd97r93B6s&#10;hHW9esNNk9j8YuqX1/3z+LX7eJDy9mYunoBFfY5/MPzqkzpU5NT4g1OBGQlZKhaESkgfqRKQp0kG&#10;rKHmfgG8Kvn/D6ofUEsDBBQAAAAIAIdO4kA0YzCpIAIAABoEAAAOAAAAZHJzL2Uyb0RvYy54bWyt&#10;U82OEzEMviPxDlHudNqhf1SdrsquipAqdqWCOKeZpB0piUOSdqY8ALzBnrhw57n6HDiZtlt+TohL&#10;4tiO7e+zPb1ptCJ74XwFpqC9TpcSYTiUldkU9MP7xYsxJT4wUzIFRhT0IDy9mT1/Nq3tROSwBVUK&#10;RzCI8ZPaFnQbgp1kmedboZnvgBUGjRKcZgGfbpOVjtUYXass73aHWQ2utA648B61d62RzlJ8KQUP&#10;91J6EYgqKNYW0unSuY5nNpuyycYxu634qQz2D1VoVhlMegl1xwIjO1f9EUpX3IEHGTocdAZSVlwk&#10;DIim1/0NzWrLrEhYkBxvLzT5/xeWv9s/OFKVBR2PKDFMY4+Oj1+P334cv38hqEOCausn6Ley6Bma&#10;19Bgo896j8qIu5FOxxsREbQj1YcLvaIJhMdP+TjvDgeUcLTl48FokPjPnn5b58MbAZpEoaAO25dY&#10;ZfulD1gJup5dYjIDi0qp1EJlSF3Q4UsM+YsFfyiDHyOGttYohWbdnICtoTwgLgftaHjLFxUmXzIf&#10;HpjDWUAoON/hHg+pAJPASaJkC+7z3/TRH1uEVkpqnK2C+k875gQl6q3B5r3q9ftxGNOjPxjl+HDX&#10;lvW1xez0LeD49nCTLE9i9A/qLEoH+iOuwTxmRRMzHHMXNJzF29BOPK4RF/N5csLxsywszcryGLol&#10;bb4LIKvEdKSp5ebEHg5gasBpWeKEX7+T19NKz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Vjo&#10;TNoAAAAJAQAADwAAAAAAAAABACAAAAAiAAAAZHJzL2Rvd25yZXYueG1sUEsBAhQAFAAAAAgAh07i&#10;QDRjMKkgAgAAGgQAAA4AAAAAAAAAAQAgAAAAKQEAAGRycy9lMm9Eb2MueG1sUEsFBgAAAAAGAAYA&#10;WQEAALs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本项目建设内容</w:t>
                            </w:r>
                          </w:p>
                        </w:txbxContent>
                      </v:textbox>
                    </v:shap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1274445</wp:posOffset>
                      </wp:positionH>
                      <wp:positionV relativeFrom="paragraph">
                        <wp:posOffset>125095</wp:posOffset>
                      </wp:positionV>
                      <wp:extent cx="549910" cy="238760"/>
                      <wp:effectExtent l="9525" t="9525" r="12065" b="18415"/>
                      <wp:wrapNone/>
                      <wp:docPr id="57" name="文本框 57"/>
                      <wp:cNvGraphicFramePr/>
                      <a:graphic xmlns:a="http://schemas.openxmlformats.org/drawingml/2006/main">
                        <a:graphicData uri="http://schemas.microsoft.com/office/word/2010/wordprocessingShape">
                          <wps:wsp>
                            <wps:cNvSpPr txBox="1"/>
                            <wps:spPr>
                              <a:xfrm>
                                <a:off x="0" y="0"/>
                                <a:ext cx="549910" cy="238760"/>
                              </a:xfrm>
                              <a:prstGeom prst="rect">
                                <a:avLst/>
                              </a:prstGeom>
                              <a:solidFill>
                                <a:schemeClr val="lt1"/>
                              </a:solidFill>
                              <a:ln w="19050">
                                <a:solidFill>
                                  <a:srgbClr val="0070C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18"/>
                                      <w:szCs w:val="21"/>
                                      <w:lang w:val="en-US" w:eastAsia="zh-CN"/>
                                    </w:rPr>
                                  </w:pPr>
                                  <w:r>
                                    <w:rPr>
                                      <w:rFonts w:hint="eastAsia"/>
                                      <w:color w:val="0070C0"/>
                                      <w:sz w:val="18"/>
                                      <w:szCs w:val="21"/>
                                      <w:lang w:val="en-US" w:eastAsia="zh-CN"/>
                                    </w:rPr>
                                    <w:t>调节池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35pt;margin-top:9.85pt;height:18.8pt;width:43.3pt;z-index:251682816;mso-width-relative:page;mso-height-relative:page;" fillcolor="#FFFFFF [3201]" filled="t" stroked="t" coordsize="21600,21600" o:gfxdata="UEsDBAoAAAAAAIdO4kAAAAAAAAAAAAAAAAAEAAAAZHJzL1BLAwQUAAAACACHTuJAgNFcHtUAAAAJ&#10;AQAADwAAAGRycy9kb3ducmV2LnhtbE2PzU7DMBCE70i8g7VI3KjTImhJ41SiEj83aMoDuPE2jhqv&#10;o6yblLdnOcFptJpPszPF5hI6NeLAbSQD81kGCqmOrqXGwNf+5W4FipMlZ7tIaOAbGTbl9VVhcxcn&#10;2uFYpUZJCHFuDfiU+lxrrj0Gy7PYI4l3jEOwSc6h0W6wk4SHTi+y7FEH25J88LbHrcf6VJ2DAYxv&#10;vN23VPGrp/fT58dunMZnY25v5tkaVMJL+oPht75Uh1I6HeKZHKvOgKQvBRXjSVSAxWp5D+pg4EFU&#10;l4X+v6D8AVBLAwQUAAAACACHTuJA9U/mK0ECAABsBAAADgAAAGRycy9lMm9Eb2MueG1srVTNbhMx&#10;EL4j8Q6W73Q3IWmaqJsqpApCqmilgjg7Xm+yktdjbCe75QHgDXriwp3n6nPw2UnaFDgh9uCdv/08&#10;883Mnl90jWZb5XxNpuC9k5wzZSSVtVkV/OOHxaszznwQphSajCr4nfL8YvryxXlrJ6pPa9Klcgwg&#10;xk9aW/B1CHaSZV6uVSP8CVll4KzINSJAdausdKIFeqOzfp6fZi250jqSyntYL3dOPk34VaVkuK4q&#10;rwLTBUduIZ0unct4ZtNzMVk5Yde13Kch/iGLRtQGlz5CXYog2MbVf0A1tXTkqQonkpqMqqqWKtWA&#10;anr5b9XcroVVqRaQ4+0jTf7/wcr32xvH6rLgwxFnRjTo0cP9t4fvPx9+fGWwgaDW+gnibi0iQ/eG&#10;OjT6YPcwxrq7yjXxjYoY/KD67pFe1QUmYRwOxuMePBKu/uuz0WmiP3v62Dof3ipqWBQK7tC9RKrY&#10;XvmARBB6CIl3edJ1uai1TopbLefasa1ApxfpiTnik2dh2rAW6Y/zYZ6gnzn9MUaej/L5IcOjMCBq&#10;A+DIyq76KIVu2e2pWlJ5B6Yc7YbNW7moUc+V8OFGOEwXKMDGhGsclSakQ3uJszW5L3+zx3g0HV7O&#10;Wkxrwf3njXCKM/3OYBzGvcEgjndSBsNRH4o79iyPPWbTzAk09bCbViYxxgd9ECtHzScs1izeCpcw&#10;EncXPBzEedjtEBZTqtksBWGgrQhX5tbKCB2bYmi2CVTVqXmRph03e/Yw0qlB+/WLO3Osp6inn8T0&#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DRXB7VAAAACQEAAA8AAAAAAAAAAQAgAAAAIgAAAGRy&#10;cy9kb3ducmV2LnhtbFBLAQIUABQAAAAIAIdO4kD1T+YrQQIAAGwEAAAOAAAAAAAAAAEAIAAAACQB&#10;AABkcnMvZTJvRG9jLnhtbFBLBQYAAAAABgAGAFkBAADXBQAAAAA=&#10;">
                      <v:fill on="t" focussize="0,0"/>
                      <v:stroke weight="1.5pt" color="#0070C0 [3204]" joinstyle="round"/>
                      <v:imagedata o:title=""/>
                      <o:lock v:ext="edit" aspectratio="f"/>
                      <v:textbox>
                        <w:txbxContent>
                          <w:p>
                            <w:pPr>
                              <w:jc w:val="center"/>
                              <w:rPr>
                                <w:rFonts w:hint="default" w:eastAsia="宋体"/>
                                <w:color w:val="0070C0"/>
                                <w:sz w:val="18"/>
                                <w:szCs w:val="21"/>
                                <w:lang w:val="en-US" w:eastAsia="zh-CN"/>
                              </w:rPr>
                            </w:pPr>
                            <w:r>
                              <w:rPr>
                                <w:rFonts w:hint="eastAsia"/>
                                <w:color w:val="0070C0"/>
                                <w:sz w:val="18"/>
                                <w:szCs w:val="21"/>
                                <w:lang w:val="en-US" w:eastAsia="zh-CN"/>
                              </w:rPr>
                              <w:t>调节池</w:t>
                            </w:r>
                          </w:p>
                        </w:txbxContent>
                      </v:textbox>
                    </v:shape>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1703070</wp:posOffset>
                      </wp:positionH>
                      <wp:positionV relativeFrom="paragraph">
                        <wp:posOffset>1313815</wp:posOffset>
                      </wp:positionV>
                      <wp:extent cx="2494280" cy="251460"/>
                      <wp:effectExtent l="1121410" t="0" r="0" b="0"/>
                      <wp:wrapNone/>
                      <wp:docPr id="52" name="文本框 52"/>
                      <wp:cNvGraphicFramePr/>
                      <a:graphic xmlns:a="http://schemas.openxmlformats.org/drawingml/2006/main">
                        <a:graphicData uri="http://schemas.microsoft.com/office/word/2010/wordprocessingShape">
                          <wps:wsp>
                            <wps:cNvSpPr txBox="1"/>
                            <wps:spPr>
                              <a:xfrm rot="16200000">
                                <a:off x="0" y="0"/>
                                <a:ext cx="249428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21"/>
                                      <w:szCs w:val="24"/>
                                      <w:lang w:val="en-US" w:eastAsia="zh-CN"/>
                                    </w:rPr>
                                  </w:pPr>
                                  <w:r>
                                    <w:rPr>
                                      <w:rFonts w:hint="eastAsia"/>
                                      <w:color w:val="0070C0"/>
                                      <w:sz w:val="21"/>
                                      <w:szCs w:val="24"/>
                                      <w:lang w:val="en-US" w:eastAsia="zh-CN"/>
                                    </w:rPr>
                                    <w:t>DN600球墨进水管360m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1pt;margin-top:103.45pt;height:19.8pt;width:196.4pt;rotation:-5898240f;z-index:251679744;mso-width-relative:page;mso-height-relative:page;" filled="f" stroked="f" coordsize="21600,21600" o:gfxdata="UEsDBAoAAAAAAIdO4kAAAAAAAAAAAAAAAAAEAAAAZHJzL1BLAwQUAAAACACHTuJApBAplNkAAAAL&#10;AQAADwAAAGRycy9kb3ducmV2LnhtbE2PT0vEMBDF74LfIYzgzU1aNHRr00UEWTx4sAp6TJuxrTaT&#10;0mT/+ekdT3qbmfd483vV5ugnsccljoEMZCsFAqkLbqTewOvLw1UBIiZLzk6B0MAJI2zq87PKli4c&#10;6Bn3TeoFh1AsrYEhpbmUMnYDehtXYUZi7SMs3iZel166xR443E8yV0pLb0fiD4Od8X7A7qvZeQOf&#10;Prbr4huzt7vtyedPzfv8uA3GXF5k6hZEwmP6M8MvPqNDzUxt2JGLYjKQ6yJnKw9Kr0GwQ+uM27V8&#10;udY3IOtK/u9Q/wBQSwMEFAAAAAgAh07iQFiURxspAgAAKQQAAA4AAABkcnMvZTJvRG9jLnhtbK1T&#10;wY7TMBC9I/EPlu80TWjLbtV0VXZVhLRiVyqIs+s4TSTHNrbbpHwA/MGeuHDnu/odPDttqYATIgdr&#10;PPPyPPNmZnbTNZLshHW1VjlNB0NKhOK6qNUmpx/eL19cUeI8UwWTWomc7oWjN/Pnz2atmYpMV1oW&#10;whKQKDdtTU4r7800SRyvRMPcQBuhECy1bZjH1W6SwrIW7I1MsuFwkrTaFsZqLpyD964P0nnkL0vB&#10;/UNZOuGJzCly8/G08VyHM5nP2HRjmalqfkyD/UMWDasVHj1T3THPyNbWf1A1Nbfa6dIPuG4SXZY1&#10;F7EGVJMOf6tmVTEjYi0Qx5mzTO7/0fJ3u0dL6iKn44wSxRr06PD09fDtx+H7FwIfBGqNmwK3MkD6&#10;7rXu0OiT38EZ6u5K2xCroW86QV/wRTlQIAEcyu/PaovOEw5nNroeZVcIccSycTqaxHYkPVkgNdb5&#10;N0I3JBg5tehmZGW7e+eRGKAnSIArvayljB2VirQ5nbwc92mcI/hDKvwYSupTD5bv1t2xzrUu9igz&#10;VoLUnOHLGo/fM+cfmcVowIlx9w84SqnxiD5alFTafv6bP+DRMUQpaTFqOXWftswKSuRbhV5ep6MR&#10;aH28jMavMlzsZWR9GVHb5lZjmtOYXTQD3suTWVrdfMRWLMKrCDHF8XZO/cm89f0CYKu4WCwiCNNo&#10;mL9XK8MDdS/nYut1WUelg0y9Nkf1MI+xAcfdCQN/eY+oXxs+/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ECmU2QAAAAsBAAAPAAAAAAAAAAEAIAAAACIAAABkcnMvZG93bnJldi54bWxQSwECFAAU&#10;AAAACACHTuJAWJRHGykCAAApBAAADgAAAAAAAAABACAAAAAoAQAAZHJzL2Uyb0RvYy54bWxQSwUG&#10;AAAAAAYABgBZAQAAwwUAAAAA&#10;">
                      <v:fill on="f" focussize="0,0"/>
                      <v:stroke on="f" weight="0.5pt"/>
                      <v:imagedata o:title=""/>
                      <o:lock v:ext="edit" aspectratio="f"/>
                      <v:textbox>
                        <w:txbxContent>
                          <w:p>
                            <w:pPr>
                              <w:jc w:val="center"/>
                              <w:rPr>
                                <w:rFonts w:hint="default" w:eastAsia="宋体"/>
                                <w:color w:val="0070C0"/>
                                <w:sz w:val="21"/>
                                <w:szCs w:val="24"/>
                                <w:lang w:val="en-US" w:eastAsia="zh-CN"/>
                              </w:rPr>
                            </w:pPr>
                            <w:r>
                              <w:rPr>
                                <w:rFonts w:hint="eastAsia"/>
                                <w:color w:val="0070C0"/>
                                <w:sz w:val="21"/>
                                <w:szCs w:val="24"/>
                                <w:lang w:val="en-US" w:eastAsia="zh-CN"/>
                              </w:rPr>
                              <w:t>DN600球墨进水管360m</w:t>
                            </w:r>
                          </w:p>
                        </w:txbxContent>
                      </v:textbox>
                    </v:shape>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2328545</wp:posOffset>
                      </wp:positionH>
                      <wp:positionV relativeFrom="paragraph">
                        <wp:posOffset>142875</wp:posOffset>
                      </wp:positionV>
                      <wp:extent cx="247650" cy="3175"/>
                      <wp:effectExtent l="0" t="9525" r="6350" b="12700"/>
                      <wp:wrapNone/>
                      <wp:docPr id="68" name="直接连接符 68"/>
                      <wp:cNvGraphicFramePr/>
                      <a:graphic xmlns:a="http://schemas.openxmlformats.org/drawingml/2006/main">
                        <a:graphicData uri="http://schemas.microsoft.com/office/word/2010/wordprocessingShape">
                          <wps:wsp>
                            <wps:cNvCnPr/>
                            <wps:spPr>
                              <a:xfrm flipV="1">
                                <a:off x="0" y="0"/>
                                <a:ext cx="247650" cy="3175"/>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83.35pt;margin-top:11.25pt;height:0.25pt;width:19.5pt;z-index:251692032;mso-width-relative:page;mso-height-relative:page;" filled="f" stroked="t" coordsize="21600,21600" o:gfxdata="UEsDBAoAAAAAAIdO4kAAAAAAAAAAAAAAAAAEAAAAZHJzL1BLAwQUAAAACACHTuJAC70RJ9gAAAAJ&#10;AQAADwAAAGRycy9kb3ducmV2LnhtbE2PwU7DMAyG70i8Q2QkbixZxwoqTXeYBAeEYBtF4pg1oamW&#10;OFGTdePtMSc4+ven35/r1dk7NpkxDQElzGcCmMEu6AF7Ce374809sJQVauUCGgnfJsGqubyoVaXD&#10;Cbdm2uWeUQmmSkmwOceK89RZ41WahWiQdl9h9CrTOPZcj+pE5d7xQoiSezUgXbAqmrU13WF39BKe&#10;2o/OvsbDy+cUt+Ubbty6fXZSXl/NxQOwbM75D4ZffVKHhpz24Yg6MSdhUZZ3hEooiiUwAm7FkoI9&#10;BQsBvKn5/w+aH1BLAwQUAAAACACHTuJAhNFB5NUBAAByAwAADgAAAGRycy9lMm9Eb2MueG1srVNL&#10;jhMxEN0jcQfLe9KdwGSGVjqzmChsEETis6+47W5L/sll0skluAASO1ixZD+3YTgGZScTfjtEL0p2&#10;fZ7rvapeXO+tYTsZUXvX8umk5kw64Tvt+pa/eb1+dMUZJnAdGO9kyw8S+fXy4YPFGBo584M3nYyM&#10;QBw2Y2j5kFJoqgrFIC3gxAfpKKh8tJDoGvuqizASujXVrK7n1ehjF6IXEpG8q2OQLwu+UlKkl0qh&#10;TMy0nHpLxcZit9lWywU0fYQwaHFqA/6hCwva0aNnqBUkYO+i/gvKahE9epUmwtvKK6WFLByIzbT+&#10;g82rAYIsXEgcDGeZ8P/Bihe7TWS6a/mcJuXA0ozuPnz99v7T99uPZO++fGYUIZnGgA1l37hNPN0w&#10;bGLmvFfRMmV0eEsbUFQgXmxfRD6cRZb7xAQ5Z08u5xc0CkGhx9PLi4xdHUEyWIiYnklvWT603GiX&#10;FYAGds8xHVPvU7Lb+bU2hvzQGMdGauBpXdCBlkkZSPSQDUQPXc8ZmJ62VKRYINEb3eXyXI2x396Y&#10;yHZAm7Je1/SdOvstLb+9AhyOeSWU06CxOtEiG21bfpWL76uNI3pZu6Na+bT13aGIWPw02CLAaQnz&#10;5vx6L9U/f5X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u9ESfYAAAACQEAAA8AAAAAAAAAAQAg&#10;AAAAIgAAAGRycy9kb3ducmV2LnhtbFBLAQIUABQAAAAIAIdO4kCE0UHk1QEAAHIDAAAOAAAAAAAA&#10;AAEAIAAAACcBAABkcnMvZTJvRG9jLnhtbFBLBQYAAAAABgAGAFkBAABuBQ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1831340</wp:posOffset>
                      </wp:positionH>
                      <wp:positionV relativeFrom="paragraph">
                        <wp:posOffset>241935</wp:posOffset>
                      </wp:positionV>
                      <wp:extent cx="130175" cy="0"/>
                      <wp:effectExtent l="0" t="9525" r="9525" b="9525"/>
                      <wp:wrapNone/>
                      <wp:docPr id="92" name="直接连接符 92"/>
                      <wp:cNvGraphicFramePr/>
                      <a:graphic xmlns:a="http://schemas.openxmlformats.org/drawingml/2006/main">
                        <a:graphicData uri="http://schemas.microsoft.com/office/word/2010/wordprocessingShape">
                          <wps:wsp>
                            <wps:cNvCnPr/>
                            <wps:spPr>
                              <a:xfrm>
                                <a:off x="0" y="0"/>
                                <a:ext cx="130175" cy="0"/>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4.2pt;margin-top:19.05pt;height:0pt;width:10.25pt;z-index:251713536;mso-width-relative:page;mso-height-relative:page;" filled="f" stroked="t" coordsize="21600,21600" o:gfxdata="UEsDBAoAAAAAAIdO4kAAAAAAAAAAAAAAAAAEAAAAZHJzL1BLAwQUAAAACACHTuJA1C6DHNQAAAAJ&#10;AQAADwAAAGRycy9kb3ducmV2LnhtbE2PPU/DMBCGdyT+g3VIbNROAsiEOB2QunRrqdT1Gh9xVH9E&#10;sdM2/x4jBhjv7tF7z9usb86yC01xCF5BsRLAyHdBD75XcPjcPElgMaHXaIMnBQtFWLf3dw3WOlz9&#10;ji771LMc4mONCkxKY8157Aw5jKswks+3rzA5THmceq4nvOZwZ3kpxCt3OPj8weBIH4a68352CrZb&#10;k5YdumP1ojflfFisPIdCqceHQrwDS3RLfzD86Gd1aLPTKcxeR2YVlFI+Z1RBJQtgGaiEfAN2+l3w&#10;tuH/G7TfUEsDBBQAAAAIAIdO4kAeoVYeywEAAGUDAAAOAAAAZHJzL2Uyb0RvYy54bWytU0uOEzEQ&#10;3SNxB8t70p2ggZlWOrOYKGwQRAIOUHHb3Zb8k8ukk0twASR2sGLJntswcwzKzmdmYIfIomLX55Xf&#10;q+r59c4atpURtXctn05qzqQTvtOub/mH96tnl5xhAteB8U62fC+RXy+ePpmPoZEzP3jTycgIxGEz&#10;hpYPKYWmqlAM0gJOfJCOgspHC4musa+6CCOhW1PN6vpFNfrYheiFRCTv8hDki4KvlBTprVIoEzMt&#10;p7elYmOxm2yrxRyaPkIYtDg+A/7hFRa0o6ZnqCUkYB+j/gvKahE9epUmwtvKK6WFLByIzbT+g827&#10;AYIsXEgcDGeZ8P/BijfbdWS6a/nVjDMHlmZ0+/nHr09f735+IXv7/RujCMk0Bmwo+8at4/GGYR0z&#10;552KNv8TG7Yr0u7P0spdYoKc0+f19OUFZ+IUqu7rQsT0SnrL8qHlRrtMGhrYvsZEvSj1lJLdzq+0&#10;MWVwxrGRsK/qC5qtANofZSDR0QZihK7nDExPiylSLJDoje5yeQbC2G9uTGRboOVYrWr6ZaLU7lFa&#10;7r0EHA55JXRYG6sT7a7RtuWXufhUbRyBZLkOAuXTxnf7olvx0yxLm+Pe5WV5eC/V91/H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ULoMc1AAAAAkBAAAPAAAAAAAAAAEAIAAAACIAAABkcnMvZG93&#10;bnJldi54bWxQSwECFAAUAAAACACHTuJAHqFWHssBAABlAwAADgAAAAAAAAABACAAAAAjAQAAZHJz&#10;L2Uyb0RvYy54bWxQSwUGAAAAAAYABgBZAQAAYAU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3636010</wp:posOffset>
                      </wp:positionH>
                      <wp:positionV relativeFrom="paragraph">
                        <wp:posOffset>62865</wp:posOffset>
                      </wp:positionV>
                      <wp:extent cx="358140" cy="1270"/>
                      <wp:effectExtent l="0" t="9525" r="10160" b="14605"/>
                      <wp:wrapNone/>
                      <wp:docPr id="84" name="直接连接符 84"/>
                      <wp:cNvGraphicFramePr/>
                      <a:graphic xmlns:a="http://schemas.openxmlformats.org/drawingml/2006/main">
                        <a:graphicData uri="http://schemas.microsoft.com/office/word/2010/wordprocessingShape">
                          <wps:wsp>
                            <wps:cNvCnPr/>
                            <wps:spPr>
                              <a:xfrm flipV="1">
                                <a:off x="0" y="0"/>
                                <a:ext cx="358140" cy="1270"/>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6.3pt;margin-top:4.95pt;height:0.1pt;width:28.2pt;z-index:251704320;mso-width-relative:page;mso-height-relative:page;" filled="f" stroked="t" coordsize="21600,21600" o:gfxdata="UEsDBAoAAAAAAIdO4kAAAAAAAAAAAAAAAAAEAAAAZHJzL1BLAwQUAAAACACHTuJAL4O8k9gAAAAI&#10;AQAADwAAAGRycy9kb3ducmV2LnhtbE2PwU7DMBBE70j8g7VI3KidSASSxumhEhwQAlqCxNGN3Tiq&#10;vY5iNy1/z3Kix9U8zb6pV2fv2GymOASUkC0EMINd0AP2EtrPp7tHYDEp1MoFNBJ+TIRVc31Vq0qH&#10;E27MvE09oxKMlZJgUxorzmNnjVdxEUaDlO3D5FWic+q5ntSJyr3juRAF92pA+mDVaNbWdIft0Ut4&#10;br86+zYeXr/ncVO844dbty9OytubTCyBJXNO/zD86ZM6NOS0C0fUkTkJ9w95QaiEsgRGeZGXtG1H&#10;oMiANzW/HND8AlBLAwQUAAAACACHTuJAVaNGFtYBAAByAwAADgAAAGRycy9lMm9Eb2MueG1srVNL&#10;jhMxEN0jcQfLe9KdMAOZVjqzmChsEEQCZl9x292W/JPLpJNLcAEkdrBiyZ7bMByDspMJvx2iFyW7&#10;Pq/8XlUvrvfWsJ2MqL1r+XRScyad8J12fcvfvF4/mnOGCVwHxjvZ8oNEfr18+GAxhkbO/OBNJyMj&#10;EIfNGFo+pBSaqkIxSAs48UE6CiofLSS6xr7qIoyEbk01q+sn1ehjF6IXEpG8q2OQLwu+UlKkl0qh&#10;TMy0nN6Wio3FbrOtlgto+ghh0OL0DPiHV1jQjpqeoVaQgL2N+i8oq0X06FWaCG8rr5QWsnAgNtP6&#10;DzavBgiycCFxMJxlwv8HK17sNpHpruXzC84cWJrR3fsv3959/P71A9m7z58YRUimMWBD2TduE083&#10;DJuYOe9VtEwZHW5pA4oKxIvti8iHs8hyn5gg5+PL+fSCRiEoNJ09LSOojiAZLERMz6S3LB9abrTL&#10;CkADu+eYqDGl3qdkt/NrbUyZonFsJMir+jKjAy2TMpDoaAPRQ9dzBqanLRUpFkj0Rne5PANh7Lc3&#10;JrId0Kas1zV9mTW1+y0t914BDse8EjrukNWJFtloS0rm4vtq4wgka3dUK5+2vjsUEYufBlvanJYw&#10;b86v91L981d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g7yT2AAAAAgBAAAPAAAAAAAAAAEA&#10;IAAAACIAAABkcnMvZG93bnJldi54bWxQSwECFAAUAAAACACHTuJAVaNGFtYBAAByAwAADgAAAAAA&#10;AAABACAAAAAnAQAAZHJzL2Uyb0RvYy54bWxQSwUGAAAAAAYABgBZAQAAbwU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-626110</wp:posOffset>
                      </wp:positionH>
                      <wp:positionV relativeFrom="paragraph">
                        <wp:posOffset>845185</wp:posOffset>
                      </wp:positionV>
                      <wp:extent cx="1699260" cy="251460"/>
                      <wp:effectExtent l="723900" t="0" r="0" b="0"/>
                      <wp:wrapNone/>
                      <wp:docPr id="50" name="文本框 50"/>
                      <wp:cNvGraphicFramePr/>
                      <a:graphic xmlns:a="http://schemas.openxmlformats.org/drawingml/2006/main">
                        <a:graphicData uri="http://schemas.microsoft.com/office/word/2010/wordprocessingShape">
                          <wps:wsp>
                            <wps:cNvSpPr txBox="1"/>
                            <wps:spPr>
                              <a:xfrm rot="16200000">
                                <a:off x="0" y="0"/>
                                <a:ext cx="169926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已建DN600给水管道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pt;margin-top:66.55pt;height:19.8pt;width:133.8pt;rotation:-5898240f;z-index:251677696;mso-width-relative:page;mso-height-relative:page;" filled="f" stroked="f" coordsize="21600,21600" o:gfxdata="UEsDBAoAAAAAAIdO4kAAAAAAAAAAAAAAAAAEAAAAZHJzL1BLAwQUAAAACACHTuJAvnJKGNoAAAAL&#10;AQAADwAAAGRycy9kb3ducmV2LnhtbE2PzU7DMBCE70i8g7VI3FonqZQmIU6FkFDFgUMDEhydeEkC&#10;8TqK3T+enu2p3HY0n2Znys3JjuKAsx8cKYiXEQik1pmBOgXvb8+LDIQPmoweHaGCM3rYVLc3pS6M&#10;O9IOD3XoBIeQL7SCPoSpkNK3PVrtl25CYu/LzVYHlnMnzayPHG5HmURRKq0eiD/0esKnHtufem8V&#10;fFvf5Nkvxh+P27NNXuvP6WXrlLq/i6MHEAFP4QrDpT5Xh4o7NW5PxotRwSLPUkbZWK1iEBcizXld&#10;w8c6WYOsSvl/Q/UHUEsDBBQAAAAIAIdO4kBtUbfIJQIAACkEAAAOAAAAZHJzL2Uyb0RvYy54bWyt&#10;U82O0zAQviPxDpbvNE1pC62arsquipAqdqWCOLuO00RybGO7TcoDwBvsiQt3nqvPwWenLeXnhPDB&#10;Gs+Mvpnvm/Hspq0l2QvrKq0ymvb6lAjFdV6pbUbfv1s+e0mJ80zlTGolMnoQjt7Mnz6ZNWYqBrrU&#10;MheWAES5aWMyWnpvpknieClq5nraCIVgoW3NPJ52m+SWNUCvZTLo98dJo21urObCOXjvuiCdR/yi&#10;ENzfF4UTnsiMojcfbxvvTbiT+YxNt5aZsuKnNtg/dFGzSqHoBeqOeUZ2tvoDqq641U4Xvsd1neii&#10;qLiIHMAm7f/GZl0yIyIXiOPMRSb3/2D52/2DJVWe0RHkUazGjI6PX45fvx+/fSbwQaDGuCny1gaZ&#10;vn2lWwz67HdwBt5tYWtiNfRNx5gLTpQDBAnSAX24qC1aT3jAGE8mgzFCHLHBKB3CRrWkAwugxjr/&#10;WuiaBCOjFtOMqGy/cr5LPaeEdKWXlZRxolKRJqPj5yDwSwTgUqFGoNS1HizfbtoTz43OD6AZmaA1&#10;Z/iyQvEVc/6BWawGnFh3f4+rkBpF9MmipNT209/8IR8TQ5SSBquWUfdxx6ygRL5RmOUkHQ4B6+Nj&#10;OHoxwMNeRzbXEbWrbzW2OY3dRTPke3k2C6vrD/gVi1AVIaY4amfUn81b330A/CouFouYhG00zK/U&#10;2vAA3Ym22HldVFHpIFOnzUk97GOc1envhIW/fsesnz98/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koY2gAAAAsBAAAPAAAAAAAAAAEAIAAAACIAAABkcnMvZG93bnJldi54bWxQSwECFAAUAAAA&#10;CACHTuJAbVG3yCUCAAApBAAADgAAAAAAAAABACAAAAApAQAAZHJzL2Uyb0RvYy54bWxQSwUGAAAA&#10;AAYABgBZAQAAwA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已建DN600给水管道</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3089275</wp:posOffset>
                      </wp:positionH>
                      <wp:positionV relativeFrom="paragraph">
                        <wp:posOffset>106045</wp:posOffset>
                      </wp:positionV>
                      <wp:extent cx="3175" cy="2225675"/>
                      <wp:effectExtent l="9525" t="0" r="12700" b="9525"/>
                      <wp:wrapNone/>
                      <wp:docPr id="51" name="直接连接符 51"/>
                      <wp:cNvGraphicFramePr/>
                      <a:graphic xmlns:a="http://schemas.openxmlformats.org/drawingml/2006/main">
                        <a:graphicData uri="http://schemas.microsoft.com/office/word/2010/wordprocessingShape">
                          <wps:wsp>
                            <wps:cNvCnPr/>
                            <wps:spPr>
                              <a:xfrm>
                                <a:off x="0" y="0"/>
                                <a:ext cx="3175" cy="222567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3.25pt;margin-top:8.35pt;height:175.25pt;width:0.25pt;z-index:251678720;mso-width-relative:page;mso-height-relative:page;" filled="f" stroked="t" coordsize="21600,21600" o:gfxdata="UEsDBAoAAAAAAIdO4kAAAAAAAAAAAAAAAAAEAAAAZHJzL1BLAwQUAAAACACHTuJAhFDdo9cAAAAK&#10;AQAADwAAAGRycy9kb3ducmV2LnhtbE2PzU7DMBCE70i8g7VIXBB1+kMShTiVAPXGhZQHcOMliRqv&#10;je305+1ZTnBczTezM/X2YidxwhBHRwqWiwwEUufMSL2Cz/3usQQRkyajJ0eo4IoRts3tTa0r4870&#10;gac29YJDKFZawZCSr6SM3YBWx4XzSKx9uWB14jP00gR95nA7yVWW5dLqkfjDoD2+Dtgd29lyjfcX&#10;37rw8CbTtQjzuP72u6NW6v5umT2DSHhJfzD81mcPNNzp4GYyUUwKNmX+xCgLeQGCgU1Z8LiDgnVe&#10;rEA2tfw/ofkBUEsDBBQAAAAIAIdO4kBhZx3X0AEAAGkDAAAOAAAAZHJzL2Uyb0RvYy54bWytU02O&#10;0zAU3iNxB8t7mjSoM0PUdBathg2CSsABXh0nseQ/+ZmmvQQXQGIHK5bsuQ0zx+DZKZ0Z2CGyePH7&#10;zfs+f1leH4xmexlQOdvw+azkTFrhWmX7hr9/d/PsijOMYFvQzsqGHyXy69XTJ8vR17Jyg9OtDIyG&#10;WKxH3/AhRl8XBYpBGsCZ89JSsnPBQCQ39EUbYKTpRhdVWV4UowutD05IRIpupiRf5fldJ0V803Uo&#10;I9MNp91itiHbXbLFagl1H8APSpzWgH/YwoCy9NHzqA1EYB+C+muUUSI4dF2cCWcK13VKyIyB0MzL&#10;P9C8HcDLjIXIQX+mCf/fWPF6vw1MtQ1fzDmzYOiObj99//nxy92Pz2Rvv31llCGaRo81Va/tNpw8&#10;9NuQMB+6YNKb0LBDpvZ4plYeIhMUfD6/XHAmKFFV1eKCHBpS3Pf6gPGldIalQ8O1sgk41LB/hXEq&#10;/V2SwtbdKK0pDrW2bCTlvSgXdL8CSEOdhkhH4wkV2p4z0D2JU8SQR6LTqk3tqRtDv1vrwPaQBFJe&#10;luusCdrsUVn69gZwmOpyapKOUZH0q5Vp+FWZnhMubQleomwiKZ12rj1m7nKc7jMTcNJeEsxDP3ff&#10;/yG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RQ3aPXAAAACgEAAA8AAAAAAAAAAQAgAAAAIgAA&#10;AGRycy9kb3ducmV2LnhtbFBLAQIUABQAAAAIAIdO4kBhZx3X0AEAAGkDAAAOAAAAAAAAAAEAIAAA&#10;ACYBAABkcnMvZTJvRG9jLnhtbFBLBQYAAAAABgAGAFkBAABo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1169035</wp:posOffset>
                      </wp:positionH>
                      <wp:positionV relativeFrom="paragraph">
                        <wp:posOffset>1103630</wp:posOffset>
                      </wp:positionV>
                      <wp:extent cx="2431415" cy="251460"/>
                      <wp:effectExtent l="1090295" t="0" r="0" b="0"/>
                      <wp:wrapNone/>
                      <wp:docPr id="73" name="文本框 73"/>
                      <wp:cNvGraphicFramePr/>
                      <a:graphic xmlns:a="http://schemas.openxmlformats.org/drawingml/2006/main">
                        <a:graphicData uri="http://schemas.microsoft.com/office/word/2010/wordprocessingShape">
                          <wps:wsp>
                            <wps:cNvSpPr txBox="1"/>
                            <wps:spPr>
                              <a:xfrm rot="16200000">
                                <a:off x="0" y="0"/>
                                <a:ext cx="2431415"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21"/>
                                      <w:szCs w:val="24"/>
                                      <w:lang w:val="en-US" w:eastAsia="zh-CN"/>
                                    </w:rPr>
                                  </w:pPr>
                                  <w:r>
                                    <w:rPr>
                                      <w:rFonts w:hint="eastAsia"/>
                                      <w:color w:val="0070C0"/>
                                      <w:sz w:val="21"/>
                                      <w:szCs w:val="24"/>
                                      <w:lang w:val="en-US" w:eastAsia="zh-CN"/>
                                    </w:rPr>
                                    <w:t>DN500钢筋砼管300m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05pt;margin-top:86.9pt;height:19.8pt;width:191.45pt;rotation:-5898240f;z-index:251696128;mso-width-relative:page;mso-height-relative:page;" filled="f" stroked="f" coordsize="21600,21600" o:gfxdata="UEsDBAoAAAAAAIdO4kAAAAAAAAAAAAAAAAAEAAAAZHJzL1BLAwQUAAAACACHTuJA2xC329kAAAAL&#10;AQAADwAAAGRycy9kb3ducmV2LnhtbE2Py07DMBBF90j8gzVI7KjjtLQhxKkQEqpYsCBUKksnHpJA&#10;PI5i98XXM6xgN1dzdB/F+uQGccAp9J40qFkCAqnxtqdWw/bt6SYDEaIhawZPqOGMAdbl5UVhcuuP&#10;9IqHKraCTSjkRkMX45hLGZoOnQkzPyLx78NPzkSWUyvtZI5s7gaZJslSOtMTJ3RmxMcOm69q7zR8&#10;ulDfZd+odg+bs0tfqvfxeeO1vr5SyT2IiKf4B8Nvfa4OJXeq/Z5sEAPrbKEY5WM15w1M3C5XvK7W&#10;kKr5AmRZyP8byh9QSwMEFAAAAAgAh07iQGVHCjQqAgAAKQQAAA4AAABkcnMvZTJvRG9jLnhtbK1T&#10;zY7TMBC+I/EOlu80Tf8WqqarsqsipIpdqSDOruM0kRzb2G6T8gDwBnviwp3n6nPw2WlLBZwQOVjj&#10;mS+fZ76Zmd22tSR7YV2lVUbTXp8SobjOK7XN6If3yxcvKXGeqZxJrURGD8LR2/nzZ7PGTMVAl1rm&#10;whKQKDdtTEZL7800SRwvRc1cTxuhECy0rZnH1W6T3LIG7LVMBv3+JGm0zY3VXDgH730XpPPIXxSC&#10;+4eicMITmVHk5uNp47kJZzKfsenWMlNW/JQG+4csalYpPHqhumeekZ2t/qCqK26104XvcV0nuigq&#10;LmINqCbt/1bNumRGxFogjjMXmdz/o+Xv9o+WVHlGb4aUKFajR8enr8dvP47fvxD4IFBj3BS4tQHS&#10;t691i0af/Q7OUHdb2JpYDX3TCfqCL8qBAgngUP5wUVu0nnA4B6NhOkrHlHDEBuN0NIntSDqyQGqs&#10;82+ErkkwMmrRzcjK9ivnkRigZ0iAK72spIwdlYo0GZ0Mx10alwj+kAo/hpK61IPl2017qnOj8wPK&#10;jJUga2f4ssLjK+b8I7MYDTgx7v4BRyE1HtEni5JS289/8wc8OoYoJQ1GLaPu045ZQYl8q9DLV+lo&#10;FGYzXkbjmwEu9jqyuY6oXX2nMc1pzC6aAe/l2Sysrj9iKxbhVYSY4ng7o/5s3vluAbBVXCwWEYRp&#10;NMyv1NrwQN3Judh5XVRR6SBTp81JPcxjbMBpd8LAX98j6teGz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xC329kAAAALAQAADwAAAAAAAAABACAAAAAiAAAAZHJzL2Rvd25yZXYueG1sUEsBAhQA&#10;FAAAAAgAh07iQGVHCjQqAgAAKQQAAA4AAAAAAAAAAQAgAAAAKAEAAGRycy9lMm9Eb2MueG1sUEsF&#10;BgAAAAAGAAYAWQEAAMQFAAAAAA==&#10;">
                      <v:fill on="f" focussize="0,0"/>
                      <v:stroke on="f" weight="0.5pt"/>
                      <v:imagedata o:title=""/>
                      <o:lock v:ext="edit" aspectratio="f"/>
                      <v:textbox>
                        <w:txbxContent>
                          <w:p>
                            <w:pPr>
                              <w:jc w:val="center"/>
                              <w:rPr>
                                <w:rFonts w:hint="default" w:eastAsia="宋体"/>
                                <w:color w:val="0070C0"/>
                                <w:sz w:val="21"/>
                                <w:szCs w:val="24"/>
                                <w:lang w:val="en-US" w:eastAsia="zh-CN"/>
                              </w:rPr>
                            </w:pPr>
                            <w:r>
                              <w:rPr>
                                <w:rFonts w:hint="eastAsia"/>
                                <w:color w:val="0070C0"/>
                                <w:sz w:val="21"/>
                                <w:szCs w:val="24"/>
                                <w:lang w:val="en-US" w:eastAsia="zh-CN"/>
                              </w:rPr>
                              <w:t>DN500钢筋砼管300m</w:t>
                            </w:r>
                          </w:p>
                        </w:txbxContent>
                      </v:textbox>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894080</wp:posOffset>
                      </wp:positionH>
                      <wp:positionV relativeFrom="paragraph">
                        <wp:posOffset>1030605</wp:posOffset>
                      </wp:positionV>
                      <wp:extent cx="1877695" cy="251460"/>
                      <wp:effectExtent l="813435" t="0" r="0" b="0"/>
                      <wp:wrapNone/>
                      <wp:docPr id="67" name="文本框 67"/>
                      <wp:cNvGraphicFramePr/>
                      <a:graphic xmlns:a="http://schemas.openxmlformats.org/drawingml/2006/main">
                        <a:graphicData uri="http://schemas.microsoft.com/office/word/2010/wordprocessingShape">
                          <wps:wsp>
                            <wps:cNvSpPr txBox="1"/>
                            <wps:spPr>
                              <a:xfrm rot="16200000">
                                <a:off x="0" y="0"/>
                                <a:ext cx="1877695"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70C0"/>
                                      <w:sz w:val="21"/>
                                      <w:szCs w:val="24"/>
                                      <w:lang w:val="en-US" w:eastAsia="zh-CN"/>
                                    </w:rPr>
                                  </w:pPr>
                                  <w:r>
                                    <w:rPr>
                                      <w:rFonts w:hint="eastAsia"/>
                                      <w:color w:val="0070C0"/>
                                      <w:sz w:val="21"/>
                                      <w:szCs w:val="24"/>
                                      <w:lang w:val="en-US" w:eastAsia="zh-CN"/>
                                    </w:rPr>
                                    <w:t>DN315PE提水管3600m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4pt;margin-top:81.15pt;height:19.8pt;width:147.85pt;rotation:-5898240f;z-index:251691008;mso-width-relative:page;mso-height-relative:page;" filled="f" stroked="f" coordsize="21600,21600" o:gfxdata="UEsDBAoAAAAAAIdO4kAAAAAAAAAAAAAAAAAEAAAAZHJzL1BLAwQUAAAACACHTuJAmvXk0toAAAAL&#10;AQAADwAAAGRycy9kb3ducmV2LnhtbE2PzU7DMBCE70i8g7VI3KidtERtGqdCSKjiwIGARI9OvCSB&#10;eB3F7h9Pz3IqtxnNaPbbYnNygzjgFHpPGpKZAoHUeNtTq+H97eluCSJEQ9YMnlDDGQNsyuurwuTW&#10;H+kVD1VsBY9QyI2GLsYxlzI0HToTZn5E4uzTT85EtlMr7WSOPO4GmSqVSWd64gudGfGxw+a72jsN&#10;Xy7Uq+UPJh8P27NLX6rd+Lz1Wt/eJGoNIuIpXsrwh8/oUDJT7fdkgxjYLxSjRxZZOgfBjcU8uwdR&#10;a0hVsgJZFvL/D+UvUEsDBBQAAAAIAIdO4kAuCwZ5KQIAACkEAAAOAAAAZHJzL2Uyb0RvYy54bWyt&#10;U82O0zAQviPxDpbvNE3pz27VdFV2VYRUsSsVxNl1nCaSYxvbbVIeAN6AExfuPFefg89OWyrghMjB&#10;Gs9MPs/3zczsrq0l2QvrKq0ymvb6lAjFdV6pbUbfv1u+uKHEeaZyJrUSGT0IR+/mz5/NGjMVA11q&#10;mQtLAKLctDEZLb030yRxvBQ1cz1thEKw0LZmHle7TXLLGqDXMhn0++Ok0TY3VnPhHLwPXZDOI35R&#10;CO4fi8IJT2RGUZuPp43nJpzJfMamW8tMWfFTGewfqqhZpfDoBeqBeUZ2tvoDqq641U4Xvsd1neii&#10;qLiIHMAm7f/GZl0yIyIXiOPMRSb3/2D52/2TJVWe0fGEEsVq9Oj49cvx24/j988EPgjUGDdF3tog&#10;07evdItGn/0OzsC7LWxNrIa+6Rh9wRflAEGCdCh/uKgtWk94wLiZTMa3I0o4YoNROhzHdiQdWAA1&#10;1vnXQtckGBm16GZEZfuV8ygMqeeUkK70spIydlQq0oDSy1FXxiWCP6TCj4FSV3qwfLtpTzw3Oj+A&#10;ZmSCqp3hywqPr5jzT8xiNODEuPtHHIXUeESfLEpKbT/9zR/y0TFEKWkwahl1H3fMCkrkG4Ve3qbD&#10;YZjNeBmOJgNc7HVkcx1Ru/peY5rTWF00Q76XZ7Owuv6ArViEVxFiiuPtjPqzee+7BcBWcbFYxCRM&#10;o2F+pdaGB+hOzsXO66KKSgeZOm1O6mEeYwNOuxMG/voes35t+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vXk0toAAAALAQAADwAAAAAAAAABACAAAAAiAAAAZHJzL2Rvd25yZXYueG1sUEsBAhQA&#10;FAAAAAgAh07iQC4LBnkpAgAAKQQAAA4AAAAAAAAAAQAgAAAAKQEAAGRycy9lMm9Eb2MueG1sUEsF&#10;BgAAAAAGAAYAWQEAAMQFAAAAAA==&#10;">
                      <v:fill on="f" focussize="0,0"/>
                      <v:stroke on="f" weight="0.5pt"/>
                      <v:imagedata o:title=""/>
                      <o:lock v:ext="edit" aspectratio="f"/>
                      <v:textbox>
                        <w:txbxContent>
                          <w:p>
                            <w:pPr>
                              <w:jc w:val="center"/>
                              <w:rPr>
                                <w:rFonts w:hint="default" w:eastAsia="宋体"/>
                                <w:color w:val="0070C0"/>
                                <w:sz w:val="21"/>
                                <w:szCs w:val="24"/>
                                <w:lang w:val="en-US" w:eastAsia="zh-CN"/>
                              </w:rPr>
                            </w:pPr>
                            <w:r>
                              <w:rPr>
                                <w:rFonts w:hint="eastAsia"/>
                                <w:color w:val="0070C0"/>
                                <w:sz w:val="21"/>
                                <w:szCs w:val="24"/>
                                <w:lang w:val="en-US" w:eastAsia="zh-CN"/>
                              </w:rPr>
                              <w:t>DN315PE提水管3600m</w:t>
                            </w:r>
                          </w:p>
                        </w:txbxContent>
                      </v:textbox>
                    </v:shape>
                  </w:pict>
                </mc:Fallback>
              </mc:AlternateContent>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2155190</wp:posOffset>
                      </wp:positionH>
                      <wp:positionV relativeFrom="paragraph">
                        <wp:posOffset>247015</wp:posOffset>
                      </wp:positionV>
                      <wp:extent cx="783590" cy="27114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83590" cy="271145"/>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FF0000"/>
                                      <w:sz w:val="18"/>
                                      <w:szCs w:val="21"/>
                                      <w:lang w:val="en-US" w:eastAsia="zh-CN"/>
                                    </w:rPr>
                                  </w:pPr>
                                  <w:r>
                                    <w:rPr>
                                      <w:rFonts w:hint="eastAsia"/>
                                      <w:color w:val="FF0000"/>
                                      <w:sz w:val="18"/>
                                      <w:szCs w:val="21"/>
                                      <w:lang w:val="en-US" w:eastAsia="zh-CN"/>
                                    </w:rPr>
                                    <w:t>反冲洗池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7pt;margin-top:19.45pt;height:21.35pt;width:61.7pt;z-index:251693056;mso-width-relative:page;mso-height-relative:page;" filled="f" stroked="f" coordsize="21600,21600" o:gfxdata="UEsDBAoAAAAAAIdO4kAAAAAAAAAAAAAAAAAEAAAAZHJzL1BLAwQUAAAACACHTuJATF1r0NcAAAAJ&#10;AQAADwAAAGRycy9kb3ducmV2LnhtbE2Py2rDMBBF94X+g5hAd43kJBjHtRxoaXelkMSQrWKptok1&#10;MpLix993ump3M8zhzrnFYbY9G40PnUMJyVoAM1g73WEjoTp/PGfAQlSoVe/QSFhMgEP5+FCoXLsJ&#10;j2Y8xYZRCIZcSWhjHHLOQ90aq8LaDQbp9u28VZFW33Dt1UThtucbIVJuVYf0oVWDeWtNfTvdrQT7&#10;KS7Hr/ekrZZqVHE5v3qcZimfVol4ARbNHP9g+NUndSjJ6eruqAPrJWy3+x2hNGR7YATs0g11uUrI&#10;khR4WfD/DcofUEsDBBQAAAAIAIdO4kDcQ2JBHwIAABoEAAAOAAAAZHJzL2Uyb0RvYy54bWytU8GO&#10;0zAQvSPxD5bvNE1p6bZquiq7KkKq2JUK4uw6dhPJ9hjbbVI+AP6AExfufFe/g7HTdivghLg443mT&#10;NzNvxrPbViuyF87XYAqa9/qUCMOhrM22oB/eL1/cUOIDMyVTYERBD8LT2/nzZ7PGTsUAKlClcARJ&#10;jJ82tqBVCHaaZZ5XQjPfAysMghKcZgGvbpuVjjXIrlU26PdfZQ240jrgwnv03ncgnSd+KQUPD1J6&#10;EYgqKNYW0unSuYlnNp+x6dYxW9X8VAb7hyo0qw0mvVDds8DIztV/UOmaO/AgQ4+DzkDKmovUA3aT&#10;93/rZl0xK1IvKI63F5n8/6Pl7/aPjtRlQccoj2EaZ3T89vX4/efxxxeCPhSosX6KcWuLkaF9DS0O&#10;+uz36Ix9t9Lp+MWOCOLIdbjIK9pAODrHNy9HE0Q4QoNxng9HkSV7+tk6H94I0CQaBXU4vSQq2698&#10;6ELPITGXgWWtVJqgMqTBqib9UT/9cYGQXRlMEnvoao1WaDftqbENlAfsy0G3Gt7yZY3ZV8yHR+Zw&#10;F7Bg3O/wgIdUgFngZFFSgfv8N3+MxxEhSkmDu1VQ/2nHnKBEvTU4vEk+HCJtSJfhaDzAi7tGNteI&#10;2ek7wPXN8SVZnswYH9TZlA70R3wGi5gVIWY45i5oOJt3odt4fEZcLBYpCNfPsrAya8sjdafnYhdA&#10;1knqKFOnzUk9XMA0rNNjiRt+fU9RT096/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WvQ1wAA&#10;AAkBAAAPAAAAAAAAAAEAIAAAACIAAABkcnMvZG93bnJldi54bWxQSwECFAAUAAAACACHTuJA3ENi&#10;QR8CAAAaBAAADgAAAAAAAAABACAAAAAmAQAAZHJzL2Uyb0RvYy54bWxQSwUGAAAAAAYABgBZAQAA&#10;twUAAAAA&#10;">
                      <v:fill on="f" focussize="0,0"/>
                      <v:stroke on="f" weight="1.5pt"/>
                      <v:imagedata o:title=""/>
                      <o:lock v:ext="edit" aspectratio="f"/>
                      <v:textbox>
                        <w:txbxContent>
                          <w:p>
                            <w:pPr>
                              <w:jc w:val="center"/>
                              <w:rPr>
                                <w:rFonts w:hint="default" w:eastAsia="宋体"/>
                                <w:color w:val="FF0000"/>
                                <w:sz w:val="18"/>
                                <w:szCs w:val="21"/>
                                <w:lang w:val="en-US" w:eastAsia="zh-CN"/>
                              </w:rPr>
                            </w:pPr>
                            <w:r>
                              <w:rPr>
                                <w:rFonts w:hint="eastAsia"/>
                                <w:color w:val="FF0000"/>
                                <w:sz w:val="18"/>
                                <w:szCs w:val="21"/>
                                <w:lang w:val="en-US" w:eastAsia="zh-CN"/>
                              </w:rPr>
                              <w:t>反冲洗池</w:t>
                            </w:r>
                          </w:p>
                        </w:txbxContent>
                      </v:textbox>
                    </v:shape>
                  </w:pict>
                </mc:Fallback>
              </mc:AlternateContent>
            </w: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2526030</wp:posOffset>
                      </wp:positionH>
                      <wp:positionV relativeFrom="paragraph">
                        <wp:posOffset>113030</wp:posOffset>
                      </wp:positionV>
                      <wp:extent cx="398780" cy="161290"/>
                      <wp:effectExtent l="3810" t="8890" r="3810" b="20320"/>
                      <wp:wrapNone/>
                      <wp:docPr id="74" name="直接连接符 74"/>
                      <wp:cNvGraphicFramePr/>
                      <a:graphic xmlns:a="http://schemas.openxmlformats.org/drawingml/2006/main">
                        <a:graphicData uri="http://schemas.microsoft.com/office/word/2010/wordprocessingShape">
                          <wps:wsp>
                            <wps:cNvCnPr>
                              <a:stCxn id="89" idx="0"/>
                            </wps:cNvCnPr>
                            <wps:spPr>
                              <a:xfrm flipV="1">
                                <a:off x="0" y="0"/>
                                <a:ext cx="398780" cy="161290"/>
                              </a:xfrm>
                              <a:prstGeom prst="line">
                                <a:avLst/>
                              </a:prstGeom>
                              <a:ln w="19050" cmpd="sng">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98.9pt;margin-top:8.9pt;height:12.7pt;width:31.4pt;z-index:251698176;mso-width-relative:page;mso-height-relative:page;" filled="f" stroked="t" coordsize="21600,21600" o:gfxdata="UEsDBAoAAAAAAIdO4kAAAAAAAAAAAAAAAAAEAAAAZHJzL1BLAwQUAAAACACHTuJA91ABMNgAAAAJ&#10;AQAADwAAAGRycy9kb3ducmV2LnhtbE2PwU7DMBBE70j8g7VI3KjdFgUa4vRQCQ4IQVtSiaMbmziq&#10;vbZiNy1/z/YEp93VjGbfVMuzd2w0Q+oDSphOBDCDbdA9dhKaz+e7R2ApK9TKBTQSfkyCZX19ValS&#10;hxNuzLjNHaMQTKWSYHOOJeeptcarNAnRIGnfYfAq0zl0XA/qROHe8ZkQBfeqR/pgVTQra9rD9ugl&#10;vDS71r7Hw9vXGDfFB67dqnl1Ut7eTMUTsGzO+c8MF3xCh5qY9uGIOjEnYb54IPRMwmWS4b4QBbA9&#10;LfMZ8Lri/xvUv1BLAwQUAAAACACHTuJA3F682ukBAACbAwAADgAAAGRycy9lMm9Eb2MueG1srVPN&#10;jtMwEL4j8Q6W7zRpgd00arqHVuWCoBKw96ljJ5b8J9s06UvwAkjc4MSR+74Ny2Ps2O12Wbghepja&#10;nplvZr75srgatSJ77oO0pqHTSUkJN8y20nQN/fB+86yiJEQwLShreEMPPNCr5dMni8HVfGZ7q1ru&#10;CYKYUA+uoX2Mri6KwHquIUys4wadwnoNEa++K1oPA6JrVczK8qIYrG+dt4yHgK/ro5MuM74QnMW3&#10;QgQeiWoo9haz9dnuki2WC6g7D66X7NQG/EMXGqTBomeoNUQgH738C0pL5m2wIk6Y1YUVQjKeZ8Bp&#10;puUf07zrwfE8C5IT3Jmm8P9g2Zv91hPZNvTyBSUGNO7o9vOPn5++/rr5gvb2+zeCHqRpcKHG6JXZ&#10;+jRoiKvR5MRqTvF/PLFZPIpLl+COGaPwmggl3TUKJZOF45OcRw7nXfAxEoaPz+fVZYUbY+iaXkxn&#10;87yrAuoEkxpwPsRX3GqSDg1V0iSqoIb96xCxXwy9D0nPxm6kUnndypABQefly4QPqDqhIOJRO+Qh&#10;mI4SUB3KmUWfIYNVsk3peXDf7VbKkz2gpDabEn+JHiz3KCzVXkPoj3HZdRSblhEVr6RuaJWS77OV&#10;QZAHvtJpZ9vD1ifwdEMF5DIntSaJ/X7PUQ/f1P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1AB&#10;MNgAAAAJAQAADwAAAAAAAAABACAAAAAiAAAAZHJzL2Rvd25yZXYueG1sUEsBAhQAFAAAAAgAh07i&#10;QNxevNrpAQAAmwMAAA4AAAAAAAAAAQAgAAAAJwEAAGRycy9lMm9Eb2MueG1sUEsFBgAAAAAGAAYA&#10;WQEAAIIFAAAAAA==&#10;">
                      <v:fill on="f" focussize="0,0"/>
                      <v:stroke weight="1.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3652520</wp:posOffset>
                      </wp:positionH>
                      <wp:positionV relativeFrom="paragraph">
                        <wp:posOffset>132080</wp:posOffset>
                      </wp:positionV>
                      <wp:extent cx="352425" cy="3175"/>
                      <wp:effectExtent l="0" t="9525" r="3175" b="12700"/>
                      <wp:wrapNone/>
                      <wp:docPr id="86" name="直接连接符 86"/>
                      <wp:cNvGraphicFramePr/>
                      <a:graphic xmlns:a="http://schemas.openxmlformats.org/drawingml/2006/main">
                        <a:graphicData uri="http://schemas.microsoft.com/office/word/2010/wordprocessingShape">
                          <wps:wsp>
                            <wps:cNvCnPr>
                              <a:endCxn id="87" idx="1"/>
                            </wps:cNvCnPr>
                            <wps:spPr>
                              <a:xfrm flipV="1">
                                <a:off x="0" y="0"/>
                                <a:ext cx="352425" cy="317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7.6pt;margin-top:10.4pt;height:0.25pt;width:27.75pt;z-index:251705344;mso-width-relative:page;mso-height-relative:page;" filled="f" stroked="t" coordsize="21600,21600" o:gfxdata="UEsDBAoAAAAAAIdO4kAAAAAAAAAAAAAAAAAEAAAAZHJzL1BLAwQUAAAACACHTuJARu9URdgAAAAJ&#10;AQAADwAAAGRycy9kb3ducmV2LnhtbE2PTU/DMAyG70j8h8hI3FjSTutQ13RCSGjiNgZCO2aN1481&#10;TmnSbfx7zAmOth+9ft5ifXW9OOMYWk8akpkCgVR521Kt4eP95eERRIiGrOk9oYZvDLAub28Kk1t/&#10;oTc872ItOIRCbjQ0MQ65lKFq0Jkw8wMS345+dCbyONbSjubC4a6XqVKZdKYl/tCYAZ8brE67yWl4&#10;3U7Ztu02sXs6JZ/7vdt8yY60vr9L1ApExGv8g+FXn9WhZKeDn8gG0WtYLBcpoxpSxRUYyOZqCeLA&#10;i2QOsizk/wblD1BLAwQUAAAACACHTuJAvNFxXuoBAACaAwAADgAAAGRycy9lMm9Eb2MueG1srVPN&#10;jtMwEL4j8Q6W79ukXbpdoqZ7aLVcEFRi4T517MSS/2SbJn0JXgCJG5w4ct+32eUxGDuly8INbQ5O&#10;7Jn5PN83X5ZXg1Zkz32Q1tR0Oikp4YbZRpq2pu9vrs8uKQkRTAPKGl7TAw/0avX82bJ3FZ/ZzqqG&#10;e4IgJlS9q2kXo6uKIrCOawgT67jBoLBeQ8Stb4vGQ4/oWhWzsrwoeusb5y3jIeDpZgzSVcYXgrP4&#10;VojAI1E1xd5iXn1ed2ktVkuoWg+uk+zYBvxHFxqkwUtPUBuIQD56+Q+UlszbYEWcMKsLK4RkPHNA&#10;NtPyLzbvOnA8c0FxgjvJFJ4Olr3Zbz2RTU0vLygxoHFG959/3H36+vP2C673378RjKBMvQsVZq/N&#10;1iei3DTrwYyVC4rvAcef8opHiWkT3FgyCK+JUNJ9SKkJBPkTrMPBHE7D4EMkDA/P57MXszklDEPn&#10;08U8Y0OVQFKp8yG+4laT9FFTJU1SCirYvw4xtfGQko6NvZZK5WkrQ3ps4GU5x3sZoOmEgoif2qEM&#10;wbSUgGrRzSz6DBmskk0qT0DBt7u18mQPyVHlolxnE+F1j9JSVxsI3ZiXQ6PXtIxoeCU1Kl6m58hL&#10;maN0o1pJt51tDlv/W1I0QGZ1NGty2J/7XP3wS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bv&#10;VEXYAAAACQEAAA8AAAAAAAAAAQAgAAAAIgAAAGRycy9kb3ducmV2LnhtbFBLAQIUABQAAAAIAIdO&#10;4kC80XFe6gEAAJoDAAAOAAAAAAAAAAEAIAAAACcBAABkcnMvZTJvRG9jLnhtbFBLBQYAAAAABgAG&#10;AFkBAACDBQAAAAA=&#10;">
                      <v:fill on="f" focussize="0,0"/>
                      <v:stroke weight="1.5pt" color="#0070C0 [3204]"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710464" behindDoc="0" locked="0" layoutInCell="1" allowOverlap="1">
                      <wp:simplePos x="0" y="0"/>
                      <wp:positionH relativeFrom="column">
                        <wp:posOffset>2249170</wp:posOffset>
                      </wp:positionH>
                      <wp:positionV relativeFrom="paragraph">
                        <wp:posOffset>11430</wp:posOffset>
                      </wp:positionV>
                      <wp:extent cx="553085" cy="215265"/>
                      <wp:effectExtent l="9525" t="9525" r="21590" b="16510"/>
                      <wp:wrapNone/>
                      <wp:docPr id="89" name="矩形 89"/>
                      <wp:cNvGraphicFramePr/>
                      <a:graphic xmlns:a="http://schemas.openxmlformats.org/drawingml/2006/main">
                        <a:graphicData uri="http://schemas.microsoft.com/office/word/2010/wordprocessingShape">
                          <wps:wsp>
                            <wps:cNvSpPr/>
                            <wps:spPr>
                              <a:xfrm>
                                <a:off x="0" y="0"/>
                                <a:ext cx="553085" cy="215265"/>
                              </a:xfrm>
                              <a:prstGeom prst="rect">
                                <a:avLst/>
                              </a:prstGeom>
                              <a:noFill/>
                              <a:ln w="190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1pt;margin-top:0.9pt;height:16.95pt;width:43.55pt;z-index:251710464;v-text-anchor:middle;mso-width-relative:page;mso-height-relative:page;" filled="f" stroked="t" coordsize="21600,21600" o:gfxdata="UEsDBAoAAAAAAIdO4kAAAAAAAAAAAAAAAAAEAAAAZHJzL1BLAwQUAAAACACHTuJAFK59aNYAAAAI&#10;AQAADwAAAGRycy9kb3ducmV2LnhtbE2PwU7DMBBE70j8g7WVuFEnbiBVGqcSSAiBOECBuxtvk6jx&#10;OordpPw92xMcV280+6bcnl0vJhxD50lDukxAINXedtRo+Pp8ul2DCNGQNb0n1PCDAbbV9VVpCutn&#10;+sBpFxvBJRQKo6GNcSikDHWLzoSlH5CYHfzoTORzbKQdzczlrpcqSe6lMx3xh9YM+NhifdydnIZ3&#10;fzzI/lup1/zhWeUvbj0305vWN4s02YCIeI5/YbjoszpU7LT3J7JB9BpWd5niKANewDzL0hWI/QXk&#10;IKtS/h9Q/QJQSwMEFAAAAAgAh07iQPIhf2tPAgAAfgQAAA4AAABkcnMvZTJvRG9jLnhtbK1UzW4T&#10;MRC+I/EOlu90N6FbmlU2VdQqCKmilQLiPPHaWUv+w3ayKS+DxI2H4HEQr8HYu2nDzwmRgzPj+f/8&#10;zc6vDlqRPfdBWtPQyVlJCTfMttJsG/r+3erFJSUhgmlBWcMb+sADvVo8fzbvXc2ntrOq5Z5gEhPq&#10;3jW0i9HVRRFYxzWEM+u4QaOwXkNE1W+L1kOP2bUqpmV5UfTWt85bxkPA25vBSBc5vxCcxTshAo9E&#10;NRR7i/n0+dyks1jMod56cJ1kYxvwD11okAaLPqa6gQhk5+UfqbRk3gYr4hmzurBCSMbzDDjNpPxt&#10;mnUHjudZEJzgHmEK/y8te7u/90S2Db2cUWJA4xv9+Pz1+7cvBC8Qnd6FGp3W7t6PWkAxjXoQXqd/&#10;HIIcMqIPj4jyQyQML6vqZXlZUcLQNJ1U04sq5Syegp0P8TW3miShoR4fLOMI+9sQB9ejS6pl7Eoq&#10;hfdQK0N6ZNysrPBdGSB3hIKIonY4TTBbSkBtkZQs+pwyWCXbFJ6ig99urpUne0BirFYl/sbOfnFL&#10;tW8gdINfNiU3qLWMyFslNQKXgo/RyuB4CbMBpSRtbPuAGHs7kC84tpKY9hZCvAePbMP+cYPiHR5C&#10;WRzKjhIlnfWf/naf/JEEaKWkR/biwB934Dkl6o1Beswm5+eJ7lk5r15NUfGnls2pxez0tUUcJrir&#10;jmUx+Ud1FIW3+gMu2jJVRRMYhrUHaEflOg5bhavK+HKZ3ZDiDuKtWTuWkg8PuNxFK2R+2yd0RtCQ&#10;5Jkd40KmLTrVs9fTZ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SufWjWAAAACAEAAA8AAAAA&#10;AAAAAQAgAAAAIgAAAGRycy9kb3ducmV2LnhtbFBLAQIUABQAAAAIAIdO4kDyIX9rTwIAAH4EAAAO&#10;AAAAAAAAAAEAIAAAACUBAABkcnMvZTJvRG9jLnhtbFBLBQYAAAAABgAGAFkBAADmBQAAAAA=&#10;">
                      <v:fill on="f" focussize="0,0"/>
                      <v:stroke weight="1.5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1993900</wp:posOffset>
                      </wp:positionH>
                      <wp:positionV relativeFrom="paragraph">
                        <wp:posOffset>119380</wp:posOffset>
                      </wp:positionV>
                      <wp:extent cx="6350" cy="1778000"/>
                      <wp:effectExtent l="9525" t="0" r="9525" b="0"/>
                      <wp:wrapNone/>
                      <wp:docPr id="63" name="直接连接符 63"/>
                      <wp:cNvGraphicFramePr/>
                      <a:graphic xmlns:a="http://schemas.openxmlformats.org/drawingml/2006/main">
                        <a:graphicData uri="http://schemas.microsoft.com/office/word/2010/wordprocessingShape">
                          <wps:wsp>
                            <wps:cNvCnPr/>
                            <wps:spPr>
                              <a:xfrm>
                                <a:off x="0" y="0"/>
                                <a:ext cx="6350" cy="177800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7pt;margin-top:9.4pt;height:140pt;width:0.5pt;z-index:251687936;mso-width-relative:page;mso-height-relative:page;" filled="f" stroked="t" coordsize="21600,21600" o:gfxdata="UEsDBAoAAAAAAIdO4kAAAAAAAAAAAAAAAAAEAAAAZHJzL1BLAwQUAAAACACHTuJA8lVpTNQAAAAK&#10;AQAADwAAAGRycy9kb3ducmV2LnhtbE1PyU7DMBC9I/EP1iBxQdRJw1JCnEqAeuPSwAdM4yGJGo+D&#10;7XT5e4YTHOdt8161PrlRHSjEwbOBfJGBIm69Hbgz8PmxuV2BignZ4uiZDJwpwrq+vKiwtP7IWzo0&#10;qVMSwrFEA31KU6l1bHtyGBd+IhbuyweHSc7QaRvwKOFu1Msse9AOB5YPPU702lO7b2YnNd5fpsaH&#10;mzedzo9hHorvabNHY66v8uwZVKJT+hPDb33xQC2ddn5mG9VooMjvZEsSYiUTRFDk9wLsDCyfBNF1&#10;pf9PqH8AUEsDBBQAAAAIAIdO4kAKI3kNzAEAAGkDAAAOAAAAZHJzL2Uyb0RvYy54bWytU0uOEzEQ&#10;3SNxB8t70p0ZkQytdGaRaNggiAQcoOK2uy35J5dJJ5fgAkjsYMWSPbdhOAZlJ5OBmR1iU23X51W9&#10;5+rF9d4atpMRtXctn05qzqQTvtOub/n7dzfPrjjDBK4D451s+UEiv14+fbIYQyMv/OBNJyMjEIfN&#10;GFo+pBSaqkIxSAs48UE6CiofLSS6xr7qIoyEbk11UdezavSxC9ELiUje9THIlwVfKSnSG6VQJmZa&#10;TrOlYmOx22yr5QKaPkIYtDiNAf8whQXtqOkZag0J2IeoH0FZLaJHr9JEeFt5pbSQhQOxmdYP2Lwd&#10;IMjChcTBcJYJ/x+seL3bRKa7ls8uOXNg6Y1uP33/+fHLrx+fyd5++8ooQjKNARvKXrlNPN0wbGLm&#10;vFfR5i+xYfsi7eEsrdwnJsg5u3xO8gsKTOfzq7ouylf3tSFieim9ZfnQcqNdJg4N7F5hon6UepeS&#10;3c7faGPK4xnHRkJ9UZcGQDukDCTqZQOxQtdzBqan5RQpFkj0Rne5PANh7LcrE9kO8oLU83p1N9lf&#10;abn3GnA45pXQcXWsTrS/RtuWZ1ZnXsbRzFmyo0j5tPXdoWhX/PSehdVp9/LC/Hkv1fd/y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lVpTNQAAAAKAQAADwAAAAAAAAABACAAAAAiAAAAZHJzL2Rv&#10;d25yZXYueG1sUEsBAhQAFAAAAAgAh07iQAojeQ3MAQAAaQMAAA4AAAAAAAAAAQAgAAAAIwEAAGRy&#10;cy9lMm9Eb2MueG1sUEsFBgAAAAAGAAYAWQEAAGEFA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1147445</wp:posOffset>
                      </wp:positionH>
                      <wp:positionV relativeFrom="paragraph">
                        <wp:posOffset>109855</wp:posOffset>
                      </wp:positionV>
                      <wp:extent cx="855345" cy="1270"/>
                      <wp:effectExtent l="0" t="9525" r="8255" b="14605"/>
                      <wp:wrapNone/>
                      <wp:docPr id="64" name="直接连接符 64"/>
                      <wp:cNvGraphicFramePr/>
                      <a:graphic xmlns:a="http://schemas.openxmlformats.org/drawingml/2006/main">
                        <a:graphicData uri="http://schemas.microsoft.com/office/word/2010/wordprocessingShape">
                          <wps:wsp>
                            <wps:cNvCnPr/>
                            <wps:spPr>
                              <a:xfrm flipV="1">
                                <a:off x="0" y="0"/>
                                <a:ext cx="855345" cy="127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0.35pt;margin-top:8.65pt;height:0.1pt;width:67.35pt;z-index:251688960;mso-width-relative:page;mso-height-relative:page;" filled="f" stroked="t" coordsize="21600,21600" o:gfxdata="UEsDBAoAAAAAAIdO4kAAAAAAAAAAAAAAAAAEAAAAZHJzL1BLAwQUAAAACACHTuJA48TWpdgAAAAJ&#10;AQAADwAAAGRycy9kb3ducmV2LnhtbE2PS0/DMBCE70j9D9YicaN2KH0oxKkqJFRxawtCPbrxkkfj&#10;dYidtvz7bk9w29kdzX6TLS+uFSfsQ+1JQzJWIJAKb2sqNXx+vD0uQIRoyJrWE2r4xQDLfHSXmdT6&#10;M23xtIul4BAKqdFQxdilUoaiQmfC2HdIfPv2vTORZV9K25szh7tWPik1k87UxB8q0+FrhcVxNzgN&#10;75thtqmbdWxWx+Rrv3frH9mQ1g/3iXoBEfES/8xww2d0yJnp4AeyQbSsF2rOVh7mExBsmCTTZxCH&#10;22IKMs/k/wb5FVBLAwQUAAAACACHTuJARSq5INgBAAByAwAADgAAAGRycy9lMm9Eb2MueG1srVNL&#10;jhMxEN0jcQfLe9KdMJkZWunMItGwQRCJz77itrst+SeXSSeX4AJI7GDFkj23YTgGZScTfjtEL9x2&#10;VfVzvVevFzd7a9hORtTetXw6qTmTTvhOu77lr1/dPrrmDBO4Dox3suUHifxm+fDBYgyNnPnBm05G&#10;RiAOmzG0fEgpNFWFYpAWcOKDdJRUPlpIdIx91UUYCd2aalbXl9XoYxeiFxKRoutjki8LvlJSpBdK&#10;oUzMtJx6S2WNZd3mtVouoOkjhEGLUxvwD11Y0I4uPUOtIQF7G/VfUFaL6NGrNBHeVl4pLWThQGym&#10;9R9sXg4QZOFC4mA4y4T/D1Y8320i013LLy84c2BpRnfvv3x79/H71w+03n3+xChDMo0BG6peuU08&#10;nTBsYua8V9EyZXR4Qw4oKhAvti8iH84iy31igoLX8/njizlnglLT2VUZQXUEyWAhYnoqvWV503Kj&#10;XVYAGtg9w0QXU+l9SQ47f6uNKVM0jo0E+aSe06AFkJmUgURbG4geup4zMD25VKRYINEb3eXPMxDG&#10;frsyke0gO6W+qlf3nf1Wlu9eAw7HupI6esjqREY22hLDOj85TM0aR6+s3VGtvNv67lBELHEabCk8&#10;mTA759dz+frnr7L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PE1qXYAAAACQEAAA8AAAAAAAAA&#10;AQAgAAAAIgAAAGRycy9kb3ducmV2LnhtbFBLAQIUABQAAAAIAIdO4kBFKrkg2AEAAHIDAAAOAAAA&#10;AAAAAAEAIAAAACcBAABkcnMvZTJvRG9jLnhtbFBLBQYAAAAABgAGAFkBAABxBQAAAAA=&#10;">
                      <v:fill on="f" focussize="0,0"/>
                      <v:stroke weight="1.5pt" color="#0070C0 [3204]"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2520950</wp:posOffset>
                      </wp:positionH>
                      <wp:positionV relativeFrom="paragraph">
                        <wp:posOffset>-36195</wp:posOffset>
                      </wp:positionV>
                      <wp:extent cx="5080" cy="1992630"/>
                      <wp:effectExtent l="9525" t="0" r="10795" b="1270"/>
                      <wp:wrapNone/>
                      <wp:docPr id="71" name="直接连接符 71"/>
                      <wp:cNvGraphicFramePr/>
                      <a:graphic xmlns:a="http://schemas.openxmlformats.org/drawingml/2006/main">
                        <a:graphicData uri="http://schemas.microsoft.com/office/word/2010/wordprocessingShape">
                          <wps:wsp>
                            <wps:cNvCnPr>
                              <a:stCxn id="89" idx="2"/>
                            </wps:cNvCnPr>
                            <wps:spPr>
                              <a:xfrm flipH="1">
                                <a:off x="0" y="0"/>
                                <a:ext cx="5080" cy="1992630"/>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98.5pt;margin-top:-2.85pt;height:156.9pt;width:0.4pt;z-index:251694080;mso-width-relative:page;mso-height-relative:page;" filled="f" stroked="t" coordsize="21600,21600" o:gfxdata="UEsDBAoAAAAAAIdO4kAAAAAAAAAAAAAAAAAEAAAAZHJzL1BLAwQUAAAACACHTuJAPVbg/dkAAAAK&#10;AQAADwAAAGRycy9kb3ducmV2LnhtbE2PzW7CMBCE70h9B2sr9QZ2qAo0xEGoUoV6A1pVHE285Id4&#10;ncYO0Lfv9tTedndGs99kq5trxQX7UHvSkEwUCKTC25pKDR/vr+MFiBANWdN6Qg3fGGCV340yk1p/&#10;pR1e9rEUHEIhNRqqGLtUylBU6EyY+A6JtZPvnYm89qW0vblyuGvlVKmZdKYm/lCZDl8qLM77wWl4&#10;2w6zbd1sYrM+J5+Hg9t8yYa0frhP1BJExFv8M8MvPqNDzkxHP5ANotXw+DznLlHD+GkOgg184C5H&#10;HtQiAZln8n+F/AdQSwMEFAAAAAgAh07iQDEp6pTpAQAAmgMAAA4AAABkcnMvZTJvRG9jLnhtbK1T&#10;S27bMBDdF8gdCO5jyS6S2ILlLGwkXRStgbYHGFOkRIA/kIwlX6IXKNBdu+qy+94m6TE6pBynaXdF&#10;tRiJ83mcefO0vB60Invug7SmptNJSQk3zDbStDX98P7mfE5JiGAaUNbwmh54oNersxfL3lV8Zjur&#10;Gu4JgphQ9a6mXYyuKorAOq4hTKzjBoPCeg0Rj74tGg89omtVzMrysuitb5y3jIeA3s0YpKuMLwRn&#10;8a0QgUeiaoq9xWx9trtki9USqtaD6yQ7tgH/0IUGafDSE9QGIpA7L/+C0pJ5G6yIE2Z1YYWQjOcZ&#10;cJpp+cc07zpwPM+C5AR3oin8P1j2Zr/1RDY1vZpSYkDjjh4+fb//+OXnj89oH759JRhBmnoXKsxe&#10;m61Pg4a4HkwunC8ovoeazlJa8SwvHYIbKwbhNRFKulcolEwWjk+wDvdyOO2CD5EwdF6Uc/QzDEwX&#10;i9nly7yqAqqEku53PsRbbjVJHzVV0iSmoIL96xBTH08pyW3sjVQqb1sZ0ifU8iJdACg6oSDip3ZI&#10;QzAtJaBaVDOLPkMGq2STyvPcvt2tlSd7SIoqr8r1Y2fP0lJXGwjdmJdDo9a0jCh4JXVN52V6MmlQ&#10;KXPkbqQrEbezzWHrHzlFAeSpjmJNCvv9nKuffqn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1W&#10;4P3ZAAAACgEAAA8AAAAAAAAAAQAgAAAAIgAAAGRycy9kb3ducmV2LnhtbFBLAQIUABQAAAAIAIdO&#10;4kAxKeqU6QEAAJoDAAAOAAAAAAAAAAEAIAAAACgBAABkcnMvZTJvRG9jLnhtbFBLBQYAAAAABgAG&#10;AFkBAACDBQ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4544695</wp:posOffset>
                      </wp:positionH>
                      <wp:positionV relativeFrom="paragraph">
                        <wp:posOffset>840105</wp:posOffset>
                      </wp:positionV>
                      <wp:extent cx="247650" cy="0"/>
                      <wp:effectExtent l="0" t="9525" r="6350" b="15875"/>
                      <wp:wrapNone/>
                      <wp:docPr id="43" name="直接连接符 43"/>
                      <wp:cNvGraphicFramePr/>
                      <a:graphic xmlns:a="http://schemas.openxmlformats.org/drawingml/2006/main">
                        <a:graphicData uri="http://schemas.microsoft.com/office/word/2010/wordprocessingShape">
                          <wps:wsp>
                            <wps:cNvCnPr>
                              <a:stCxn id="41" idx="3"/>
                              <a:endCxn id="40" idx="1"/>
                            </wps:cNvCnPr>
                            <wps:spPr>
                              <a:xfrm>
                                <a:off x="5933440" y="5726430"/>
                                <a:ext cx="247650" cy="0"/>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57.85pt;margin-top:66.15pt;height:0pt;width:19.5pt;z-index:251671552;mso-width-relative:page;mso-height-relative:page;" filled="f" stroked="t" coordsize="21600,21600" o:gfxdata="UEsDBAoAAAAAAIdO4kAAAAAAAAAAAAAAAAAEAAAAZHJzL1BLAwQUAAAACACHTuJAAvYEutkAAAAL&#10;AQAADwAAAGRycy9kb3ducmV2LnhtbE2PT0vEMBDF74LfIYzgzU26dW2tTRcRFhEV7K4Hj9lmti02&#10;k9Jk//jtHUHQ47z348175fLkBnHAKfSeNCQzBQKp8banVsP7ZnWVgwjRkDWDJ9TwhQGW1flZaQrr&#10;j1TjYR1bwSEUCqOhi3EspAxNh86EmR+R2Nv5yZnI59RKO5kjh7tBzpW6kc70xB86M+JDh83neu80&#10;pM+vmzq+5bSqd7cvj/7+I39SXuvLi0TdgYh4in8w/NTn6lBxp63fkw1i0JAli4xRNtJ5CoKJbHHN&#10;yvZXkVUp/2+ovgFQSwMEFAAAAAgAh07iQKD5MiDvAQAAswMAAA4AAABkcnMvZTJvRG9jLnhtbK1T&#10;TY7TMBTeI3EHy3uatM10ZqKms2g1bBBUAg7w6jiJJf/JNk16CS6AxA5WLNlzG4Zj8Oy0pTPsEFm8&#10;2P7e++z3+fPyblCS7LnzwuiKTic5JVwzUwvdVvT9u/sXN5T4ALoGaTSv6IF7erd6/mzZ25LPTGdk&#10;zR1BEu3L3la0C8GWWeZZxxX4ibFcI9gYpyDg1LVZ7aBHdiWzWZ4vst642jrDuPe4uhlBukr8TcNZ&#10;eNM0ngciK4pnCym6FHcxZqsllK0D2wl2PAb8wykUCI2bnqk2EIB8cOIvKiWYM940YcKMykzTCMZT&#10;D9jNNH/SzdsOLE+9oDjenmXy/4+Wvd5vHRF1RYs5JRoU3tHDp+8/P3759eMzxodvXwkiKFNvfYnZ&#10;a711sVEf1oMeC6cU/0NFUxqUXNdnCCVP0DQyZI8o4sTbkWxonIqkqAdBoqvb+bwosPaA4+vZopgf&#10;L4oPgTBMmBXXiyvEGSYkKIPyxGGdDy+5USQOKiqFjhJCCftXPsRTQHlKicva3Aspkw2kJj16+DZP&#10;1IBubCQE3EVZ1MfrlhKQLdqcBZcovZGijuVJENfu1tKRPUSrpS81jVJdpsW9N+C7MS9BowmVCPgS&#10;pFAVvbmslvqo3ChWlG1n6sPWnRRFZ6Suji6O1rucp+o/b23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L2BLrZAAAACwEAAA8AAAAAAAAAAQAgAAAAIgAAAGRycy9kb3ducmV2LnhtbFBLAQIUABQA&#10;AAAIAIdO4kCg+TIg7wEAALMDAAAOAAAAAAAAAAEAIAAAACgBAABkcnMvZTJvRG9jLnhtbFBLBQYA&#10;AAAABgAGAFkBAACJ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4792345</wp:posOffset>
                      </wp:positionH>
                      <wp:positionV relativeFrom="paragraph">
                        <wp:posOffset>15240</wp:posOffset>
                      </wp:positionV>
                      <wp:extent cx="323850" cy="1123950"/>
                      <wp:effectExtent l="4445" t="4445" r="14605" b="14605"/>
                      <wp:wrapNone/>
                      <wp:docPr id="40" name="文本框 40"/>
                      <wp:cNvGraphicFramePr/>
                      <a:graphic xmlns:a="http://schemas.openxmlformats.org/drawingml/2006/main">
                        <a:graphicData uri="http://schemas.microsoft.com/office/word/2010/wordprocessingShape">
                          <wps:wsp>
                            <wps:cNvSpPr txBox="1"/>
                            <wps:spPr>
                              <a:xfrm>
                                <a:off x="0" y="0"/>
                                <a:ext cx="323850" cy="1123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乌木滩水库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35pt;margin-top:1.2pt;height:88.5pt;width:25.5pt;z-index:251669504;mso-width-relative:page;mso-height-relative:page;" fillcolor="#FFFFFF [3201]" filled="t" stroked="t" coordsize="21600,21600" o:gfxdata="UEsDBAoAAAAAAIdO4kAAAAAAAAAAAAAAAAAEAAAAZHJzL1BLAwQUAAAACACHTuJA45+WJdYAAAAJ&#10;AQAADwAAAGRycy9kb3ducmV2LnhtbE2PwU7DMBBE70j8g7VI3KjdNG1KiFMJJCTEjTYXbm68TSLs&#10;dRS7Tfl7lhMcR/M0+7baXb0TF5ziEEjDcqFAILXBDtRpaA6vD1sQMRmyxgVCDd8YYVff3lSmtGGm&#10;D7zsUyd4hGJpNPQpjaWUse3Rm7gIIxJ3pzB5kzhOnbSTmXncO5kptZHeDMQXejPiS4/t1/7sNbxt&#10;ntMnNvbdrrJVmBvZTicXtb6/W6onEAmv6Q+GX31Wh5qdjuFMNgqnoVjnBaMashwE91u15nxksHjM&#10;QdaV/P9B/QNQSwMEFAAAAAgAh07iQJmjaKs5AgAAawQAAA4AAABkcnMvZTJvRG9jLnhtbK1UzW4T&#10;MRC+I/EOlu9089fSRtlUoVUQUkQrFcTZ8XqTFV6PsZ3shgeAN+DEhTvP1efgs/PTQDghcnDmL9/M&#10;fDOT0XVba7ZWzldkct4963CmjKSiMoucv383fXHJmQ/CFEKTUTnfKM+vx8+fjRo7VD1aki6UYwAx&#10;ftjYnC9DsMMs83KpauHPyCoDZ0muFgGqW2SFEw3Qa531Op2LrCFXWEdSeQ/r7dbJxwm/LJUMd2Xp&#10;VWA656gtpNeldx7fbDwSw4UTdlnJXRniH6qoRWWQ9AB1K4JgK1edQNWVdOSpDGeS6ozKspIq9YBu&#10;up0/unlYCqtSLyDH2wNN/v/Byrfre8eqIucD0GNEjRk9fvv6+P3n448vDDYQ1Fg/RNyDRWRoX1GL&#10;Qe/tHsbYd1u6On6jIwY/sDYHelUbmISx3+tfnsMj4ep2e/0rKIDPnn5tnQ+vFdUsCjl3GF9iVaxn&#10;PmxD9yExmSddFdNK66S4xfxGO7YWGPU0fXbov4Vpw5qcX/SR+wQiYh8g5lrIj6cIqFYbFB1J2TYf&#10;pdDO2x1Tcyo2IMrRdte8ldMKuDPhw71wWC4wgIMJd3hKTSiGdhJnS3Kf/2aP8Zg5vJw1WNac+08r&#10;4RRn+o3BNlx1B3F8ISmD85c9KO7YMz/2mFV9QyCpi9O0MokxPui9WDqqP+CuJjErXMJI5M552Is3&#10;YXtCuEupJpMUhH22IszMg5UROpJraLIKVFZpdJGmLTc79rDRafi764snc6ynqKf/iP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5+WJdYAAAAJAQAADwAAAAAAAAABACAAAAAiAAAAZHJzL2Rvd25y&#10;ZXYueG1sUEsBAhQAFAAAAAgAh07iQJmjaKs5AgAAawQAAA4AAAAAAAAAAQAgAAAAJQEAAGRycy9l&#10;Mm9Eb2MueG1sUEsFBgAAAAAGAAYAWQEAANA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乌木滩水库</w:t>
                            </w:r>
                          </w:p>
                        </w:txbxContent>
                      </v:textbox>
                    </v:shape>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4220845</wp:posOffset>
                      </wp:positionH>
                      <wp:positionV relativeFrom="paragraph">
                        <wp:posOffset>15240</wp:posOffset>
                      </wp:positionV>
                      <wp:extent cx="323850" cy="1123950"/>
                      <wp:effectExtent l="4445" t="4445" r="14605" b="14605"/>
                      <wp:wrapNone/>
                      <wp:docPr id="41" name="文本框 41"/>
                      <wp:cNvGraphicFramePr/>
                      <a:graphic xmlns:a="http://schemas.openxmlformats.org/drawingml/2006/main">
                        <a:graphicData uri="http://schemas.microsoft.com/office/word/2010/wordprocessingShape">
                          <wps:wsp>
                            <wps:cNvSpPr txBox="1"/>
                            <wps:spPr>
                              <a:xfrm>
                                <a:off x="0" y="0"/>
                                <a:ext cx="323850" cy="1123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东柳二水厂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35pt;margin-top:1.2pt;height:88.5pt;width:25.5pt;z-index:251670528;mso-width-relative:page;mso-height-relative:page;" fillcolor="#FFFFFF [3201]" filled="t" stroked="t" coordsize="21600,21600" o:gfxdata="UEsDBAoAAAAAAIdO4kAAAAAAAAAAAAAAAAAEAAAAZHJzL1BLAwQUAAAACACHTuJAhAddr9YAAAAJ&#10;AQAADwAAAGRycy9kb3ducmV2LnhtbE2PwU7DMBBE70j8g7VI3KiTNCQ0jVMJJCTEjTYXbm68TSLs&#10;dRS7Tfl7lhMcR/M0+7beXZ0VF5zD6ElBukpAIHXejNQraA+vD08gQtRktPWECr4xwK65val1ZfxC&#10;H3jZx17wCIVKKxhinCopQzeg02HlJyTuTn52OnKce2lmvfC4szJLkkI6PRJfGPSELwN2X/uzU/BW&#10;PMdPbM27WWdrv7Sym082KHV/lyZbEBGv8Q+GX31Wh4adjv5MJgiroCjyklEFWQ6C+zJ95HxksNzk&#10;IJta/v+g+QFQSwMEFAAAAAgAh07iQH8bbto6AgAAawQAAA4AAABkcnMvZTJvRG9jLnhtbK1UzW4T&#10;MRC+I/EOlu9k89fSRt1UIVUQUkQrBcTZ8XqTFV6PsZ3shgeAN+DEhTvP1efgs/PTQjkhcnDmL9/M&#10;fDOTq+u21myrnK/I5LzX6XKmjKSiMqucv383e3HBmQ/CFEKTUTnfKc+vx8+fXTV2pPq0Jl0oxwBi&#10;/KixOV+HYEdZ5uVa1cJ3yCoDZ0muFgGqW2WFEw3Qa531u93zrCFXWEdSeQ/rzd7Jxwm/LJUMt2Xp&#10;VWA656gtpNeldxnfbHwlRisn7LqShzLEP1RRi8og6QnqRgTBNq56AlVX0pGnMnQk1RmVZSVV6gHd&#10;9Lp/dLNYC6tSLyDH2xNN/v/ByrfbO8eqIufDHmdG1JjR/bev999/3v/4wmADQY31I8QtLCJD+4pa&#10;DPpo9zDGvtvS1fEbHTH4QfXuRK9qA5MwDvqDizN4JFy9Xn9wCQXw2cOvrfPhtaKaRSHnDuNLrIrt&#10;3Id96DEkJvOkq2JWaZ0Ut1pOtWNbgVHP0ueA/luYNqzJ+fkAuZ9AROwTxFIL+fEpAqrVBkVHUvbN&#10;Rym0y/bA1JKKHYhytN81b+WsAu5c+HAnHJYLDOBgwi2eUhOKoYPE2Zrc57/ZYzxmDi9nDZY15/7T&#10;RjjFmX5jsA2XveEwbndShmcv+1DcY8/yscds6imBJAwc1SUxxgd9FEtH9Qfc1SRmhUsYidw5D0dx&#10;GvYnhLuUajJJQdhnK8LcLKyM0JFcQ5NNoLJKo4s07bk5sIeNTsM/XF88mcd6inr4jx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HXa/WAAAACQEAAA8AAAAAAAAAAQAgAAAAIgAAAGRycy9kb3du&#10;cmV2LnhtbFBLAQIUABQAAAAIAIdO4kB/G27aOgIAAGsEAAAOAAAAAAAAAAEAIAAAACUBAABkcnMv&#10;ZTJvRG9jLnhtbFBLBQYAAAAABgAGAFkBAADR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东柳二水厂</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609600</wp:posOffset>
                      </wp:positionH>
                      <wp:positionV relativeFrom="paragraph">
                        <wp:posOffset>25400</wp:posOffset>
                      </wp:positionV>
                      <wp:extent cx="1062355" cy="4483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62355"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在建东柳水厂</w:t>
                                  </w:r>
                                </w:p>
                                <w:p>
                                  <w:pPr>
                                    <w:jc w:val="center"/>
                                    <w:rPr>
                                      <w:rFonts w:hint="default"/>
                                      <w:lang w:val="en-US" w:eastAsia="zh-CN"/>
                                    </w:rPr>
                                  </w:pPr>
                                  <w:r>
                                    <w:rPr>
                                      <w:rFonts w:hint="eastAsia"/>
                                      <w:lang w:val="en-US" w:eastAsia="zh-CN"/>
                                    </w:rPr>
                                    <w:t>（10万m</w:t>
                                  </w:r>
                                  <w:r>
                                    <w:rPr>
                                      <w:rFonts w:hint="eastAsia"/>
                                      <w:vertAlign w:val="superscript"/>
                                      <w:lang w:val="en-US" w:eastAsia="zh-CN"/>
                                    </w:rPr>
                                    <w:t>3</w:t>
                                  </w:r>
                                  <w:r>
                                    <w:rPr>
                                      <w:rFonts w:hint="eastAsia"/>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2pt;height:35.3pt;width:83.65pt;z-index:251666432;mso-width-relative:page;mso-height-relative:page;" filled="f" stroked="f" coordsize="21600,21600" o:gfxdata="UEsDBAoAAAAAAIdO4kAAAAAAAAAAAAAAAAAEAAAAZHJzL1BLAwQUAAAACACHTuJAbopymtoAAAAH&#10;AQAADwAAAGRycy9kb3ducmV2LnhtbE2PzU7DMBCE70i8g7VI3KjTtKQlZFOhSBUSgkNLL71tYjeJ&#10;sNchdn/g6TEnOK1GM5r5tlhdrBEnPfreMcJ0koDQ3DjVc4uwe1/fLUH4QKzIONYIX9rDqry+KihX&#10;7swbfdqGVsQS9jkhdCEMuZS+6bQlP3GD5ugd3GgpRDm2Uo10juXWyDRJMmmp57jQ0aCrTjcf26NF&#10;eKnWb7SpU7v8NtXz6+Fp+Nzt7xFvb6bJI4igL+EvDL/4ER3KyFS7IysvDMJDFl8JCPN4op1msxmI&#10;GmExz0CWhfzPX/4AUEsDBBQAAAAIAIdO4kCadW9OIAIAABoEAAAOAAAAZHJzL2Uyb0RvYy54bWyt&#10;U81uEzEQviPxDpbvZDe/LVE2VWgVhFTRSgFxdrx2diXbY2wnu+EB4A164sKd58pzMPYmaQScEBd7&#10;7Pn9vpmZ3bRakZ1wvgZT0H4vp0QYDmVtNgX9+GH56poSH5gpmQIjCroXnt7MX76YNXYqBlCBKoUj&#10;GMT4aWMLWoVgp1nmeSU08z2wwqBSgtMs4NNtstKxBqNrlQ3yfJI14ErrgAvv8feuU9J5ii+l4OFB&#10;Si8CUQXF2kI6XTrX8czmMzbdOGarmh/LYP9QhWa1waTnUHcsMLJ19R+hdM0deJChx0FnIGXNRcKA&#10;aPr5b2hWFbMiYUFyvD3T5P9fWP5+9+hIXRZ0eEWJYRp7dHj6dvj+8/DjK8E/JKixfop2K4uWoX0D&#10;LTb69O/xM+JupdPxRkQE9Uj1/kyvaAPh0SmfDIbjMSUcdaPR9bCf+M+eva3z4a0ATaJQUIftS6yy&#10;3b0PWAmankxiMgPLWqnUQmVIU9DJcJwnh7MGPZRBx4ihqzVKoV23R2BrKPeIy0E3Gt7yZY3J75kP&#10;j8zhLCAUnO/wgIdUgEngKFFSgfvyt/9ojy1CLSUNzlZB/ectc4IS9c5g8173R6M4jOkxGl8N8OEu&#10;NetLjdnqW8Dx7eMmWZ7EaB/USZQO9Cdcg0XMiipmOOYuaDiJt6GbeFwjLhaLZITjZ1m4NyvLY+iO&#10;zsU2gKwT05GmjpsjeziAqQHHZYkTfvlOVs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py&#10;mtoAAAAHAQAADwAAAAAAAAABACAAAAAiAAAAZHJzL2Rvd25yZXYueG1sUEsBAhQAFAAAAAgAh07i&#10;QJp1b04gAgAAGgQAAA4AAAAAAAAAAQAgAAAAKQEAAGRycy9lMm9Eb2MueG1sUEsFBgAAAAAGAAYA&#10;WQEAALsFAAAAAA==&#10;">
                      <v:fill on="f" focussize="0,0"/>
                      <v:stroke on="f" weight="0.5pt"/>
                      <v:imagedata o:title=""/>
                      <o:lock v:ext="edit" aspectratio="f"/>
                      <v:textbox>
                        <w:txbxContent>
                          <w:p>
                            <w:pPr>
                              <w:jc w:val="center"/>
                              <w:rPr>
                                <w:rFonts w:hint="eastAsia"/>
                                <w:lang w:val="en-US" w:eastAsia="zh-CN"/>
                              </w:rPr>
                            </w:pPr>
                            <w:r>
                              <w:rPr>
                                <w:rFonts w:hint="eastAsia"/>
                                <w:lang w:val="en-US" w:eastAsia="zh-CN"/>
                              </w:rPr>
                              <w:t>在建东柳水厂</w:t>
                            </w:r>
                          </w:p>
                          <w:p>
                            <w:pPr>
                              <w:jc w:val="center"/>
                              <w:rPr>
                                <w:rFonts w:hint="default"/>
                                <w:lang w:val="en-US" w:eastAsia="zh-CN"/>
                              </w:rPr>
                            </w:pPr>
                            <w:r>
                              <w:rPr>
                                <w:rFonts w:hint="eastAsia"/>
                                <w:lang w:val="en-US" w:eastAsia="zh-CN"/>
                              </w:rPr>
                              <w:t>（10万m</w:t>
                            </w:r>
                            <w:r>
                              <w:rPr>
                                <w:rFonts w:hint="eastAsia"/>
                                <w:vertAlign w:val="superscript"/>
                                <w:lang w:val="en-US" w:eastAsia="zh-CN"/>
                              </w:rPr>
                              <w:t>3</w:t>
                            </w:r>
                            <w:r>
                              <w:rPr>
                                <w:rFonts w:hint="eastAsia"/>
                                <w:lang w:val="en-US" w:eastAsia="zh-CN"/>
                              </w:rPr>
                              <w:t>/d）</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p>
          <w:p>
            <w:pPr>
              <w:spacing w:line="360" w:lineRule="auto"/>
              <w:ind w:firstLine="480" w:firstLineChars="200"/>
              <w:rPr>
                <w:rFonts w:hint="eastAsia" w:ascii="Times New Roman" w:hAnsi="Times New Roman" w:eastAsia="宋体" w:cs="Times New Roman"/>
                <w:color w:val="auto"/>
                <w:sz w:val="24"/>
                <w:lang w:val="en-US" w:eastAsia="zh-CN"/>
              </w:rPr>
            </w:pP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260350</wp:posOffset>
                      </wp:positionH>
                      <wp:positionV relativeFrom="paragraph">
                        <wp:posOffset>230505</wp:posOffset>
                      </wp:positionV>
                      <wp:extent cx="1699260" cy="25146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69926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已建DN600给水管道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18.15pt;height:19.8pt;width:133.8pt;z-index:251676672;mso-width-relative:page;mso-height-relative:page;" filled="f" stroked="f" coordsize="21600,21600" o:gfxdata="UEsDBAoAAAAAAIdO4kAAAAAAAAAAAAAAAAAEAAAAZHJzL1BLAwQUAAAACACHTuJA0K7Xw9oAAAAI&#10;AQAADwAAAGRycy9kb3ducmV2LnhtbE2PzU7DMBCE70i8g7VI3KidhoY0jVOhSBUSgkNLL9w2sZtE&#10;2OsQuz/w9JgTHEczmvmmXF+sYSc9+cGRhGQmgGlqnRqok7B/29zlwHxAUmgcaQlf2sO6ur4qsVDu&#10;TFt92oWOxRLyBUroQxgLzn3ba4t+5kZN0Tu4yWKIcuq4mvAcy63hcyEybnGguNDjqOtetx+7o5Xw&#10;XG9ecdvMbf5t6qeXw+P4uX9fSHl7k4gVsKAv4S8Mv/gRHarI1LgjKc+MhPskXgkS0iwFFv1U5Bmw&#10;RsLDYgm8Kvn/A9UPUEsDBBQAAAAIAIdO4kDY4IaHHwIAABoEAAAOAAAAZHJzL2Uyb0RvYy54bWyt&#10;U82O0zAQviPxDpbvNGlpC62arsquipAqdqWCOLuO3USyPcZ2m5QHgDfYExfuPFefg7HTdivghLg4&#10;Y3+T+fnmm9lNqxXZC+drMAXt93JKhOFQ1mZb0I8fli9eU+IDMyVTYERBD8LTm/nzZ7PGTsUAKlCl&#10;cASDGD9tbEGrEOw0yzyvhGa+B1YYBCU4zQJe3TYrHWswulbZIM/HWQOutA648B5f7zqQzlN8KQUP&#10;91J6EYgqKNYW0unSuYlnNp+x6dYxW9X8VAb7hyo0qw0mvYS6Y4GRnav/CKVr7sCDDD0OOgMpay5S&#10;D9hNP/+tm3XFrEi9IDneXmjy/y8sf79/cKQuCzqcUGKYxhkdH78dv/88/vhK8A0Jaqyfot/aomdo&#10;30CLgz6/e3yMfbfS6fjFjgjiSPXhQq9oA+Hxp/FkMhgjxBEbjPpDtDF89vS3dT68FaBJNArqcHyJ&#10;VbZf+dC5nl1iMgPLWqk0QmVIU9Dxy1GefrggGFwZzBF76GqNVmg37amxDZQH7MtBJw1v+bLG5Cvm&#10;wwNzqAWsF/Ud7vGQCjAJnCxKKnBf/vYe/XFEiFLSoLYK6j/vmBOUqHcGhzfpD4dRjOkyHL0a4MVd&#10;I5trxOz0LaB8+7hJlicz+gd1NqUD/QnXYBGzIsQMx9wFDWfzNnSKxzXiYrFITig/y8LKrC2PoTs6&#10;F7sAsk5MR5o6bk7soQDTrE7LEhV+fU9eTy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rtfD&#10;2gAAAAgBAAAPAAAAAAAAAAEAIAAAACIAAABkcnMvZG93bnJldi54bWxQSwECFAAUAAAACACHTuJA&#10;2OCGhx8CAAAaBAAADgAAAAAAAAABACAAAAAp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已建DN600给水管道</w:t>
                            </w:r>
                          </w:p>
                        </w:txbxContent>
                      </v:textbox>
                    </v:shape>
                  </w:pict>
                </mc:Fallback>
              </mc:AlternateContent>
            </w:r>
            <w:r>
              <w:rPr>
                <w:color w:val="auto"/>
                <w:sz w:val="24"/>
              </w:rPr>
              <mc:AlternateContent>
                <mc:Choice Requires="wps">
                  <w:drawing>
                    <wp:anchor distT="0" distB="0" distL="114300" distR="114300" simplePos="0" relativeHeight="251689984" behindDoc="0" locked="0" layoutInCell="1" allowOverlap="1">
                      <wp:simplePos x="0" y="0"/>
                      <wp:positionH relativeFrom="column">
                        <wp:posOffset>4400550</wp:posOffset>
                      </wp:positionH>
                      <wp:positionV relativeFrom="paragraph">
                        <wp:posOffset>89535</wp:posOffset>
                      </wp:positionV>
                      <wp:extent cx="1905" cy="211455"/>
                      <wp:effectExtent l="9525" t="0" r="13970" b="4445"/>
                      <wp:wrapNone/>
                      <wp:docPr id="65" name="直接连接符 65"/>
                      <wp:cNvGraphicFramePr/>
                      <a:graphic xmlns:a="http://schemas.openxmlformats.org/drawingml/2006/main">
                        <a:graphicData uri="http://schemas.microsoft.com/office/word/2010/wordprocessingShape">
                          <wps:wsp>
                            <wps:cNvCnPr/>
                            <wps:spPr>
                              <a:xfrm flipH="1">
                                <a:off x="0" y="0"/>
                                <a:ext cx="1905" cy="21145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46.5pt;margin-top:7.05pt;height:16.65pt;width:0.15pt;z-index:251689984;mso-width-relative:page;mso-height-relative:page;" filled="f" stroked="t" coordsize="21600,21600" o:gfxdata="UEsDBAoAAAAAAIdO4kAAAAAAAAAAAAAAAAAEAAAAZHJzL1BLAwQUAAAACACHTuJAhct0s9gAAAAJ&#10;AQAADwAAAGRycy9kb3ducmV2LnhtbE2PzW7CMBCE75X6DtZW6q04gSiFNA5ClSrUG6UIcTTxNj/E&#10;6zR2gL59tyd63JnR7Df58mo7ccbBN44UxJMIBFLpTEOVgt3n29MchA+ajO4coYIf9LAs7u9ynRl3&#10;oQ88b0MluIR8phXUIfSZlL6s0Wo/cT0Se19usDrwOVTSDPrC5baT0yhKpdUN8Yda9/haY3najlbB&#10;+2ZMN027Du3qFO8PB7v+li0p9fgQRy8gAl7DLQx/+IwOBTMd3UjGi05BupjxlsBGEoPgAAszEEcF&#10;yXMCssjl/wXFL1BLAwQUAAAACACHTuJAm6j5AdYBAAByAwAADgAAAGRycy9lMm9Eb2MueG1srVNL&#10;jhMxEN0jcQfLe9KdiBlmWunMItHAAkEkmANU3Ha3Jf/kMunkElwAiR2sWLLnNgzHoOwO4bdD9KLa&#10;riq/cr16Xt4crGF7GVF71/L5rOZMOuE77fqW372+fXTFGSZwHRjvZMuPEvnN6uGD5RgaufCDN52M&#10;jEAcNmNo+ZBSaKoKxSAt4MwH6SiofLSQaBv7qoswEro11aKuL6vRxy5ELyQieTdTkK8KvlJSpJdK&#10;oUzMtJzuloqNxe6yrVZLaPoIYdDidA34h1tY0I6KnqE2kIC9ifovKKtF9OhVmglvK6+UFrL0QN3M&#10;6z+6eTVAkKUXIgfDmSb8f7DixX4bme5afnnBmQNLM7p/9/nr2w/fvrwne//pI6MI0TQGbCh77bbx&#10;tMOwjbnng4qWKaPDM1JAYYH6YodC8vFMsjwkJsg5v66pkqDAYj5/fFGwqwkkg4WI6an0luVFy412&#10;mQFoYP8cExWm1B8p2e38rTamTNE4Nk7wNGgBJCZlINHSBmoPXc8ZmJ5UKlIskOiN7vLxDISx361N&#10;ZHvISqmf1OsiDir3W1quvQEcprwSmjRkdSIhG21bflXnL7vptHH0y9xNbOXVznfHQmLx02BL4kmE&#10;WTm/7svpn09l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y3Sz2AAAAAkBAAAPAAAAAAAAAAEA&#10;IAAAACIAAABkcnMvZG93bnJldi54bWxQSwECFAAUAAAACACHTuJAm6j5AdYBAAByAwAADgAAAAAA&#10;AAABACAAAAAnAQAAZHJzL2Uyb0RvYy54bWxQSwUGAAAAAAYABgBZAQAAbwU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4941570</wp:posOffset>
                      </wp:positionH>
                      <wp:positionV relativeFrom="paragraph">
                        <wp:posOffset>100330</wp:posOffset>
                      </wp:positionV>
                      <wp:extent cx="1905" cy="239395"/>
                      <wp:effectExtent l="9525" t="0" r="13970" b="1905"/>
                      <wp:wrapNone/>
                      <wp:docPr id="45" name="直接连接符 45"/>
                      <wp:cNvGraphicFramePr/>
                      <a:graphic xmlns:a="http://schemas.openxmlformats.org/drawingml/2006/main">
                        <a:graphicData uri="http://schemas.microsoft.com/office/word/2010/wordprocessingShape">
                          <wps:wsp>
                            <wps:cNvCnPr/>
                            <wps:spPr>
                              <a:xfrm>
                                <a:off x="0" y="0"/>
                                <a:ext cx="1905" cy="23939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89.1pt;margin-top:7.9pt;height:18.85pt;width:0.15pt;z-index:251673600;mso-width-relative:page;mso-height-relative:page;" filled="f" stroked="t" coordsize="21600,21600" o:gfxdata="UEsDBAoAAAAAAIdO4kAAAAAAAAAAAAAAAAAEAAAAZHJzL1BLAwQUAAAACACHTuJAcTOqaNkAAAAJ&#10;AQAADwAAAGRycy9kb3ducmV2LnhtbE2PzU7DMBCE70h9B2uRuFG7rULTEKdCSBVCgNS0PfToxtsk&#10;aryOYveHt2c5wXFnPs3O5Mub68QFh9B60jAZKxBIlbct1Rp229VjCiJEQ9Z0nlDDNwZYFqO73GTW&#10;X6nEyybWgkMoZEZDE2OfSRmqBp0JY98jsXf0gzORz6GWdjBXDnednCr1JJ1piT80psfXBqvT5uw0&#10;zD6+tmVcp7Qqj4vPN/+yT9+V1/rhfqKeQUS8xT8YfutzdSi408GfyQbRaZjP0ymjbCQ8gQEWEhAH&#10;DcksAVnk8v+C4gdQSwMEFAAAAAgAh07iQKRM2+3IAQAAaAMAAA4AAABkcnMvZTJvRG9jLnhtbK1T&#10;S44TMRDdI3EHy3vSnQygSSudWUw0bBBEAg5QcdvdlvyTy6STS3ABJHawYsme2zBzDMrukBlgh8ii&#10;Ytfnld+r6tXVwRq2lxG1dy2fz2rOpBO+065v+bu3N08uOcMErgPjnWz5USK/Wj9+tBpDIxd+8KaT&#10;kRGIw2YMLR9SCk1VoRikBZz5IB0FlY8WEl1jX3URRkK3plrU9fNq9LEL0QuJSN7NFOTrgq+UFOm1&#10;UigTMy2nt6ViY7G7bKv1Cpo+Qhi0OD0D/uEVFrSjpmeoDSRg76P+C8pqET16lWbC28orpYUsHIjN&#10;vP6DzZsBgixcSBwMZ5nw/8GKV/ttZLpr+dNnnDmwNKPbj99+fPh89/0T2duvXxhFSKYxYEPZ124b&#10;TzcM25g5H1S0+Z/YsEOR9niWVh4SE+ScL2vCFxRYXCwvlgWxui8NEdML6S3Lh5Yb7TJvaGD/EhO1&#10;o9RfKdnt/I02pszOODZO8DReAbRCykCiow1ECl3PGZiedlOkWCDRG93l8gyEsd9dm8j2kPej/DJX&#10;avdbWu69ARymvBKaNsfqROtrtG355cNq4wgkKzZplE873x2LdMVP4yxtTquX9+XhvVTffyD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EzqmjZAAAACQEAAA8AAAAAAAAAAQAgAAAAIgAAAGRycy9k&#10;b3ducmV2LnhtbFBLAQIUABQAAAAIAIdO4kCkTNvtyAEAAGgDAAAOAAAAAAAAAAEAIAAAACgBAABk&#10;cnMvZTJvRG9jLnhtbFBLBQYAAAAABgAGAFkBAABi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47625</wp:posOffset>
                      </wp:positionV>
                      <wp:extent cx="2405380" cy="3175"/>
                      <wp:effectExtent l="0" t="9525" r="7620" b="12700"/>
                      <wp:wrapNone/>
                      <wp:docPr id="60" name="直接连接符 60"/>
                      <wp:cNvGraphicFramePr/>
                      <a:graphic xmlns:a="http://schemas.openxmlformats.org/drawingml/2006/main">
                        <a:graphicData uri="http://schemas.microsoft.com/office/word/2010/wordprocessingShape">
                          <wps:wsp>
                            <wps:cNvCnPr/>
                            <wps:spPr>
                              <a:xfrm flipH="1">
                                <a:off x="0" y="0"/>
                                <a:ext cx="2405380" cy="3175"/>
                              </a:xfrm>
                              <a:prstGeom prst="line">
                                <a:avLst/>
                              </a:prstGeom>
                              <a:ln w="19050" cmpd="sng">
                                <a:solidFill>
                                  <a:srgbClr val="0070C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57.5pt;margin-top:3.75pt;height:0.25pt;width:189.4pt;z-index:251684864;mso-width-relative:page;mso-height-relative:page;" filled="f" stroked="t" coordsize="21600,21600" o:gfxdata="UEsDBAoAAAAAAIdO4kAAAAAAAAAAAAAAAAAEAAAAZHJzL1BLAwQUAAAACACHTuJAivGoZtcAAAAH&#10;AQAADwAAAGRycy9kb3ducmV2LnhtbE2PzU7DMBCE70i8g7VI3KgdqoYSsqkQEqq4lYJQj26y5Kfx&#10;OsROW96e5QTH0YxmvslXZ9erI42h9YyQzAwo4tJXLdcI72/PN0tQIVqubO+ZEL4pwKq4vMhtVvkT&#10;v9JxG2slJRwyi9DEOGRah7IhZ8PMD8TiffrR2ShyrHU12pOUu17fGpNqZ1uWhcYO9NRQedhODuFl&#10;M6WbtlvH7vGQfOx2bv2lO0a8vkrMA6hI5/gXhl98QYdCmPZ+4iqoHmGeLORLRLhbgBI/vZ/LlT3C&#10;0oAucv2fv/gBUEsDBBQAAAAIAIdO4kACv+tS2AEAAHMDAAAOAAAAZHJzL2Uyb0RvYy54bWytU0uO&#10;EzEQ3SNxB8t70k6GzIRWOrNINLBAEAnmABW33W3JP9kmnVyCCyCxgxVL9nMbhmNM2R3Cb4foRcmu&#10;Kj/Xe369vD4YTfYiROVsQ6cTRomw3LXKdg29fXvzZEFJTGBb0M6Khh5FpNerx4+Wg6/FzPVOtyIQ&#10;BLGxHnxD+5R8XVWR98JAnDgvLBalCwYSbkNXtQEGRDe6mjF2WQ0utD44LmLE7GYs0lXBl1Lw9FrK&#10;KBLRDcXZUomhxF2O1WoJdRfA94qfxoB/mMKAsnjpGWoDCci7oP6CMooHF51ME+5M5aRUXBQOyGbK&#10;/mDzpgcvChcUJ/qzTPH/wfJX+20gqm3oJcpjweAb3X/4+u39p+93HzHef/lMsIIyDT7W2L2223Da&#10;Rb8NmfNBBkOkVv4FOqCogLzIoYh8PIssDolwTM6esvnFAi/jWLuYXs0zeDWiZDQfYnounCF50VCt&#10;bJYAati/jGls/dGS09bdKK0xD7W2ZMAJnrF5Rgd0k9SQcGk88ou2owR0hzblKRTI6LRq8/F8OoZu&#10;t9aB7CFbhV2xdaGNk/3Wlu/eQOzHvlIaTWRUQidrZRq6YPk78dIW6WXxRrnyaufaY1Gx5PFliwAn&#10;F2br/Lovp3/+K6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vGoZtcAAAAHAQAADwAAAAAAAAAB&#10;ACAAAAAiAAAAZHJzL2Rvd25yZXYueG1sUEsBAhQAFAAAAAgAh07iQAK/61LYAQAAcwMAAA4AAAAA&#10;AAAAAQAgAAAAJgEAAGRycy9lMm9Eb2MueG1sUEsFBgAAAAAGAAYAWQEAAHAFAAAAAA==&#10;">
                      <v:fill on="f" focussize="0,0"/>
                      <v:stroke weight="1.5pt" color="#0070C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4414520</wp:posOffset>
                      </wp:positionH>
                      <wp:positionV relativeFrom="paragraph">
                        <wp:posOffset>94615</wp:posOffset>
                      </wp:positionV>
                      <wp:extent cx="819150" cy="270510"/>
                      <wp:effectExtent l="4445" t="4445" r="14605" b="17145"/>
                      <wp:wrapNone/>
                      <wp:docPr id="46" name="文本框 46"/>
                      <wp:cNvGraphicFramePr/>
                      <a:graphic xmlns:a="http://schemas.openxmlformats.org/drawingml/2006/main">
                        <a:graphicData uri="http://schemas.microsoft.com/office/word/2010/wordprocessingShape">
                          <wps:wsp>
                            <wps:cNvSpPr txBox="1"/>
                            <wps:spPr>
                              <a:xfrm>
                                <a:off x="0" y="0"/>
                                <a:ext cx="81915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东柳泵站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6pt;margin-top:7.45pt;height:21.3pt;width:64.5pt;z-index:251674624;mso-width-relative:page;mso-height-relative:page;" fillcolor="#FFFFFF [3201]" filled="t" stroked="t" coordsize="21600,21600" o:gfxdata="UEsDBAoAAAAAAIdO4kAAAAAAAAAAAAAAAAAEAAAAZHJzL1BLAwQUAAAACACHTuJA1RFcJ9YAAAAJ&#10;AQAADwAAAGRycy9kb3ducmV2LnhtbE2PwU7DMAyG70i8Q2Qkbixdt5atNJ0EEhLixtYLt6zx2orE&#10;qZJsHW+POcHR/j/9/lzvrs6KC4Y4elKwXGQgkDpvRuoVtIfXhw2ImDQZbT2hgm+MsGtub2pdGT/T&#10;B172qRdcQrHSCoaUpkrK2A3odFz4CYmzkw9OJx5DL03QM5c7K/MsK6XTI/GFQU/4MmD3tT87BW/l&#10;c/rE1rybVb7ycyu7cLJRqfu7ZfYEIuE1/cHwq8/q0LDT0Z/JRGEVlNsiZ5SD9RYEA5t8zYujguKx&#10;ANnU8v8HzQ9QSwMEFAAAAAgAh07iQNhuhJ49AgAAagQAAA4AAABkcnMvZTJvRG9jLnhtbK1UzW4T&#10;MRC+I/EOlu9ksyFJ26ibKrQKQqpopYI4O15vssLrMbaT3fAA8AacuHDnufocfHZ+WignxB6887ef&#10;Z76Z2fOLrtFso5yvyRQ87/U5U0ZSWZtlwd+/m7845cwHYUqhyaiCb5XnF9Pnz85bO1EDWpEulWMA&#10;MX7S2oKvQrCTLPNypRrhe2SVgbMi14gA1S2z0okW6I3OBv3+OGvJldaRVN7DerVz8mnCryolw01V&#10;eRWYLjhyC+l06VzEM5uei8nSCbuq5T4N8Q9ZNKI2uPQIdSWCYGtXP4FqaunIUxV6kpqMqqqWKtWA&#10;avL+H9XcrYRVqRaQ4+2RJv//YOXbza1jdVnw4ZgzIxr06P7b1/vvP+9/fGGwgaDW+gni7iwiQ/eK&#10;OjT6YPcwxrq7yjXxjYoY/KB6e6RXdYFJGE/zs3wEj4RrcNIf5Yn+7OFj63x4rahhUSi4Q/cSqWJz&#10;7QMSQeghJN7lSdflvNY6KW65uNSObQQ6PU9PzBGf/BamDWsLPn6JPJ5AROwjxEIL+fEpAvC0AWzk&#10;ZFd7lEK36PZELajcgidHu1HzVs5r4F4LH26Fw2yBAOxLuMFRaUIytJc4W5H7/Dd7jEfL4eWsxawW&#10;3H9aC6c4028MhuEsHw7jcCdlODoZQHGPPYvHHrNuLgkk5dhMK5MY44M+iJWj5gPWahZvhUsYibsL&#10;Hg7iZdhtENZSqtksBWGcrQjX5s7KCB3JNTRbB6rq1LpI046bPXsY6NSe/fLFjXmsp6iHX8T0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RXCfWAAAACQEAAA8AAAAAAAAAAQAgAAAAIgAAAGRycy9k&#10;b3ducmV2LnhtbFBLAQIUABQAAAAIAIdO4kDYboSePQIAAGoEAAAOAAAAAAAAAAEAIAAAACUBAABk&#10;cnMvZTJvRG9jLnhtbFBLBQYAAAAABgAGAFkBAADU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东柳泵站</w:t>
                            </w:r>
                          </w:p>
                        </w:txbxContent>
                      </v:textbox>
                    </v:shap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364490</wp:posOffset>
                      </wp:positionH>
                      <wp:positionV relativeFrom="paragraph">
                        <wp:posOffset>224790</wp:posOffset>
                      </wp:positionV>
                      <wp:extent cx="4059555" cy="635"/>
                      <wp:effectExtent l="0" t="9525" r="4445" b="15240"/>
                      <wp:wrapNone/>
                      <wp:docPr id="44" name="直接连接符 44"/>
                      <wp:cNvGraphicFramePr/>
                      <a:graphic xmlns:a="http://schemas.openxmlformats.org/drawingml/2006/main">
                        <a:graphicData uri="http://schemas.microsoft.com/office/word/2010/wordprocessingShape">
                          <wps:wsp>
                            <wps:cNvCnPr/>
                            <wps:spPr>
                              <a:xfrm flipV="1">
                                <a:off x="0" y="0"/>
                                <a:ext cx="4059555" cy="635"/>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7pt;margin-top:17.7pt;height:0.05pt;width:319.65pt;z-index:251672576;mso-width-relative:page;mso-height-relative:page;" filled="f" stroked="t" coordsize="21600,21600" o:gfxdata="UEsDBAoAAAAAAIdO4kAAAAAAAAAAAAAAAAAEAAAAZHJzL1BLAwQUAAAACACHTuJAewXcsNcAAAAI&#10;AQAADwAAAGRycy9kb3ducmV2LnhtbE2PMU/DMBCFdyT+g3VIbNRJSxIa4nRAYmRoYKCbG1/jQHyO&#10;Yjct/HquE51Od+/p3feqzdkNYsYp9J4UpIsEBFLrTU+dgo/314cnECFqMnrwhAp+MMCmvr2pdGn8&#10;ibY4N7ETHEKh1ApsjGMpZWgtOh0WfkRi7eAnpyOvUyfNpE8c7ga5TJJcOt0Tf7B6xBeL7XdzdAqa&#10;NEW5W63j19vh8zdmO1ss561S93dp8gwi4jn+m+GCz+hQM9PeH8kEMSjIikd2KlhlPFnP13kBYn85&#10;ZCDrSl4XqP8AUEsDBBQAAAAIAIdO4kArH6Kh0wEAAHIDAAAOAAAAZHJzL2Uyb0RvYy54bWytU0uO&#10;EzEQ3SNxB8t70j1DejTTSmcWEw0bBJH47Ctuu9uSf3KZdHIJLoDEDlYs2XObGY5B2QlhgB2iFyXX&#10;77nec/XiemcN28qI2ruOn81qzqQTvtdu6Pib17dPLjnDBK4H453s+F4iv14+frSYQivP/ehNLyMj&#10;EIftFDo+phTaqkIxSgs480E6SiofLSRy41D1ESZCt6Y6r+uLavKxD9ELiUjR1SHJlwVfKSnSS6VQ&#10;JmY6TrOlYmOxm2yr5QLaIUIYtTiOAf8whQXt6NIT1AoSsHdR/wVltYgevUoz4W3lldJCFg7E5qz+&#10;g82rEYIsXEgcDCeZ8P/BihfbdWS67/h8zpkDS290/+Hr3ftP3799JHv/5TOjDMk0BWyp+sat49HD&#10;sI6Z805Fy5TR4S1tQFGBeLFdEXl/ElnuEhMUnNfNVdM0nAnKXTxtMnZ1AMlgIWJ6Jr1l+dBxo11W&#10;AFrYPsd0KP1ZksPO32pjKA6tcWyiAa7qhh5aAC2TMpDoaAPRQzdwBmagLRUpFkj0Rve5PXdjHDY3&#10;JrIt5E0p33Gy38ry3SvA8VBXUrkMWqsTLbLRtuOXD7uNI3pZu4Na+bTx/b6IWOL0sEWA4xLmzXno&#10;l+5fv8r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sF3LDXAAAACAEAAA8AAAAAAAAAAQAgAAAA&#10;IgAAAGRycy9kb3ducmV2LnhtbFBLAQIUABQAAAAIAIdO4kArH6Kh0wEAAHIDAAAOAAAAAAAAAAEA&#10;IAAAACYBAABkcnMvZTJvRG9jLnhtbFBLBQYAAAAABgAGAFkBAABrBQAAAAA=&#10;">
                      <v:fill on="f" focussize="0,0"/>
                      <v:stroke weight="1.5pt" color="#000000 [3213]" miterlimit="8" joinstyle="miter"/>
                      <v:imagedata o:title=""/>
                      <o:lock v:ext="edit" aspectratio="f"/>
                    </v:lin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1779270</wp:posOffset>
                      </wp:positionH>
                      <wp:positionV relativeFrom="paragraph">
                        <wp:posOffset>123825</wp:posOffset>
                      </wp:positionV>
                      <wp:extent cx="1244600" cy="270510"/>
                      <wp:effectExtent l="4445" t="4445" r="8255" b="17145"/>
                      <wp:wrapNone/>
                      <wp:docPr id="72" name="文本框 72"/>
                      <wp:cNvGraphicFramePr/>
                      <a:graphic xmlns:a="http://schemas.openxmlformats.org/drawingml/2006/main">
                        <a:graphicData uri="http://schemas.microsoft.com/office/word/2010/wordprocessingShape">
                          <wps:wsp>
                            <wps:cNvSpPr txBox="1"/>
                            <wps:spPr>
                              <a:xfrm>
                                <a:off x="0" y="0"/>
                                <a:ext cx="124460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接市政污水管道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9.75pt;height:21.3pt;width:98pt;z-index:251695104;mso-width-relative:page;mso-height-relative:page;" fillcolor="#FFFFFF [3201]" filled="t" stroked="t" coordsize="21600,21600" o:gfxdata="UEsDBAoAAAAAAIdO4kAAAAAAAAAAAAAAAAAEAAAAZHJzL1BLAwQUAAAACACHTuJAu6ujW9UAAAAJ&#10;AQAADwAAAGRycy9kb3ducmV2LnhtbE2PwU7DMAyG70i8Q2QkbixpBmWUppNAQkLcGL1wyxqvrUic&#10;qsnW8faYExzt/9Pvz/X2HLw44ZzGSAaKlQKB1EU3Um+g/Xi52YBI2ZKzPhIa+MYE2+byoraViwu9&#10;42mXe8EllCprYMh5qqRM3YDBplWckDg7xDnYzOPcSzfbhcuDl1qpUgY7El8Y7ITPA3Zfu2Mw8Fo+&#10;5U9s3Ztb63VcWtnNB5+Mub4q1COIjOf8B8OvPqtDw077eCSXhDegN0ozysHDHQgGbu9LXuwNlLoA&#10;2dTy/wfND1BLAwQUAAAACACHTuJA+YO6Iz8CAABrBAAADgAAAGRycy9lMm9Eb2MueG1srVTNjtMw&#10;EL4j8Q6W7zRpaLtQNV2VroqQKnalgjg7jtNYOB5ju03KA7BvwIkLd56rz8HY/dkuywnRgzt//jzz&#10;zUwm112jyFZYJ0HntN9LKRGaQyn1OqcfPyxevKLEeaZLpkCLnO6Eo9fT588mrRmLDGpQpbAEQbQb&#10;tyantfdmnCSO16JhrgdGaHRWYBvmUbXrpLSsRfRGJVmajpIWbGkscOEcWm8OTjqN+FUluL+tKic8&#10;UTnF3Hw8bTyLcCbTCRuvLTO15Mc02D9k0TCp8dEz1A3zjGysfALVSG7BQeV7HJoEqkpyEWvAavrp&#10;H9WsamZErAXJceZMk/t/sPz99s4SWeb0KqNEswZ7tP9+v//xa//zG0EbEtQaN8a4lcFI372BDht9&#10;sjs0hrq7yjbhHysi6Eeqd2d6RecJD5eywWCUooujL7tKh/3If/Jw21jn3wpoSBByarF9kVW2XTqP&#10;mWDoKSQ85kDJciGViopdF3NlyZZhqxfxF5LEK4/ClCZtTkcvh2lEfuQL2GeIQjH++SkC4imNsIGU&#10;Q/FB8l3RHZkqoNwhURYOs+YMX0jEXTLn75jF4UICcGH8LR6VAkwGjhIlNdivf7OHeOw5eilpcVhz&#10;6r5smBWUqHcap+F1fzAI0x2VwfAqQ8VeeopLj940c0CS+riahkcxxHt1EisLzSfcq1l4FV1Mc3w7&#10;p/4kzv1hhXAvuZjNYhDOs2F+qVeGB+jQEg2zjYdKxtYFmg7cHNnDiY7tOW5fWJlLPUY9fCO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7q6Nb1QAAAAkBAAAPAAAAAAAAAAEAIAAAACIAAABkcnMv&#10;ZG93bnJldi54bWxQSwECFAAUAAAACACHTuJA+YO6Iz8CAABrBAAADgAAAAAAAAABACAAAAAkAQAA&#10;ZHJzL2Uyb0RvYy54bWxQSwUGAAAAAAYABgBZAQAA1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接市政污水管道</w:t>
                            </w:r>
                          </w:p>
                        </w:txbxContent>
                      </v:textbox>
                    </v:shape>
                  </w:pict>
                </mc:Fallback>
              </mc:AlternateContent>
            </w:r>
          </w:p>
          <w:p>
            <w:pPr>
              <w:spacing w:line="360" w:lineRule="auto"/>
              <w:ind w:firstLine="480" w:firstLineChars="200"/>
              <w:rPr>
                <w:rFonts w:hint="eastAsia" w:ascii="Times New Roman" w:hAnsi="Times New Roman"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图2-1 本项目主要建设内容与关联工程关系示意图</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en-US" w:eastAsia="zh-CN"/>
              </w:rPr>
              <w:t>本项目原水由乌木滩水库取水，原水由</w:t>
            </w:r>
            <w:r>
              <w:rPr>
                <w:rFonts w:hint="eastAsia" w:cs="Times New Roman"/>
                <w:b w:val="0"/>
                <w:bCs w:val="0"/>
                <w:color w:val="auto"/>
                <w:sz w:val="24"/>
                <w:lang w:val="en-US" w:eastAsia="zh-CN"/>
              </w:rPr>
              <w:t>老</w:t>
            </w:r>
            <w:r>
              <w:rPr>
                <w:rFonts w:hint="eastAsia" w:ascii="Times New Roman" w:hAnsi="Times New Roman" w:eastAsia="宋体" w:cs="Times New Roman"/>
                <w:b w:val="0"/>
                <w:bCs w:val="0"/>
                <w:color w:val="auto"/>
                <w:sz w:val="24"/>
                <w:lang w:val="en-US" w:eastAsia="zh-CN"/>
              </w:rPr>
              <w:t>东柳水厂已建进水管道接入</w:t>
            </w:r>
            <w:r>
              <w:rPr>
                <w:rFonts w:hint="eastAsia" w:ascii="Times New Roman" w:hAnsi="Times New Roman" w:eastAsia="宋体" w:cs="Times New Roman"/>
                <w:color w:val="auto"/>
                <w:sz w:val="24"/>
                <w:lang w:val="en-US" w:eastAsia="zh-CN"/>
              </w:rPr>
              <w:t>乌木滩水库原水深度处理工程一体化设备</w:t>
            </w:r>
            <w:r>
              <w:rPr>
                <w:rFonts w:hint="eastAsia" w:ascii="Times New Roman" w:hAnsi="Times New Roman" w:eastAsia="宋体" w:cs="Times New Roman"/>
                <w:b w:val="0"/>
                <w:bCs w:val="0"/>
                <w:color w:val="auto"/>
                <w:sz w:val="24"/>
                <w:lang w:val="en-US" w:eastAsia="zh-CN"/>
              </w:rPr>
              <w:t>，本项目建设内容不含取水建（构）筑物、引水管道，</w:t>
            </w:r>
            <w:r>
              <w:rPr>
                <w:color w:val="auto"/>
                <w:sz w:val="24"/>
              </w:rPr>
              <w:t>根据《建设项目环境影响评价分类管理名录》（2021年版）部分内容的要求，判定本项目类别属于</w:t>
            </w:r>
            <w:bookmarkStart w:id="9" w:name="_Hlk105713853"/>
            <w:r>
              <w:rPr>
                <w:rFonts w:hint="eastAsia" w:ascii="宋体" w:hAnsi="宋体" w:eastAsia="宋体" w:cs="宋体"/>
                <w:color w:val="auto"/>
                <w:sz w:val="24"/>
              </w:rPr>
              <w:t>“</w:t>
            </w:r>
            <w:r>
              <w:rPr>
                <w:color w:val="auto"/>
                <w:sz w:val="24"/>
              </w:rPr>
              <w:t>四十三、水的生产和供应业——94、自来水生产和供应461——全部</w:t>
            </w:r>
            <w:r>
              <w:rPr>
                <w:rFonts w:hint="eastAsia" w:ascii="宋体" w:hAnsi="宋体" w:eastAsia="宋体" w:cs="宋体"/>
                <w:color w:val="auto"/>
                <w:sz w:val="24"/>
              </w:rPr>
              <w:t>”</w:t>
            </w:r>
            <w:r>
              <w:rPr>
                <w:color w:val="auto"/>
                <w:sz w:val="24"/>
              </w:rPr>
              <w:t>，</w:t>
            </w:r>
            <w:bookmarkEnd w:id="9"/>
            <w:r>
              <w:rPr>
                <w:color w:val="auto"/>
                <w:sz w:val="24"/>
              </w:rPr>
              <w:t>应编制</w:t>
            </w:r>
            <w:r>
              <w:rPr>
                <w:b/>
                <w:bCs/>
                <w:color w:val="auto"/>
                <w:sz w:val="24"/>
                <w:u w:val="single"/>
              </w:rPr>
              <w:t>环境影响报告表</w:t>
            </w:r>
            <w:r>
              <w:rPr>
                <w:color w:val="auto"/>
                <w:sz w:val="24"/>
              </w:rPr>
              <w:t>。</w:t>
            </w:r>
            <w:r>
              <w:rPr>
                <w:rFonts w:hint="eastAsia" w:ascii="Times New Roman" w:hAnsi="Times New Roman" w:eastAsia="宋体" w:cs="Times New Roman"/>
                <w:color w:val="auto"/>
                <w:sz w:val="24"/>
              </w:rPr>
              <w:t>为此，</w:t>
            </w:r>
            <w:r>
              <w:rPr>
                <w:rFonts w:hint="eastAsia" w:cs="Times New Roman"/>
                <w:color w:val="auto"/>
                <w:sz w:val="24"/>
                <w:lang w:val="en-US" w:eastAsia="zh-CN"/>
              </w:rPr>
              <w:t>大竹县盛洁城乡供排水有限公司)</w:t>
            </w:r>
            <w:r>
              <w:rPr>
                <w:rFonts w:hint="eastAsia" w:ascii="Times New Roman" w:hAnsi="Times New Roman" w:eastAsia="宋体" w:cs="Times New Roman"/>
                <w:color w:val="auto"/>
                <w:sz w:val="24"/>
              </w:rPr>
              <w:t>（以下简称“建设单位”）委托成都艺博环美环保科技有限公司（以下简称“我单位”）开展该项目的环境影响评价工作。</w:t>
            </w:r>
          </w:p>
          <w:p>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由于情况紧迫，本项目已于2022年12月底动工建设，并于2023年1月建成投运，2023年</w:t>
            </w: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月乌木滩水库水质经监测达标</w:t>
            </w:r>
            <w:r>
              <w:rPr>
                <w:rFonts w:hint="eastAsia" w:cs="Times New Roman"/>
                <w:b/>
                <w:bCs/>
                <w:color w:val="auto"/>
                <w:sz w:val="24"/>
                <w:lang w:val="en-US" w:eastAsia="zh-CN"/>
              </w:rPr>
              <w:t>（监测报告见附件）</w:t>
            </w:r>
            <w:r>
              <w:rPr>
                <w:rFonts w:hint="eastAsia" w:ascii="Times New Roman" w:hAnsi="Times New Roman" w:eastAsia="宋体" w:cs="Times New Roman"/>
                <w:b/>
                <w:bCs/>
                <w:color w:val="auto"/>
                <w:sz w:val="24"/>
                <w:lang w:val="en-US" w:eastAsia="zh-CN"/>
              </w:rPr>
              <w:t>恢复供水，本项目自2023年</w:t>
            </w: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月停运至今。</w:t>
            </w:r>
            <w:r>
              <w:rPr>
                <w:rFonts w:hint="eastAsia" w:ascii="Times New Roman" w:hAnsi="Times New Roman" w:eastAsia="宋体" w:cs="Times New Roman"/>
                <w:color w:val="auto"/>
                <w:sz w:val="24"/>
                <w:lang w:val="en-US" w:eastAsia="zh-CN"/>
              </w:rPr>
              <w:t>根据2023年1月13日大竹县人民政府办公室出具的《大竹县人民政府常务会议决定事项的通知》（竹府定字〔2023</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41号），大竹县人民政府同意将本项目纳入抢险救灾工程。根据《四川省抢险救灾工程项目管理办法》（川办发〔2020〕37号）规定：“抢险救灾工程项目，根据法律规定应当办理审批手续而因特殊情况无法及时办理的，可在开工后补办”；根据《大竹县抢险救灾工程项目管理办法》（竹府办〔2020〕6号）规定：“依照本暂行办法确定的抢险救灾工程项目，项目依法需办理的各项审批手续，各有关部门应在职权范围内对立项、规划、用地、施工许可等事项，实行并联审批，及时办理。因特殊情况开工前未办理的，可在开工后补办”。</w:t>
            </w:r>
            <w:r>
              <w:rPr>
                <w:rFonts w:hint="eastAsia" w:ascii="Times New Roman" w:hAnsi="Times New Roman" w:eastAsia="宋体" w:cs="Times New Roman"/>
                <w:b/>
                <w:bCs/>
                <w:color w:val="auto"/>
                <w:sz w:val="24"/>
                <w:lang w:val="en-US" w:eastAsia="zh-CN"/>
              </w:rPr>
              <w:t>因此，本次环评属于补办环评。</w:t>
            </w:r>
          </w:p>
          <w:bookmarkEnd w:id="8"/>
          <w:p>
            <w:pPr>
              <w:adjustRightInd w:val="0"/>
              <w:snapToGrid w:val="0"/>
              <w:spacing w:line="360" w:lineRule="auto"/>
              <w:rPr>
                <w:rFonts w:hint="default" w:eastAsia="宋体"/>
                <w:b/>
                <w:color w:val="auto"/>
                <w:sz w:val="24"/>
                <w:lang w:val="en-US" w:eastAsia="zh-CN"/>
              </w:rPr>
            </w:pPr>
            <w:r>
              <w:rPr>
                <w:b/>
                <w:color w:val="auto"/>
                <w:sz w:val="24"/>
              </w:rPr>
              <w:t>二、项目</w:t>
            </w:r>
            <w:r>
              <w:rPr>
                <w:rFonts w:hint="eastAsia"/>
                <w:b/>
                <w:color w:val="auto"/>
                <w:sz w:val="24"/>
                <w:lang w:val="en-US" w:eastAsia="zh-CN"/>
              </w:rPr>
              <w:t>建设概况</w:t>
            </w:r>
          </w:p>
          <w:p>
            <w:pPr>
              <w:spacing w:line="360" w:lineRule="auto"/>
              <w:ind w:firstLine="482" w:firstLineChars="200"/>
              <w:rPr>
                <w:rFonts w:hint="default" w:eastAsia="宋体"/>
                <w:b/>
                <w:color w:val="auto"/>
                <w:sz w:val="24"/>
                <w:szCs w:val="20"/>
                <w:lang w:val="en-US" w:eastAsia="zh-CN"/>
              </w:rPr>
            </w:pPr>
            <w:r>
              <w:rPr>
                <w:rFonts w:hint="eastAsia"/>
                <w:b/>
                <w:color w:val="auto"/>
                <w:sz w:val="24"/>
                <w:szCs w:val="20"/>
                <w:lang w:val="en-US" w:eastAsia="zh-CN"/>
              </w:rPr>
              <w:t>1、项目基本情况</w:t>
            </w:r>
          </w:p>
          <w:p>
            <w:pPr>
              <w:spacing w:line="360" w:lineRule="auto"/>
              <w:ind w:firstLine="482" w:firstLineChars="200"/>
              <w:rPr>
                <w:rFonts w:hint="eastAsia" w:eastAsia="宋体"/>
                <w:color w:val="auto"/>
                <w:sz w:val="24"/>
                <w:szCs w:val="20"/>
                <w:lang w:eastAsia="zh-CN"/>
              </w:rPr>
            </w:pPr>
            <w:r>
              <w:rPr>
                <w:b/>
                <w:color w:val="auto"/>
                <w:sz w:val="24"/>
                <w:szCs w:val="20"/>
              </w:rPr>
              <w:t>项目名称</w:t>
            </w:r>
            <w:r>
              <w:rPr>
                <w:color w:val="auto"/>
                <w:sz w:val="24"/>
                <w:szCs w:val="20"/>
              </w:rPr>
              <w:t>：</w:t>
            </w:r>
            <w:r>
              <w:rPr>
                <w:rFonts w:hint="eastAsia"/>
                <w:color w:val="auto"/>
                <w:sz w:val="24"/>
                <w:szCs w:val="20"/>
                <w:lang w:eastAsia="zh-CN"/>
              </w:rPr>
              <w:t>乌木滩水库原水深度处理工程（输水、排水、加压系统配套设施建设工程部分)</w:t>
            </w:r>
          </w:p>
          <w:p>
            <w:pPr>
              <w:spacing w:line="360" w:lineRule="auto"/>
              <w:ind w:firstLine="482" w:firstLineChars="200"/>
              <w:rPr>
                <w:rFonts w:hint="eastAsia" w:eastAsia="宋体"/>
                <w:color w:val="auto"/>
                <w:sz w:val="24"/>
                <w:szCs w:val="20"/>
                <w:lang w:eastAsia="zh-CN"/>
              </w:rPr>
            </w:pPr>
            <w:r>
              <w:rPr>
                <w:b/>
                <w:color w:val="auto"/>
                <w:sz w:val="24"/>
                <w:szCs w:val="20"/>
              </w:rPr>
              <w:t>建设性质</w:t>
            </w:r>
            <w:r>
              <w:rPr>
                <w:color w:val="auto"/>
                <w:sz w:val="24"/>
                <w:szCs w:val="20"/>
              </w:rPr>
              <w:t>：新建</w:t>
            </w:r>
            <w:r>
              <w:rPr>
                <w:rFonts w:hint="eastAsia"/>
                <w:color w:val="auto"/>
                <w:sz w:val="24"/>
                <w:szCs w:val="20"/>
                <w:lang w:eastAsia="zh-CN"/>
              </w:rPr>
              <w:t>（</w:t>
            </w:r>
            <w:r>
              <w:rPr>
                <w:rFonts w:hint="eastAsia"/>
                <w:color w:val="auto"/>
                <w:sz w:val="24"/>
                <w:szCs w:val="20"/>
                <w:lang w:val="en-US" w:eastAsia="zh-CN"/>
              </w:rPr>
              <w:t>补评</w:t>
            </w:r>
            <w:r>
              <w:rPr>
                <w:rFonts w:hint="eastAsia"/>
                <w:color w:val="auto"/>
                <w:sz w:val="24"/>
                <w:szCs w:val="20"/>
                <w:lang w:eastAsia="zh-CN"/>
              </w:rPr>
              <w:t>）</w:t>
            </w:r>
          </w:p>
          <w:p>
            <w:pPr>
              <w:spacing w:line="360" w:lineRule="auto"/>
              <w:ind w:firstLine="482" w:firstLineChars="200"/>
              <w:textAlignment w:val="baseline"/>
              <w:rPr>
                <w:rFonts w:hint="default"/>
                <w:color w:val="auto"/>
                <w:sz w:val="24"/>
                <w:szCs w:val="20"/>
                <w:lang w:val="en-US"/>
              </w:rPr>
            </w:pPr>
            <w:r>
              <w:rPr>
                <w:b/>
                <w:color w:val="auto"/>
                <w:sz w:val="24"/>
                <w:szCs w:val="20"/>
              </w:rPr>
              <w:t>建设地点</w:t>
            </w:r>
            <w:r>
              <w:rPr>
                <w:color w:val="auto"/>
                <w:sz w:val="24"/>
                <w:szCs w:val="20"/>
              </w:rPr>
              <w:t>：</w:t>
            </w:r>
            <w:r>
              <w:rPr>
                <w:bCs/>
                <w:color w:val="auto"/>
                <w:sz w:val="24"/>
                <w:szCs w:val="20"/>
              </w:rPr>
              <w:t>达州市大竹县</w:t>
            </w:r>
            <w:r>
              <w:rPr>
                <w:rFonts w:hint="eastAsia"/>
                <w:bCs/>
                <w:color w:val="auto"/>
                <w:sz w:val="24"/>
                <w:szCs w:val="20"/>
                <w:lang w:val="en-US" w:eastAsia="zh-CN"/>
              </w:rPr>
              <w:t>大竹经济开发区经开大道、乌木镇</w:t>
            </w:r>
          </w:p>
          <w:p>
            <w:pPr>
              <w:pStyle w:val="84"/>
              <w:keepNext w:val="0"/>
              <w:keepLines w:val="0"/>
              <w:pageBreakBefore w:val="0"/>
              <w:kinsoku/>
              <w:wordWrap/>
              <w:overflowPunct/>
              <w:topLinePunct w:val="0"/>
              <w:autoSpaceDE/>
              <w:autoSpaceDN/>
              <w:bidi w:val="0"/>
              <w:snapToGrid/>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项目行业类别：</w:t>
            </w:r>
            <w:r>
              <w:rPr>
                <w:rFonts w:hint="eastAsia" w:ascii="Times New Roman" w:hAnsi="Times New Roman" w:eastAsia="宋体" w:cs="Times New Roman"/>
                <w:bCs/>
                <w:color w:val="auto"/>
                <w:kern w:val="2"/>
                <w:sz w:val="24"/>
                <w:szCs w:val="20"/>
                <w:lang w:val="en-US" w:eastAsia="zh-CN" w:bidi="ar-SA"/>
              </w:rPr>
              <w:t>D4610自来水生产和供应</w:t>
            </w:r>
          </w:p>
          <w:p>
            <w:pPr>
              <w:pStyle w:val="84"/>
              <w:keepNext w:val="0"/>
              <w:keepLines w:val="0"/>
              <w:pageBreakBefore w:val="0"/>
              <w:kinsoku/>
              <w:wordWrap/>
              <w:overflowPunct/>
              <w:topLinePunct w:val="0"/>
              <w:autoSpaceDE/>
              <w:autoSpaceDN/>
              <w:bidi w:val="0"/>
              <w:snapToGrid/>
              <w:spacing w:line="360" w:lineRule="auto"/>
              <w:ind w:firstLine="482" w:firstLineChars="200"/>
              <w:rPr>
                <w:rFonts w:hint="eastAsia" w:ascii="Times New Roman" w:hAnsi="Times New Roman" w:eastAsia="宋体"/>
                <w:color w:val="auto"/>
                <w:lang w:eastAsia="zh-CN"/>
              </w:rPr>
            </w:pPr>
            <w:r>
              <w:rPr>
                <w:rFonts w:ascii="Times New Roman" w:hAnsi="Times New Roman"/>
                <w:b/>
                <w:color w:val="auto"/>
              </w:rPr>
              <w:t>建设性质：</w:t>
            </w:r>
            <w:r>
              <w:rPr>
                <w:rFonts w:hint="eastAsia"/>
                <w:color w:val="auto"/>
                <w:lang w:val="en-US" w:eastAsia="zh-CN"/>
              </w:rPr>
              <w:t>新建（补评）</w:t>
            </w:r>
          </w:p>
          <w:p>
            <w:pPr>
              <w:pStyle w:val="84"/>
              <w:keepNext w:val="0"/>
              <w:keepLines w:val="0"/>
              <w:pageBreakBefore w:val="0"/>
              <w:kinsoku/>
              <w:wordWrap/>
              <w:overflowPunct/>
              <w:topLinePunct w:val="0"/>
              <w:autoSpaceDE/>
              <w:autoSpaceDN/>
              <w:bidi w:val="0"/>
              <w:snapToGrid/>
              <w:spacing w:line="360" w:lineRule="auto"/>
              <w:ind w:firstLine="480" w:firstLineChars="200"/>
              <w:rPr>
                <w:rFonts w:hint="eastAsia" w:ascii="Times New Roman" w:hAnsi="Times New Roman" w:eastAsia="宋体" w:cs="Times New Roman"/>
                <w:color w:val="auto"/>
                <w:lang w:val="en-US" w:eastAsia="zh-CN"/>
              </w:rPr>
            </w:pPr>
            <w:bookmarkStart w:id="10" w:name="_Toc115259826"/>
            <w:bookmarkStart w:id="11" w:name="_Toc78362457"/>
            <w:bookmarkStart w:id="12" w:name="_Toc114997747"/>
            <w:bookmarkStart w:id="13" w:name="_Toc88466703"/>
            <w:bookmarkStart w:id="14" w:name="_Toc82857203"/>
            <w:r>
              <w:rPr>
                <w:rFonts w:hint="eastAsia" w:ascii="Times New Roman" w:hAnsi="Times New Roman" w:eastAsia="宋体" w:cs="Times New Roman"/>
                <w:color w:val="auto"/>
                <w:lang w:val="en-US" w:eastAsia="zh-CN"/>
              </w:rPr>
              <w:t>投资总额</w:t>
            </w:r>
            <w:bookmarkEnd w:id="10"/>
            <w:bookmarkEnd w:id="11"/>
            <w:bookmarkEnd w:id="12"/>
            <w:bookmarkEnd w:id="13"/>
            <w:bookmarkEnd w:id="14"/>
            <w:r>
              <w:rPr>
                <w:rFonts w:hint="eastAsia" w:ascii="Times New Roman" w:hAnsi="Times New Roman" w:eastAsia="宋体" w:cs="Times New Roman"/>
                <w:color w:val="auto"/>
                <w:lang w:val="en-US" w:eastAsia="zh-CN"/>
              </w:rPr>
              <w:t>：</w:t>
            </w:r>
            <w:r>
              <w:rPr>
                <w:rFonts w:hint="eastAsia" w:cs="Times New Roman"/>
                <w:color w:val="auto"/>
                <w:lang w:val="en-US" w:eastAsia="zh-CN"/>
              </w:rPr>
              <w:t>679.67</w:t>
            </w:r>
            <w:r>
              <w:rPr>
                <w:rFonts w:hint="eastAsia" w:ascii="Times New Roman" w:hAnsi="Times New Roman" w:eastAsia="宋体" w:cs="Times New Roman"/>
                <w:color w:val="auto"/>
                <w:lang w:val="en-US" w:eastAsia="zh-CN"/>
              </w:rPr>
              <w:t>万元</w:t>
            </w:r>
          </w:p>
          <w:p>
            <w:pPr>
              <w:pStyle w:val="84"/>
              <w:keepNext w:val="0"/>
              <w:keepLines w:val="0"/>
              <w:pageBreakBefore w:val="0"/>
              <w:kinsoku/>
              <w:wordWrap/>
              <w:overflowPunct/>
              <w:topLinePunct w:val="0"/>
              <w:autoSpaceDE/>
              <w:autoSpaceDN/>
              <w:bidi w:val="0"/>
              <w:snapToGrid/>
              <w:spacing w:line="360" w:lineRule="auto"/>
              <w:ind w:firstLine="482" w:firstLineChars="200"/>
              <w:rPr>
                <w:rFonts w:ascii="Times New Roman" w:hAnsi="Times New Roman"/>
                <w:color w:val="auto"/>
                <w:sz w:val="24"/>
                <w:szCs w:val="24"/>
              </w:rPr>
            </w:pPr>
            <w:r>
              <w:rPr>
                <w:rFonts w:hint="eastAsia" w:ascii="Times New Roman" w:hAnsi="Times New Roman"/>
                <w:b/>
                <w:color w:val="auto"/>
                <w:lang w:val="en-US" w:eastAsia="zh-CN"/>
              </w:rPr>
              <w:t>占地面积</w:t>
            </w:r>
            <w:r>
              <w:rPr>
                <w:rFonts w:ascii="Times New Roman" w:hAnsi="Times New Roman"/>
                <w:b/>
                <w:color w:val="auto"/>
              </w:rPr>
              <w:t>：</w:t>
            </w:r>
            <w:r>
              <w:rPr>
                <w:rFonts w:hint="eastAsia"/>
                <w:color w:val="auto"/>
                <w:sz w:val="24"/>
                <w:szCs w:val="24"/>
                <w:lang w:val="en-US" w:eastAsia="zh-CN"/>
              </w:rPr>
              <w:t>844.3</w:t>
            </w:r>
            <w:r>
              <w:rPr>
                <w:rFonts w:hint="eastAsia"/>
                <w:b w:val="0"/>
                <w:bCs w:val="0"/>
                <w:color w:val="auto"/>
                <w:sz w:val="24"/>
                <w:szCs w:val="24"/>
                <w:lang w:val="en-US" w:eastAsia="zh-CN"/>
              </w:rPr>
              <w:t>6m</w:t>
            </w:r>
            <w:r>
              <w:rPr>
                <w:rFonts w:hint="eastAsia"/>
                <w:b w:val="0"/>
                <w:bCs w:val="0"/>
                <w:color w:val="auto"/>
                <w:sz w:val="24"/>
                <w:szCs w:val="24"/>
                <w:vertAlign w:val="superscript"/>
                <w:lang w:val="en-US" w:eastAsia="zh-CN"/>
              </w:rPr>
              <w:t>2</w:t>
            </w:r>
            <w:r>
              <w:rPr>
                <w:rFonts w:ascii="Times New Roman" w:hAnsi="Times New Roman"/>
                <w:b w:val="0"/>
                <w:bCs w:val="0"/>
                <w:color w:val="auto"/>
                <w:sz w:val="24"/>
                <w:szCs w:val="24"/>
              </w:rPr>
              <w:t>；</w:t>
            </w:r>
          </w:p>
          <w:p>
            <w:pPr>
              <w:spacing w:line="360" w:lineRule="auto"/>
              <w:ind w:firstLine="482" w:firstLineChars="200"/>
              <w:rPr>
                <w:rFonts w:hint="default" w:eastAsia="宋体"/>
                <w:b/>
                <w:color w:val="auto"/>
                <w:sz w:val="24"/>
                <w:szCs w:val="20"/>
                <w:lang w:val="en-US" w:eastAsia="zh-CN"/>
              </w:rPr>
            </w:pPr>
            <w:r>
              <w:rPr>
                <w:rFonts w:hint="eastAsia"/>
                <w:b/>
                <w:color w:val="auto"/>
                <w:sz w:val="24"/>
                <w:szCs w:val="20"/>
                <w:lang w:val="en-US" w:eastAsia="zh-CN"/>
              </w:rPr>
              <w:t>2、项目主要任务</w:t>
            </w:r>
          </w:p>
          <w:p>
            <w:pPr>
              <w:pStyle w:val="84"/>
              <w:keepNext w:val="0"/>
              <w:keepLines w:val="0"/>
              <w:pageBreakBefore w:val="0"/>
              <w:kinsoku/>
              <w:wordWrap/>
              <w:overflowPunct/>
              <w:topLinePunct w:val="0"/>
              <w:autoSpaceDE/>
              <w:autoSpaceDN/>
              <w:bidi w:val="0"/>
              <w:snapToGrid/>
              <w:spacing w:line="360" w:lineRule="auto"/>
              <w:rPr>
                <w:rFonts w:hint="eastAsia" w:ascii="Times New Roman" w:hAnsi="Times New Roman" w:eastAsia="宋体" w:cs="Times New Roman"/>
                <w:bCs/>
                <w:color w:val="auto"/>
                <w:kern w:val="2"/>
                <w:sz w:val="24"/>
                <w:szCs w:val="20"/>
                <w:lang w:val="en-US" w:eastAsia="zh-CN" w:bidi="ar-SA"/>
              </w:rPr>
            </w:pPr>
            <w:r>
              <w:rPr>
                <w:rFonts w:hint="eastAsia" w:cs="Times New Roman"/>
                <w:color w:val="auto"/>
                <w:sz w:val="24"/>
                <w:lang w:val="en-US" w:eastAsia="zh-CN"/>
              </w:rPr>
              <w:t>将</w:t>
            </w:r>
            <w:r>
              <w:rPr>
                <w:rFonts w:hint="eastAsia" w:ascii="Times New Roman" w:hAnsi="Times New Roman" w:eastAsia="宋体" w:cs="Times New Roman"/>
                <w:bCs/>
                <w:color w:val="auto"/>
                <w:kern w:val="2"/>
                <w:sz w:val="24"/>
                <w:szCs w:val="20"/>
                <w:lang w:val="en-US" w:eastAsia="zh-CN" w:bidi="ar-SA"/>
              </w:rPr>
              <w:t>乌木滩水库</w:t>
            </w:r>
            <w:r>
              <w:rPr>
                <w:rFonts w:hint="eastAsia" w:cs="Times New Roman"/>
                <w:bCs/>
                <w:color w:val="auto"/>
                <w:kern w:val="2"/>
                <w:sz w:val="24"/>
                <w:szCs w:val="20"/>
                <w:lang w:val="en-US" w:eastAsia="zh-CN" w:bidi="ar-SA"/>
              </w:rPr>
              <w:t>原水深度净化达到《</w:t>
            </w:r>
            <w:r>
              <w:rPr>
                <w:rFonts w:hint="eastAsia" w:ascii="Times New Roman" w:hAnsi="Times New Roman" w:eastAsia="宋体" w:cs="Times New Roman"/>
                <w:bCs/>
                <w:color w:val="auto"/>
                <w:kern w:val="2"/>
                <w:sz w:val="24"/>
                <w:szCs w:val="20"/>
                <w:lang w:val="en-US" w:eastAsia="zh-CN" w:bidi="ar-SA"/>
              </w:rPr>
              <w:t>地表水环境质量标准》（GB3838-2002）III类标准</w:t>
            </w:r>
            <w:r>
              <w:rPr>
                <w:rFonts w:hint="eastAsia" w:cs="Times New Roman"/>
                <w:bCs/>
                <w:color w:val="auto"/>
                <w:kern w:val="2"/>
                <w:sz w:val="24"/>
                <w:szCs w:val="20"/>
                <w:lang w:val="en-US" w:eastAsia="zh-CN" w:bidi="ar-SA"/>
              </w:rPr>
              <w:t>后的清水通过加压泵站、新建管道输送至</w:t>
            </w:r>
            <w:r>
              <w:rPr>
                <w:rFonts w:hint="eastAsia" w:ascii="Times New Roman" w:hAnsi="Times New Roman" w:eastAsia="宋体" w:cs="Times New Roman"/>
                <w:bCs/>
                <w:color w:val="auto"/>
                <w:kern w:val="2"/>
                <w:sz w:val="24"/>
                <w:szCs w:val="20"/>
                <w:lang w:val="en-US" w:eastAsia="zh-CN" w:bidi="ar-SA"/>
              </w:rPr>
              <w:t>老东柳水厂、东柳二水厂。</w:t>
            </w:r>
          </w:p>
          <w:p>
            <w:pPr>
              <w:spacing w:line="360" w:lineRule="auto"/>
              <w:ind w:firstLine="482" w:firstLineChars="200"/>
              <w:rPr>
                <w:rFonts w:hint="default" w:eastAsia="宋体"/>
                <w:b/>
                <w:bCs/>
                <w:color w:val="auto"/>
                <w:sz w:val="24"/>
                <w:szCs w:val="20"/>
                <w:lang w:val="en-US" w:eastAsia="zh-CN"/>
              </w:rPr>
            </w:pPr>
            <w:r>
              <w:rPr>
                <w:rFonts w:hint="eastAsia"/>
                <w:b/>
                <w:bCs/>
                <w:color w:val="auto"/>
                <w:sz w:val="24"/>
                <w:szCs w:val="20"/>
                <w:lang w:val="en-US" w:eastAsia="zh-CN"/>
              </w:rPr>
              <w:t>3、设计规模</w:t>
            </w:r>
          </w:p>
          <w:p>
            <w:pPr>
              <w:spacing w:line="360" w:lineRule="auto"/>
              <w:ind w:firstLine="480" w:firstLineChars="200"/>
              <w:rPr>
                <w:rFonts w:hint="default"/>
                <w:b/>
                <w:bCs/>
                <w:color w:val="auto"/>
                <w:sz w:val="24"/>
                <w:szCs w:val="20"/>
                <w:lang w:val="en-US"/>
              </w:rPr>
            </w:pPr>
            <w:r>
              <w:rPr>
                <w:rFonts w:hint="eastAsia" w:ascii="Times New Roman" w:hAnsi="Times New Roman" w:eastAsia="宋体" w:cs="Times New Roman"/>
                <w:color w:val="auto"/>
                <w:sz w:val="24"/>
                <w:lang w:val="en-US" w:eastAsia="zh-CN"/>
              </w:rPr>
              <w:t>根据项目设计方案，</w:t>
            </w:r>
            <w:r>
              <w:rPr>
                <w:rFonts w:hint="eastAsia" w:cs="Times New Roman"/>
                <w:color w:val="auto"/>
                <w:sz w:val="24"/>
                <w:lang w:val="en-US" w:eastAsia="zh-CN"/>
              </w:rPr>
              <w:t>本项目新建泵站、管道输水</w:t>
            </w:r>
            <w:r>
              <w:rPr>
                <w:rFonts w:hint="eastAsia" w:ascii="Times New Roman" w:hAnsi="Times New Roman" w:eastAsia="宋体" w:cs="Times New Roman"/>
                <w:color w:val="auto"/>
                <w:sz w:val="24"/>
                <w:lang w:val="en-US" w:eastAsia="zh-CN"/>
              </w:rPr>
              <w:t>规模</w:t>
            </w:r>
            <w:r>
              <w:rPr>
                <w:rFonts w:hint="eastAsia" w:cs="Times New Roman"/>
                <w:color w:val="auto"/>
                <w:sz w:val="24"/>
                <w:lang w:val="en-US" w:eastAsia="zh-CN"/>
              </w:rPr>
              <w:t>均</w:t>
            </w:r>
            <w:r>
              <w:rPr>
                <w:rFonts w:hint="eastAsia" w:ascii="Times New Roman" w:hAnsi="Times New Roman" w:eastAsia="宋体" w:cs="Times New Roman"/>
                <w:color w:val="auto"/>
                <w:sz w:val="24"/>
                <w:lang w:val="en-US" w:eastAsia="zh-CN"/>
              </w:rPr>
              <w:t>为4万m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p>
          <w:p>
            <w:pPr>
              <w:spacing w:line="360" w:lineRule="auto"/>
              <w:ind w:firstLine="482" w:firstLineChars="200"/>
              <w:rPr>
                <w:rFonts w:hint="default" w:eastAsia="宋体"/>
                <w:b/>
                <w:bCs/>
                <w:color w:val="auto"/>
                <w:sz w:val="24"/>
                <w:szCs w:val="20"/>
                <w:lang w:val="en-US" w:eastAsia="zh-CN"/>
              </w:rPr>
            </w:pPr>
            <w:r>
              <w:rPr>
                <w:rFonts w:hint="eastAsia"/>
                <w:b/>
                <w:bCs/>
                <w:color w:val="auto"/>
                <w:sz w:val="24"/>
                <w:szCs w:val="20"/>
                <w:lang w:val="en-US" w:eastAsia="zh-CN"/>
              </w:rPr>
              <w:t>4、项目组成及主要环境问题</w:t>
            </w:r>
          </w:p>
          <w:p>
            <w:pPr>
              <w:spacing w:line="360" w:lineRule="auto"/>
              <w:ind w:firstLine="480" w:firstLineChars="200"/>
              <w:rPr>
                <w:bCs/>
                <w:color w:val="auto"/>
                <w:sz w:val="24"/>
              </w:rPr>
            </w:pPr>
            <w:r>
              <w:rPr>
                <w:rFonts w:hint="eastAsia"/>
                <w:bCs/>
                <w:color w:val="auto"/>
                <w:sz w:val="24"/>
                <w:lang w:val="en-US" w:eastAsia="zh-CN"/>
              </w:rPr>
              <w:t>本</w:t>
            </w:r>
            <w:r>
              <w:rPr>
                <w:bCs/>
                <w:color w:val="auto"/>
                <w:sz w:val="24"/>
              </w:rPr>
              <w:t>项目组成</w:t>
            </w:r>
            <w:r>
              <w:rPr>
                <w:rFonts w:hint="eastAsia"/>
                <w:bCs/>
                <w:color w:val="auto"/>
                <w:sz w:val="24"/>
                <w:lang w:val="en-US" w:eastAsia="zh-CN"/>
              </w:rPr>
              <w:t>及</w:t>
            </w:r>
            <w:r>
              <w:rPr>
                <w:bCs/>
                <w:color w:val="auto"/>
                <w:sz w:val="24"/>
              </w:rPr>
              <w:t>主要环境问题详见下表：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cs="Times New Roman"/>
                <w:b/>
                <w:bCs/>
                <w:color w:val="auto"/>
                <w:sz w:val="21"/>
                <w:szCs w:val="21"/>
                <w:lang w:val="en-US" w:eastAsia="zh-CN"/>
              </w:rPr>
            </w:pPr>
            <w:r>
              <w:rPr>
                <w:rFonts w:hint="eastAsia" w:eastAsia="宋体" w:cs="Times New Roman"/>
                <w:b/>
                <w:bCs/>
                <w:color w:val="auto"/>
                <w:sz w:val="21"/>
                <w:szCs w:val="21"/>
                <w:lang w:val="en-US" w:eastAsia="zh-CN"/>
              </w:rPr>
              <w:t>表2-1  工程项目组成及主要环境问题</w:t>
            </w:r>
          </w:p>
          <w:tbl>
            <w:tblPr>
              <w:tblStyle w:val="98"/>
              <w:tblW w:w="8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78"/>
              <w:gridCol w:w="702"/>
              <w:gridCol w:w="4995"/>
              <w:gridCol w:w="727"/>
              <w:gridCol w:w="653"/>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70" w:hRule="atLeast"/>
              </w:trPr>
              <w:tc>
                <w:tcPr>
                  <w:tcW w:w="478" w:type="dxa"/>
                  <w:vMerge w:val="restart"/>
                  <w:tcBorders>
                    <w:tl2br w:val="nil"/>
                    <w:tr2bl w:val="nil"/>
                  </w:tcBorders>
                  <w:shd w:val="clear" w:color="auto" w:fill="auto"/>
                  <w:vAlign w:val="center"/>
                </w:tcPr>
                <w:p>
                  <w:pPr>
                    <w:adjustRightInd w:val="0"/>
                    <w:snapToGrid w:val="0"/>
                    <w:jc w:val="center"/>
                    <w:rPr>
                      <w:rFonts w:hint="default"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主体工程</w:t>
                  </w:r>
                </w:p>
              </w:tc>
              <w:tc>
                <w:tcPr>
                  <w:tcW w:w="702" w:type="dxa"/>
                  <w:vMerge w:val="restart"/>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项目</w:t>
                  </w:r>
                </w:p>
                <w:p>
                  <w:pPr>
                    <w:adjustRightInd w:val="0"/>
                    <w:snapToGrid w:val="0"/>
                    <w:jc w:val="center"/>
                    <w:rPr>
                      <w:rFonts w:cs="Times New Roman"/>
                      <w:b/>
                      <w:bCs/>
                      <w:color w:val="auto"/>
                      <w:kern w:val="0"/>
                      <w:sz w:val="21"/>
                      <w:szCs w:val="21"/>
                    </w:rPr>
                  </w:pPr>
                  <w:r>
                    <w:rPr>
                      <w:rFonts w:cs="Times New Roman"/>
                      <w:b/>
                      <w:bCs/>
                      <w:color w:val="auto"/>
                      <w:kern w:val="0"/>
                      <w:sz w:val="21"/>
                      <w:szCs w:val="21"/>
                    </w:rPr>
                    <w:t>类别</w:t>
                  </w:r>
                </w:p>
              </w:tc>
              <w:tc>
                <w:tcPr>
                  <w:tcW w:w="4995" w:type="dxa"/>
                  <w:vMerge w:val="restart"/>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组成部分</w:t>
                  </w:r>
                </w:p>
              </w:tc>
              <w:tc>
                <w:tcPr>
                  <w:tcW w:w="1380" w:type="dxa"/>
                  <w:gridSpan w:val="2"/>
                  <w:tcBorders>
                    <w:tl2br w:val="nil"/>
                    <w:tr2bl w:val="nil"/>
                  </w:tcBorders>
                  <w:shd w:val="clear" w:color="auto" w:fill="auto"/>
                  <w:vAlign w:val="center"/>
                </w:tcPr>
                <w:p>
                  <w:pPr>
                    <w:adjustRightInd w:val="0"/>
                    <w:snapToGrid w:val="0"/>
                    <w:spacing w:before="24" w:beforeLines="10" w:after="24" w:afterLines="10" w:line="259" w:lineRule="auto"/>
                    <w:jc w:val="center"/>
                    <w:rPr>
                      <w:rFonts w:cs="Times New Roman"/>
                      <w:b/>
                      <w:bCs/>
                      <w:color w:val="auto"/>
                      <w:kern w:val="0"/>
                      <w:sz w:val="21"/>
                      <w:szCs w:val="21"/>
                    </w:rPr>
                  </w:pPr>
                  <w:r>
                    <w:rPr>
                      <w:rFonts w:hint="eastAsia" w:cs="Times New Roman"/>
                      <w:b/>
                      <w:bCs/>
                      <w:color w:val="auto"/>
                      <w:kern w:val="0"/>
                      <w:sz w:val="21"/>
                      <w:szCs w:val="21"/>
                      <w:lang w:val="en-US" w:eastAsia="zh-CN"/>
                    </w:rPr>
                    <w:t>主要</w:t>
                  </w:r>
                  <w:r>
                    <w:rPr>
                      <w:rFonts w:cs="Times New Roman"/>
                      <w:b/>
                      <w:bCs/>
                      <w:color w:val="auto"/>
                      <w:kern w:val="0"/>
                      <w:sz w:val="21"/>
                      <w:szCs w:val="21"/>
                    </w:rPr>
                    <w:t>环境问题</w:t>
                  </w:r>
                </w:p>
              </w:tc>
              <w:tc>
                <w:tcPr>
                  <w:tcW w:w="625" w:type="dxa"/>
                  <w:vMerge w:val="restart"/>
                  <w:tcBorders>
                    <w:tl2br w:val="nil"/>
                    <w:tr2bl w:val="nil"/>
                  </w:tcBorders>
                  <w:shd w:val="clear" w:color="auto" w:fill="auto"/>
                  <w:vAlign w:val="center"/>
                </w:tcPr>
                <w:p>
                  <w:pPr>
                    <w:adjustRightInd w:val="0"/>
                    <w:snapToGrid w:val="0"/>
                    <w:spacing w:before="24" w:beforeLines="10" w:after="24" w:afterLines="10" w:line="259" w:lineRule="auto"/>
                    <w:jc w:val="center"/>
                    <w:rPr>
                      <w:rFonts w:hint="default" w:cs="Times New Roman"/>
                      <w:b/>
                      <w:bCs/>
                      <w:color w:val="auto"/>
                      <w:kern w:val="0"/>
                      <w:sz w:val="21"/>
                      <w:szCs w:val="21"/>
                      <w:lang w:val="en-US" w:eastAsia="zh-CN"/>
                    </w:rPr>
                  </w:pPr>
                  <w:r>
                    <w:rPr>
                      <w:rFonts w:hint="eastAsia" w:cs="Times New Roman"/>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c>
                <w:tcPr>
                  <w:tcW w:w="4995"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c>
                <w:tcPr>
                  <w:tcW w:w="727" w:type="dxa"/>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施工期</w:t>
                  </w:r>
                </w:p>
              </w:tc>
              <w:tc>
                <w:tcPr>
                  <w:tcW w:w="653" w:type="dxa"/>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r>
                    <w:rPr>
                      <w:rFonts w:cs="Times New Roman"/>
                      <w:b/>
                      <w:bCs/>
                      <w:color w:val="auto"/>
                      <w:kern w:val="0"/>
                      <w:sz w:val="21"/>
                      <w:szCs w:val="21"/>
                    </w:rPr>
                    <w:t>运营期</w:t>
                  </w:r>
                </w:p>
              </w:tc>
              <w:tc>
                <w:tcPr>
                  <w:tcW w:w="625" w:type="dxa"/>
                  <w:vMerge w:val="continue"/>
                  <w:tcBorders>
                    <w:tl2br w:val="nil"/>
                    <w:tr2bl w:val="nil"/>
                  </w:tcBorders>
                  <w:shd w:val="clear" w:color="auto" w:fill="auto"/>
                  <w:vAlign w:val="center"/>
                </w:tcPr>
                <w:p>
                  <w:pPr>
                    <w:adjustRightInd w:val="0"/>
                    <w:snapToGrid w:val="0"/>
                    <w:jc w:val="center"/>
                    <w:rPr>
                      <w:rFonts w:cs="Times New Roman"/>
                      <w:b/>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加压</w:t>
                  </w:r>
                </w:p>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泵站</w:t>
                  </w:r>
                </w:p>
              </w:tc>
              <w:tc>
                <w:tcPr>
                  <w:tcW w:w="4995" w:type="dxa"/>
                  <w:tcBorders>
                    <w:tl2br w:val="nil"/>
                    <w:tr2bl w:val="nil"/>
                  </w:tcBorders>
                  <w:shd w:val="clear" w:color="auto" w:fill="auto"/>
                  <w:vAlign w:val="center"/>
                </w:tcPr>
                <w:p>
                  <w:pPr>
                    <w:keepNext w:val="0"/>
                    <w:keepLines w:val="0"/>
                    <w:widowControl/>
                    <w:suppressLineNumbers w:val="0"/>
                    <w:jc w:val="left"/>
                    <w:rPr>
                      <w:rFonts w:hint="default" w:cs="Times New Roman"/>
                      <w:color w:val="auto"/>
                      <w:kern w:val="0"/>
                      <w:sz w:val="21"/>
                      <w:szCs w:val="21"/>
                      <w:lang w:val="en-US"/>
                    </w:rPr>
                  </w:pPr>
                  <w:r>
                    <w:rPr>
                      <w:rFonts w:hint="eastAsia" w:cs="Times New Roman"/>
                      <w:color w:val="auto"/>
                      <w:sz w:val="21"/>
                      <w:szCs w:val="21"/>
                      <w:lang w:val="en-US" w:eastAsia="zh-CN"/>
                    </w:rPr>
                    <w:t>新建泵房为型钢结构彩钢房，下部为1m高砖墙，泵房外包边长24.78m、宽7.98m、高5.6m；C30砼独立基础，砖基础为预制条石浆砌。泵房与配电间合建，泵房内设置5台水泵，其中大泵3台，2用1备，单台泵参数为；Q=760m³/h，H=15m，N=55kw；小泵2台，1用1备，单台泵参数为：Q=220m³/h，H=30m,N=37kw，泵房内配套建有有水泵控制系统。</w:t>
                  </w:r>
                </w:p>
              </w:tc>
              <w:tc>
                <w:tcPr>
                  <w:tcW w:w="727" w:type="dxa"/>
                  <w:vMerge w:val="restart"/>
                  <w:tcBorders>
                    <w:tl2br w:val="nil"/>
                    <w:tr2bl w:val="nil"/>
                  </w:tcBorders>
                  <w:shd w:val="clear" w:color="auto" w:fill="auto"/>
                  <w:vAlign w:val="center"/>
                </w:tcPr>
                <w:p>
                  <w:pPr>
                    <w:adjustRightInd w:val="0"/>
                    <w:snapToGrid w:val="0"/>
                    <w:spacing w:before="24" w:beforeLines="10" w:after="24" w:afterLines="10"/>
                    <w:jc w:val="center"/>
                    <w:rPr>
                      <w:rFonts w:hint="default" w:cs="Times New Roman"/>
                      <w:color w:val="auto"/>
                      <w:kern w:val="0"/>
                      <w:sz w:val="21"/>
                      <w:szCs w:val="21"/>
                      <w:lang w:val="en-US"/>
                    </w:rPr>
                  </w:pPr>
                  <w:r>
                    <w:rPr>
                      <w:rFonts w:hint="eastAsia" w:cs="Times New Roman"/>
                      <w:color w:val="auto"/>
                      <w:kern w:val="0"/>
                      <w:sz w:val="21"/>
                      <w:szCs w:val="21"/>
                      <w:lang w:val="en-US" w:eastAsia="zh-CN"/>
                    </w:rPr>
                    <w:t>施工扬尘、施工废水、生活污水、建筑垃圾等</w:t>
                  </w:r>
                </w:p>
              </w:tc>
              <w:tc>
                <w:tcPr>
                  <w:tcW w:w="653" w:type="dxa"/>
                  <w:vMerge w:val="restart"/>
                  <w:tcBorders>
                    <w:tl2br w:val="nil"/>
                    <w:tr2bl w:val="nil"/>
                  </w:tcBorders>
                  <w:shd w:val="clear" w:color="auto" w:fill="auto"/>
                  <w:vAlign w:val="center"/>
                </w:tcPr>
                <w:p>
                  <w:pPr>
                    <w:autoSpaceDE w:val="0"/>
                    <w:autoSpaceDN w:val="0"/>
                    <w:adjustRightInd w:val="0"/>
                    <w:jc w:val="left"/>
                    <w:rPr>
                      <w:rFonts w:hint="default" w:eastAsia="宋体" w:cs="Times New Roman"/>
                      <w:color w:val="auto"/>
                      <w:kern w:val="0"/>
                      <w:sz w:val="21"/>
                      <w:szCs w:val="21"/>
                      <w:lang w:val="en-US" w:eastAsia="zh-CN"/>
                    </w:rPr>
                  </w:pPr>
                  <w:r>
                    <w:rPr>
                      <w:rFonts w:cs="Times New Roman"/>
                      <w:color w:val="auto"/>
                      <w:kern w:val="0"/>
                      <w:sz w:val="21"/>
                      <w:szCs w:val="21"/>
                    </w:rPr>
                    <w:t>噪声、废水、固废</w:t>
                  </w:r>
                  <w:r>
                    <w:rPr>
                      <w:rFonts w:hint="eastAsia" w:cs="Times New Roman"/>
                      <w:color w:val="auto"/>
                      <w:kern w:val="0"/>
                      <w:sz w:val="21"/>
                      <w:szCs w:val="21"/>
                      <w:lang w:eastAsia="zh-CN"/>
                    </w:rPr>
                    <w:t>、</w:t>
                  </w:r>
                  <w:r>
                    <w:rPr>
                      <w:rFonts w:hint="eastAsia" w:cs="Times New Roman"/>
                      <w:color w:val="auto"/>
                      <w:kern w:val="0"/>
                      <w:sz w:val="21"/>
                      <w:szCs w:val="21"/>
                      <w:lang w:val="en-US" w:eastAsia="zh-CN"/>
                    </w:rPr>
                    <w:t>环境风险</w:t>
                  </w:r>
                </w:p>
              </w:tc>
              <w:tc>
                <w:tcPr>
                  <w:tcW w:w="62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5"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吸水调节池</w:t>
                  </w:r>
                </w:p>
              </w:tc>
              <w:tc>
                <w:tcPr>
                  <w:tcW w:w="4995" w:type="dxa"/>
                  <w:tcBorders>
                    <w:tl2br w:val="nil"/>
                    <w:tr2bl w:val="nil"/>
                  </w:tcBorders>
                  <w:shd w:val="clear" w:color="auto" w:fill="auto"/>
                  <w:vAlign w:val="center"/>
                </w:tcPr>
                <w:p>
                  <w:pPr>
                    <w:keepNext w:val="0"/>
                    <w:keepLines w:val="0"/>
                    <w:widowControl/>
                    <w:suppressLineNumbers w:val="0"/>
                    <w:jc w:val="left"/>
                    <w:rPr>
                      <w:rFonts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调节池池体为304不锈钢材质，容积720m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，尺寸为24m×10m×3m。</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5"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 w:hRule="atLeast"/>
              </w:trPr>
              <w:tc>
                <w:tcPr>
                  <w:tcW w:w="478" w:type="dxa"/>
                  <w:vMerge w:val="continue"/>
                  <w:tcBorders>
                    <w:tl2br w:val="nil"/>
                    <w:tr2bl w:val="nil"/>
                  </w:tcBorders>
                  <w:shd w:val="clear" w:color="auto" w:fill="auto"/>
                  <w:vAlign w:val="center"/>
                </w:tcPr>
                <w:p>
                  <w:pPr>
                    <w:adjustRightInd w:val="0"/>
                    <w:snapToGrid w:val="0"/>
                    <w:jc w:val="left"/>
                    <w:rPr>
                      <w:rFonts w:cs="Times New Roman"/>
                      <w:color w:val="auto"/>
                      <w:kern w:val="0"/>
                      <w:sz w:val="21"/>
                      <w:szCs w:val="21"/>
                    </w:rPr>
                  </w:pPr>
                </w:p>
              </w:tc>
              <w:tc>
                <w:tcPr>
                  <w:tcW w:w="702" w:type="dxa"/>
                  <w:vMerge w:val="restart"/>
                  <w:tcBorders>
                    <w:tl2br w:val="nil"/>
                    <w:tr2bl w:val="nil"/>
                  </w:tcBorders>
                  <w:shd w:val="clear" w:color="auto" w:fill="auto"/>
                  <w:vAlign w:val="center"/>
                </w:tcPr>
                <w:p>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管道</w:t>
                  </w:r>
                </w:p>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工程</w:t>
                  </w:r>
                </w:p>
              </w:tc>
              <w:tc>
                <w:tcPr>
                  <w:tcW w:w="4995" w:type="dxa"/>
                  <w:vMerge w:val="restart"/>
                  <w:tcBorders>
                    <w:tl2br w:val="nil"/>
                    <w:tr2bl w:val="nil"/>
                  </w:tcBorders>
                  <w:shd w:val="clear" w:color="auto" w:fill="auto"/>
                  <w:vAlign w:val="center"/>
                </w:tcPr>
                <w:p>
                  <w:pPr>
                    <w:bidi w:val="0"/>
                    <w:ind w:firstLine="0"/>
                    <w:rPr>
                      <w:rFonts w:cs="Times New Roman"/>
                      <w:color w:val="auto"/>
                      <w:kern w:val="0"/>
                      <w:sz w:val="21"/>
                      <w:szCs w:val="21"/>
                    </w:rPr>
                  </w:pPr>
                  <w:r>
                    <w:rPr>
                      <w:rFonts w:hint="eastAsia" w:cs="Times New Roman"/>
                      <w:color w:val="auto"/>
                      <w:sz w:val="21"/>
                      <w:szCs w:val="21"/>
                      <w:lang w:val="en-US" w:eastAsia="zh-CN"/>
                    </w:rPr>
                    <w:t>铺设DN600球墨管240m，连接新建泵房至老东柳水厂原水输送管道；从泵站新建1.0Mpa DN315 PE输水管3600m至东柳二水厂；从反冲洗水回用池铺设DN500砼管300m至园区污水管网内。</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5"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78" w:type="dxa"/>
                  <w:vMerge w:val="continue"/>
                  <w:tcBorders>
                    <w:tl2br w:val="nil"/>
                    <w:tr2bl w:val="nil"/>
                  </w:tcBorders>
                  <w:shd w:val="clear" w:color="auto" w:fill="auto"/>
                  <w:vAlign w:val="center"/>
                </w:tcPr>
                <w:p>
                  <w:pPr>
                    <w:adjustRightInd w:val="0"/>
                    <w:snapToGrid w:val="0"/>
                    <w:jc w:val="left"/>
                    <w:rPr>
                      <w:rFonts w:cs="Times New Roman"/>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4995" w:type="dxa"/>
                  <w:vMerge w:val="continue"/>
                  <w:tcBorders>
                    <w:tl2br w:val="nil"/>
                    <w:tr2bl w:val="nil"/>
                  </w:tcBorders>
                  <w:shd w:val="clear" w:color="auto" w:fill="auto"/>
                  <w:vAlign w:val="center"/>
                </w:tcPr>
                <w:p>
                  <w:pPr>
                    <w:bidi w:val="0"/>
                    <w:rPr>
                      <w:rFonts w:cs="Times New Roman"/>
                      <w:color w:val="auto"/>
                      <w:kern w:val="0"/>
                      <w:sz w:val="21"/>
                      <w:szCs w:val="21"/>
                    </w:rPr>
                  </w:pP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5"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78" w:type="dxa"/>
                  <w:vMerge w:val="continue"/>
                  <w:tcBorders>
                    <w:tl2br w:val="nil"/>
                    <w:tr2bl w:val="nil"/>
                  </w:tcBorders>
                  <w:shd w:val="clear" w:color="auto" w:fill="auto"/>
                  <w:vAlign w:val="center"/>
                </w:tcPr>
                <w:p>
                  <w:pPr>
                    <w:adjustRightInd w:val="0"/>
                    <w:snapToGrid w:val="0"/>
                    <w:jc w:val="left"/>
                    <w:rPr>
                      <w:rFonts w:cs="Times New Roman"/>
                      <w:color w:val="auto"/>
                      <w:kern w:val="0"/>
                      <w:sz w:val="21"/>
                      <w:szCs w:val="21"/>
                    </w:rPr>
                  </w:pPr>
                </w:p>
              </w:tc>
              <w:tc>
                <w:tcPr>
                  <w:tcW w:w="702"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4995" w:type="dxa"/>
                  <w:vMerge w:val="continue"/>
                  <w:tcBorders>
                    <w:tl2br w:val="nil"/>
                    <w:tr2bl w:val="nil"/>
                  </w:tcBorders>
                  <w:shd w:val="clear" w:color="auto" w:fill="auto"/>
                  <w:vAlign w:val="center"/>
                </w:tcPr>
                <w:p>
                  <w:pPr>
                    <w:adjustRightInd w:val="0"/>
                    <w:snapToGrid w:val="0"/>
                    <w:rPr>
                      <w:rFonts w:cs="Times New Roman"/>
                      <w:color w:val="auto"/>
                      <w:kern w:val="0"/>
                      <w:sz w:val="21"/>
                      <w:szCs w:val="21"/>
                    </w:rPr>
                  </w:pP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5"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69" w:hRule="atLeast"/>
              </w:trPr>
              <w:tc>
                <w:tcPr>
                  <w:tcW w:w="478"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辅助工程</w:t>
                  </w:r>
                </w:p>
              </w:tc>
              <w:tc>
                <w:tcPr>
                  <w:tcW w:w="702" w:type="dxa"/>
                  <w:tcBorders>
                    <w:tl2br w:val="nil"/>
                    <w:tr2bl w:val="nil"/>
                  </w:tcBorders>
                  <w:shd w:val="clear" w:color="auto" w:fill="auto"/>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值班室</w:t>
                  </w:r>
                </w:p>
              </w:tc>
              <w:tc>
                <w:tcPr>
                  <w:tcW w:w="4995" w:type="dxa"/>
                  <w:tcBorders>
                    <w:tl2br w:val="nil"/>
                    <w:tr2bl w:val="nil"/>
                  </w:tcBorders>
                  <w:shd w:val="clear" w:color="auto" w:fill="auto"/>
                  <w:vAlign w:val="center"/>
                </w:tcPr>
                <w:p>
                  <w:pPr>
                    <w:jc w:val="left"/>
                    <w:rPr>
                      <w:rFonts w:hint="default" w:eastAsia="宋体" w:cs="Times New Roman"/>
                      <w:color w:val="auto"/>
                      <w:sz w:val="21"/>
                      <w:szCs w:val="21"/>
                      <w:lang w:val="en-US" w:eastAsia="zh-CN"/>
                    </w:rPr>
                  </w:pPr>
                  <w:r>
                    <w:rPr>
                      <w:rFonts w:hint="eastAsia" w:cs="Times New Roman"/>
                      <w:color w:val="auto"/>
                      <w:sz w:val="21"/>
                      <w:szCs w:val="21"/>
                      <w:lang w:val="en-US" w:eastAsia="zh-CN"/>
                    </w:rPr>
                    <w:t>值班室为钢架结构彩钢房，下部为下部为1m高砖墙，平面尺寸为10.2m×4.5m，主要设置有办公室、卫生间，不设宿舍、食堂</w:t>
                  </w:r>
                  <w:r>
                    <w:rPr>
                      <w:rFonts w:hint="eastAsia" w:ascii="Times New Roman" w:hAnsi="Times New Roman" w:eastAsia="宋体" w:cs="Times New Roman"/>
                      <w:color w:val="auto"/>
                      <w:sz w:val="21"/>
                      <w:szCs w:val="21"/>
                      <w:lang w:val="en-US" w:eastAsia="zh-CN"/>
                    </w:rPr>
                    <w:t>。</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25" w:type="dxa"/>
                  <w:tcBorders>
                    <w:tl2br w:val="nil"/>
                    <w:tr2bl w:val="nil"/>
                  </w:tcBorders>
                  <w:shd w:val="clear" w:color="auto" w:fill="auto"/>
                  <w:vAlign w:val="center"/>
                </w:tcPr>
                <w:p>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7" w:hRule="atLeast"/>
              </w:trPr>
              <w:tc>
                <w:tcPr>
                  <w:tcW w:w="478" w:type="dxa"/>
                  <w:vMerge w:val="restart"/>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公用工程</w:t>
                  </w: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供电</w:t>
                  </w:r>
                </w:p>
              </w:tc>
              <w:tc>
                <w:tcPr>
                  <w:tcW w:w="499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cs="Times New Roman"/>
                      <w:color w:val="auto"/>
                      <w:kern w:val="0"/>
                      <w:sz w:val="21"/>
                      <w:szCs w:val="21"/>
                    </w:rPr>
                    <w:t>由市政供电管网供给</w:t>
                  </w:r>
                  <w:r>
                    <w:rPr>
                      <w:rFonts w:hint="eastAsia" w:cs="Times New Roman"/>
                      <w:color w:val="auto"/>
                      <w:kern w:val="0"/>
                      <w:sz w:val="21"/>
                      <w:szCs w:val="21"/>
                      <w:lang w:eastAsia="zh-CN"/>
                    </w:rPr>
                    <w:t>，</w:t>
                  </w:r>
                  <w:r>
                    <w:rPr>
                      <w:rFonts w:hint="eastAsia" w:cs="Times New Roman"/>
                      <w:color w:val="auto"/>
                      <w:kern w:val="0"/>
                      <w:sz w:val="21"/>
                      <w:szCs w:val="21"/>
                      <w:lang w:val="en-US" w:eastAsia="zh-CN"/>
                    </w:rPr>
                    <w:t>泵站设置配电站</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7"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供水</w:t>
                  </w:r>
                </w:p>
              </w:tc>
              <w:tc>
                <w:tcPr>
                  <w:tcW w:w="499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园区自来水供水管网供给</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排水</w:t>
                  </w:r>
                </w:p>
              </w:tc>
              <w:tc>
                <w:tcPr>
                  <w:tcW w:w="499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本项目营运期无废水排放。</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消防</w:t>
                  </w:r>
                </w:p>
              </w:tc>
              <w:tc>
                <w:tcPr>
                  <w:tcW w:w="4995" w:type="dxa"/>
                  <w:tcBorders>
                    <w:tl2br w:val="nil"/>
                    <w:tr2bl w:val="nil"/>
                  </w:tcBorders>
                  <w:shd w:val="clear" w:color="auto" w:fill="auto"/>
                  <w:vAlign w:val="center"/>
                </w:tcPr>
                <w:p>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在泵房、值班室设置有磷酸铵盐干粉灭火器</w:t>
                  </w:r>
                </w:p>
              </w:tc>
              <w:tc>
                <w:tcPr>
                  <w:tcW w:w="727" w:type="dxa"/>
                  <w:vMerge w:val="continue"/>
                  <w:tcBorders>
                    <w:tl2br w:val="nil"/>
                    <w:tr2bl w:val="nil"/>
                  </w:tcBorders>
                  <w:shd w:val="clear" w:color="auto" w:fill="auto"/>
                  <w:vAlign w:val="center"/>
                </w:tcPr>
                <w:p>
                  <w:pPr>
                    <w:adjustRightInd w:val="0"/>
                    <w:snapToGrid w:val="0"/>
                    <w:spacing w:before="24" w:beforeLines="10" w:after="24" w:afterLines="1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7" w:hRule="atLeast"/>
              </w:trPr>
              <w:tc>
                <w:tcPr>
                  <w:tcW w:w="478" w:type="dxa"/>
                  <w:vMerge w:val="restart"/>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环保工程</w:t>
                  </w: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废水</w:t>
                  </w:r>
                </w:p>
              </w:tc>
              <w:tc>
                <w:tcPr>
                  <w:tcW w:w="4995" w:type="dxa"/>
                  <w:tcBorders>
                    <w:tl2br w:val="nil"/>
                    <w:tr2bl w:val="nil"/>
                  </w:tcBorders>
                  <w:shd w:val="clear" w:color="auto" w:fill="auto"/>
                  <w:vAlign w:val="center"/>
                </w:tcPr>
                <w:p>
                  <w:pPr>
                    <w:adjustRightInd w:val="0"/>
                    <w:snapToGrid w:val="0"/>
                    <w:rPr>
                      <w:rFonts w:hint="eastAsia" w:cs="Times New Roman"/>
                      <w:b/>
                      <w:bCs/>
                      <w:color w:val="auto"/>
                      <w:kern w:val="0"/>
                      <w:sz w:val="21"/>
                      <w:szCs w:val="21"/>
                      <w:lang w:val="en-US" w:eastAsia="zh-CN"/>
                    </w:rPr>
                  </w:pPr>
                  <w:r>
                    <w:rPr>
                      <w:rFonts w:hint="eastAsia" w:cs="Times New Roman"/>
                      <w:b/>
                      <w:bCs/>
                      <w:color w:val="auto"/>
                      <w:kern w:val="0"/>
                      <w:sz w:val="21"/>
                      <w:szCs w:val="21"/>
                      <w:lang w:val="en-US" w:eastAsia="zh-CN"/>
                    </w:rPr>
                    <w:t>施工期已采取措施：</w:t>
                  </w:r>
                </w:p>
                <w:p>
                  <w:pPr>
                    <w:adjustRightInd w:val="0"/>
                    <w:snapToGrid w:val="0"/>
                    <w:rPr>
                      <w:rFonts w:hint="default" w:cs="Times New Roman"/>
                      <w:color w:val="auto"/>
                      <w:kern w:val="0"/>
                      <w:sz w:val="21"/>
                      <w:szCs w:val="21"/>
                      <w:highlight w:val="none"/>
                      <w:lang w:val="en-US" w:eastAsia="zh-CN"/>
                    </w:rPr>
                  </w:pPr>
                  <w:r>
                    <w:rPr>
                      <w:rFonts w:hint="eastAsia" w:cs="Times New Roman"/>
                      <w:b/>
                      <w:bCs/>
                      <w:color w:val="auto"/>
                      <w:kern w:val="0"/>
                      <w:sz w:val="21"/>
                      <w:szCs w:val="21"/>
                      <w:lang w:val="en-US" w:eastAsia="zh-CN"/>
                    </w:rPr>
                    <w:t>东柳水厂区域：</w:t>
                  </w:r>
                  <w:r>
                    <w:rPr>
                      <w:rFonts w:hint="eastAsia" w:cs="Times New Roman"/>
                      <w:color w:val="auto"/>
                      <w:kern w:val="0"/>
                      <w:sz w:val="21"/>
                      <w:szCs w:val="21"/>
                      <w:highlight w:val="none"/>
                      <w:lang w:val="en-US" w:eastAsia="zh-CN"/>
                    </w:rPr>
                    <w:t>施工期少量施工废水经临时沉淀池沉淀后用于施工场地洒水降尘，生活污水经化粪池处理后进入园区污水厂处理；</w:t>
                  </w:r>
                  <w:r>
                    <w:rPr>
                      <w:rFonts w:hint="eastAsia" w:cs="Times New Roman"/>
                      <w:b/>
                      <w:bCs/>
                      <w:color w:val="auto"/>
                      <w:kern w:val="0"/>
                      <w:sz w:val="21"/>
                      <w:szCs w:val="21"/>
                      <w:highlight w:val="none"/>
                      <w:lang w:val="en-US" w:eastAsia="zh-CN"/>
                    </w:rPr>
                    <w:t>加压泵站至东柳二水厂管道沿线：</w:t>
                  </w:r>
                  <w:r>
                    <w:rPr>
                      <w:rFonts w:hint="eastAsia" w:cs="Times New Roman"/>
                      <w:color w:val="auto"/>
                      <w:kern w:val="0"/>
                      <w:sz w:val="21"/>
                      <w:szCs w:val="21"/>
                      <w:highlight w:val="none"/>
                      <w:lang w:val="en-US" w:eastAsia="zh-CN"/>
                    </w:rPr>
                    <w:t>生活污水依托沿线民房化粪池处理。</w:t>
                  </w:r>
                </w:p>
                <w:p>
                  <w:pPr>
                    <w:adjustRightInd w:val="0"/>
                    <w:snapToGrid w:val="0"/>
                    <w:rPr>
                      <w:rFonts w:hint="default" w:eastAsia="宋体" w:cs="Times New Roman"/>
                      <w:color w:val="auto"/>
                      <w:kern w:val="0"/>
                      <w:sz w:val="21"/>
                      <w:szCs w:val="21"/>
                      <w:lang w:val="en-US" w:eastAsia="zh-CN"/>
                    </w:rPr>
                  </w:pPr>
                  <w:r>
                    <w:rPr>
                      <w:rFonts w:hint="eastAsia" w:cs="Times New Roman"/>
                      <w:b/>
                      <w:bCs/>
                      <w:color w:val="auto"/>
                      <w:kern w:val="0"/>
                      <w:sz w:val="21"/>
                      <w:szCs w:val="21"/>
                      <w:lang w:val="en-US" w:eastAsia="zh-CN"/>
                    </w:rPr>
                    <w:t>营运期：无废水排放。</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eastAsia="zh-CN"/>
                    </w:rPr>
                  </w:pPr>
                  <w:r>
                    <w:rPr>
                      <w:rFonts w:hint="eastAsia" w:cs="Times New Roman"/>
                      <w:color w:val="auto"/>
                      <w:kern w:val="0"/>
                      <w:sz w:val="21"/>
                      <w:szCs w:val="21"/>
                      <w:lang w:val="en-US" w:eastAsia="zh-CN"/>
                    </w:rPr>
                    <w:t>/</w:t>
                  </w:r>
                </w:p>
              </w:tc>
              <w:tc>
                <w:tcPr>
                  <w:tcW w:w="62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7"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废气</w:t>
                  </w:r>
                </w:p>
              </w:tc>
              <w:tc>
                <w:tcPr>
                  <w:tcW w:w="4995" w:type="dxa"/>
                  <w:tcBorders>
                    <w:tl2br w:val="nil"/>
                    <w:tr2bl w:val="nil"/>
                  </w:tcBorders>
                  <w:shd w:val="clear" w:color="auto" w:fill="auto"/>
                  <w:vAlign w:val="center"/>
                </w:tcPr>
                <w:p>
                  <w:pPr>
                    <w:adjustRightInd w:val="0"/>
                    <w:snapToGrid w:val="0"/>
                    <w:rPr>
                      <w:rFonts w:hint="default" w:ascii="Times New Roman" w:hAnsi="Times New Roman"/>
                      <w:color w:val="auto"/>
                      <w:lang w:val="en-US" w:eastAsia="zh-CN"/>
                    </w:rPr>
                  </w:pPr>
                  <w:r>
                    <w:rPr>
                      <w:rFonts w:hint="eastAsia" w:cs="Times New Roman"/>
                      <w:b/>
                      <w:bCs/>
                      <w:color w:val="auto"/>
                      <w:kern w:val="0"/>
                      <w:sz w:val="21"/>
                      <w:szCs w:val="21"/>
                      <w:lang w:val="en-US" w:eastAsia="zh-CN"/>
                    </w:rPr>
                    <w:t>施工期已采取措施：</w:t>
                  </w:r>
                  <w:r>
                    <w:rPr>
                      <w:rFonts w:hint="eastAsia" w:cs="Times New Roman"/>
                      <w:b w:val="0"/>
                      <w:bCs w:val="0"/>
                      <w:color w:val="auto"/>
                      <w:kern w:val="0"/>
                      <w:sz w:val="21"/>
                      <w:szCs w:val="21"/>
                      <w:lang w:val="en-US" w:eastAsia="zh-CN"/>
                    </w:rPr>
                    <w:t>扬尘污染防治</w:t>
                  </w:r>
                  <w:r>
                    <w:rPr>
                      <w:rFonts w:hint="eastAsia" w:cs="Times New Roman"/>
                      <w:color w:val="auto"/>
                      <w:kern w:val="0"/>
                      <w:sz w:val="21"/>
                      <w:szCs w:val="21"/>
                      <w:lang w:val="en-US" w:eastAsia="zh-CN"/>
                    </w:rPr>
                    <w:t>“六必须、六不准”，以及重污染天气增加</w:t>
                  </w:r>
                  <w:r>
                    <w:rPr>
                      <w:rFonts w:ascii="Times New Roman" w:hAnsi="Times New Roman"/>
                      <w:color w:val="auto"/>
                    </w:rPr>
                    <w:t>洒水</w:t>
                  </w:r>
                  <w:r>
                    <w:rPr>
                      <w:rFonts w:hint="eastAsia" w:ascii="Times New Roman" w:hAnsi="Times New Roman"/>
                      <w:color w:val="auto"/>
                      <w:lang w:val="en-US" w:eastAsia="zh-CN"/>
                    </w:rPr>
                    <w:t>频次</w:t>
                  </w:r>
                  <w:r>
                    <w:rPr>
                      <w:rFonts w:ascii="Times New Roman" w:hAnsi="Times New Roman"/>
                      <w:color w:val="auto"/>
                    </w:rPr>
                    <w:t>、</w:t>
                  </w:r>
                  <w:r>
                    <w:rPr>
                      <w:rFonts w:hint="eastAsia" w:ascii="Times New Roman" w:hAnsi="Times New Roman"/>
                      <w:color w:val="auto"/>
                      <w:lang w:val="en-US" w:eastAsia="zh-CN"/>
                    </w:rPr>
                    <w:t>裸露场地全覆盖等措施。</w:t>
                  </w:r>
                  <w:r>
                    <w:rPr>
                      <w:rFonts w:hint="eastAsia" w:cs="Times New Roman"/>
                      <w:b w:val="0"/>
                      <w:bCs w:val="0"/>
                      <w:color w:val="auto"/>
                      <w:kern w:val="0"/>
                      <w:sz w:val="21"/>
                      <w:szCs w:val="21"/>
                      <w:lang w:val="en-US" w:eastAsia="zh-CN"/>
                    </w:rPr>
                    <w:t>项目施工期已结束，施工期未收到扬尘污染投诉。</w:t>
                  </w:r>
                </w:p>
                <w:p>
                  <w:pPr>
                    <w:adjustRightInd w:val="0"/>
                    <w:snapToGrid w:val="0"/>
                    <w:rPr>
                      <w:rFonts w:hint="default"/>
                      <w:color w:val="auto"/>
                      <w:lang w:val="en-US" w:eastAsia="zh-CN"/>
                    </w:rPr>
                  </w:pPr>
                  <w:r>
                    <w:rPr>
                      <w:rFonts w:hint="eastAsia" w:cs="Times New Roman"/>
                      <w:b/>
                      <w:bCs/>
                      <w:color w:val="auto"/>
                      <w:kern w:val="0"/>
                      <w:sz w:val="21"/>
                      <w:szCs w:val="21"/>
                      <w:lang w:val="en-US" w:eastAsia="zh-CN"/>
                    </w:rPr>
                    <w:t>营运期：</w:t>
                  </w:r>
                  <w:r>
                    <w:rPr>
                      <w:rFonts w:hint="eastAsia" w:cs="Times New Roman"/>
                      <w:color w:val="auto"/>
                      <w:kern w:val="0"/>
                      <w:sz w:val="21"/>
                      <w:szCs w:val="21"/>
                      <w:lang w:val="en-US" w:eastAsia="zh-CN"/>
                    </w:rPr>
                    <w:t>本项目营运期无废气排放。</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25"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噪声</w:t>
                  </w:r>
                </w:p>
              </w:tc>
              <w:tc>
                <w:tcPr>
                  <w:tcW w:w="4995" w:type="dxa"/>
                  <w:tcBorders>
                    <w:tl2br w:val="nil"/>
                    <w:tr2bl w:val="nil"/>
                  </w:tcBorders>
                  <w:shd w:val="clear" w:color="auto" w:fill="auto"/>
                  <w:vAlign w:val="center"/>
                </w:tcPr>
                <w:p>
                  <w:pPr>
                    <w:pStyle w:val="84"/>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hint="default" w:cs="Times New Roman"/>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bidi="ar-SA"/>
                    </w:rPr>
                    <w:t>施工期已采取措施：</w:t>
                  </w:r>
                  <w:r>
                    <w:rPr>
                      <w:rFonts w:hint="eastAsia" w:ascii="Times New Roman" w:hAnsi="Times New Roman" w:eastAsia="宋体" w:cs="Times New Roman"/>
                      <w:b w:val="0"/>
                      <w:bCs w:val="0"/>
                      <w:color w:val="auto"/>
                      <w:kern w:val="0"/>
                      <w:sz w:val="21"/>
                      <w:szCs w:val="21"/>
                      <w:lang w:val="en-US" w:eastAsia="zh-CN" w:bidi="ar-SA"/>
                    </w:rPr>
                    <w:t>合理安排施工时段，高噪声施工尽量避免夜间、午间施工；运输车辆、施工设备尽量避免鸣笛等。</w:t>
                  </w:r>
                  <w:r>
                    <w:rPr>
                      <w:rFonts w:hint="eastAsia" w:cs="Times New Roman"/>
                      <w:b w:val="0"/>
                      <w:bCs w:val="0"/>
                      <w:color w:val="auto"/>
                      <w:kern w:val="0"/>
                      <w:sz w:val="21"/>
                      <w:szCs w:val="21"/>
                      <w:lang w:val="en-US" w:eastAsia="zh-CN"/>
                    </w:rPr>
                    <w:t>项目施工期已结束，施工期未收到噪声污染投诉。</w:t>
                  </w:r>
                </w:p>
                <w:p>
                  <w:pPr>
                    <w:adjustRightInd w:val="0"/>
                    <w:snapToGrid w:val="0"/>
                    <w:rPr>
                      <w:rFonts w:cs="Times New Roman"/>
                      <w:color w:val="auto"/>
                      <w:kern w:val="0"/>
                      <w:sz w:val="21"/>
                      <w:szCs w:val="21"/>
                    </w:rPr>
                  </w:pPr>
                  <w:r>
                    <w:rPr>
                      <w:rFonts w:hint="eastAsia" w:cs="Times New Roman"/>
                      <w:b/>
                      <w:bCs/>
                      <w:color w:val="auto"/>
                      <w:kern w:val="0"/>
                      <w:sz w:val="21"/>
                      <w:szCs w:val="21"/>
                      <w:lang w:val="en-US" w:eastAsia="zh-CN"/>
                    </w:rPr>
                    <w:t>营运期措施：</w:t>
                  </w:r>
                  <w:r>
                    <w:rPr>
                      <w:rFonts w:hint="eastAsia" w:cs="Times New Roman"/>
                      <w:color w:val="auto"/>
                      <w:kern w:val="0"/>
                      <w:sz w:val="21"/>
                      <w:szCs w:val="21"/>
                      <w:lang w:val="en-US" w:eastAsia="zh-CN"/>
                    </w:rPr>
                    <w:t>主要噪声源为水泵噪声，通过采用低噪声水泵，底座</w:t>
                  </w:r>
                  <w:r>
                    <w:rPr>
                      <w:rFonts w:cs="Times New Roman"/>
                      <w:color w:val="auto"/>
                      <w:kern w:val="0"/>
                      <w:sz w:val="21"/>
                      <w:szCs w:val="21"/>
                    </w:rPr>
                    <w:t>安装减振垫。</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固废</w:t>
                  </w:r>
                </w:p>
              </w:tc>
              <w:tc>
                <w:tcPr>
                  <w:tcW w:w="4995" w:type="dxa"/>
                  <w:tcBorders>
                    <w:tl2br w:val="nil"/>
                    <w:tr2bl w:val="nil"/>
                  </w:tcBorders>
                  <w:shd w:val="clear" w:color="auto" w:fill="auto"/>
                  <w:vAlign w:val="center"/>
                </w:tcPr>
                <w:p>
                  <w:pPr>
                    <w:rPr>
                      <w:rFonts w:hint="eastAsia" w:cs="Times New Roman"/>
                      <w:color w:val="auto"/>
                      <w:kern w:val="0"/>
                      <w:sz w:val="21"/>
                      <w:szCs w:val="21"/>
                      <w:highlight w:val="none"/>
                      <w:lang w:val="en-US" w:eastAsia="zh-CN"/>
                    </w:rPr>
                  </w:pPr>
                  <w:r>
                    <w:rPr>
                      <w:rFonts w:hint="eastAsia" w:cs="Times New Roman"/>
                      <w:b/>
                      <w:bCs/>
                      <w:color w:val="auto"/>
                      <w:kern w:val="0"/>
                      <w:sz w:val="21"/>
                      <w:szCs w:val="21"/>
                      <w:lang w:val="en-US" w:eastAsia="zh-CN"/>
                    </w:rPr>
                    <w:t>施工期固废处置措施：</w:t>
                  </w:r>
                  <w:r>
                    <w:rPr>
                      <w:rFonts w:hint="eastAsia" w:cs="Times New Roman"/>
                      <w:color w:val="auto"/>
                      <w:kern w:val="0"/>
                      <w:sz w:val="21"/>
                      <w:szCs w:val="21"/>
                      <w:lang w:val="en-US" w:eastAsia="zh-CN"/>
                    </w:rPr>
                    <w:t>生活垃圾集中收集后交由环卫部门清运；项目土石方挖填平衡，无弃土外运；施工建筑垃圾主要为金属废料，经回收后外售废品回收站</w:t>
                  </w:r>
                  <w:r>
                    <w:rPr>
                      <w:rFonts w:hint="eastAsia" w:cs="Times New Roman"/>
                      <w:color w:val="auto"/>
                      <w:kern w:val="0"/>
                      <w:sz w:val="21"/>
                      <w:szCs w:val="21"/>
                      <w:highlight w:val="none"/>
                      <w:lang w:val="en-US" w:eastAsia="zh-CN"/>
                    </w:rPr>
                    <w:t>。</w:t>
                  </w:r>
                </w:p>
                <w:p>
                  <w:pPr>
                    <w:rPr>
                      <w:rFonts w:hint="default" w:cs="Times New Roman"/>
                      <w:color w:val="auto"/>
                      <w:kern w:val="0"/>
                      <w:sz w:val="21"/>
                      <w:szCs w:val="21"/>
                      <w:lang w:val="en-US" w:eastAsia="zh-CN"/>
                    </w:rPr>
                  </w:pPr>
                  <w:r>
                    <w:rPr>
                      <w:rFonts w:hint="eastAsia" w:cs="Times New Roman"/>
                      <w:b/>
                      <w:bCs/>
                      <w:color w:val="auto"/>
                      <w:kern w:val="0"/>
                      <w:sz w:val="21"/>
                      <w:szCs w:val="21"/>
                      <w:lang w:val="en-US" w:eastAsia="zh-CN"/>
                    </w:rPr>
                    <w:t>营运期固废处置措施：</w:t>
                  </w:r>
                  <w:r>
                    <w:rPr>
                      <w:rFonts w:hint="eastAsia" w:cs="Times New Roman"/>
                      <w:color w:val="auto"/>
                      <w:kern w:val="0"/>
                      <w:sz w:val="21"/>
                      <w:szCs w:val="21"/>
                      <w:lang w:val="en-US" w:eastAsia="zh-CN"/>
                    </w:rPr>
                    <w:t>运维人员生活垃圾，通过设置的垃圾桶收集后，交由环卫部门清运；维修保养产生的废机油及含油棉纱（手套），</w:t>
                  </w:r>
                  <w:r>
                    <w:rPr>
                      <w:rFonts w:hint="eastAsia" w:cs="Times New Roman"/>
                      <w:b/>
                      <w:bCs/>
                      <w:color w:val="auto"/>
                      <w:kern w:val="0"/>
                      <w:sz w:val="21"/>
                      <w:szCs w:val="21"/>
                      <w:lang w:val="en-US" w:eastAsia="zh-CN"/>
                    </w:rPr>
                    <w:t>依托东柳水厂危废暂存间暂存后交由有资质单位处置。</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已建</w:t>
                  </w:r>
                </w:p>
                <w:p>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trPr>
              <w:tc>
                <w:tcPr>
                  <w:tcW w:w="478"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702" w:type="dxa"/>
                  <w:tcBorders>
                    <w:tl2br w:val="nil"/>
                    <w:tr2bl w:val="nil"/>
                  </w:tcBorders>
                  <w:shd w:val="clear" w:color="auto" w:fill="auto"/>
                  <w:vAlign w:val="center"/>
                </w:tcPr>
                <w:p>
                  <w:pPr>
                    <w:adjustRightInd w:val="0"/>
                    <w:snapToGrid w:val="0"/>
                    <w:jc w:val="center"/>
                    <w:rPr>
                      <w:rFonts w:hint="default" w:eastAsia="宋体" w:cs="Times New Roman"/>
                      <w:color w:val="auto"/>
                      <w:kern w:val="0"/>
                      <w:sz w:val="21"/>
                      <w:szCs w:val="21"/>
                      <w:lang w:val="en-US" w:eastAsia="zh-CN"/>
                    </w:rPr>
                  </w:pPr>
                  <w:r>
                    <w:rPr>
                      <w:rFonts w:cs="Times New Roman"/>
                      <w:color w:val="auto"/>
                      <w:kern w:val="0"/>
                      <w:sz w:val="21"/>
                      <w:szCs w:val="21"/>
                    </w:rPr>
                    <w:t>地下水</w:t>
                  </w:r>
                  <w:r>
                    <w:rPr>
                      <w:rFonts w:hint="eastAsia" w:cs="Times New Roman"/>
                      <w:color w:val="auto"/>
                      <w:kern w:val="0"/>
                      <w:sz w:val="21"/>
                      <w:szCs w:val="21"/>
                      <w:lang w:val="en-US" w:eastAsia="zh-CN"/>
                    </w:rPr>
                    <w:t>及土壤</w:t>
                  </w:r>
                </w:p>
              </w:tc>
              <w:tc>
                <w:tcPr>
                  <w:tcW w:w="4995" w:type="dxa"/>
                  <w:tcBorders>
                    <w:tl2br w:val="nil"/>
                    <w:tr2bl w:val="nil"/>
                  </w:tcBorders>
                  <w:shd w:val="clear" w:color="auto" w:fill="auto"/>
                  <w:vAlign w:val="center"/>
                </w:tcPr>
                <w:p>
                  <w:pPr>
                    <w:rPr>
                      <w:rFonts w:cs="Times New Roman"/>
                      <w:color w:val="auto"/>
                      <w:kern w:val="0"/>
                      <w:sz w:val="21"/>
                      <w:szCs w:val="21"/>
                    </w:rPr>
                  </w:pPr>
                  <w:r>
                    <w:rPr>
                      <w:rFonts w:hint="eastAsia" w:cs="Times New Roman"/>
                      <w:color w:val="auto"/>
                      <w:kern w:val="0"/>
                      <w:sz w:val="21"/>
                      <w:szCs w:val="21"/>
                      <w:lang w:val="en-US" w:eastAsia="zh-CN"/>
                    </w:rPr>
                    <w:t>采用分区防渗，一般防渗区：加压泵站、吸水调节池；</w:t>
                  </w:r>
                  <w:r>
                    <w:rPr>
                      <w:rFonts w:hint="eastAsia" w:cs="Times New Roman"/>
                      <w:color w:val="auto"/>
                      <w:sz w:val="21"/>
                      <w:szCs w:val="21"/>
                      <w:lang w:val="en-US" w:eastAsia="zh-CN"/>
                    </w:rPr>
                    <w:t>简单防渗区：值班室。</w:t>
                  </w:r>
                </w:p>
              </w:tc>
              <w:tc>
                <w:tcPr>
                  <w:tcW w:w="727" w:type="dxa"/>
                  <w:vMerge w:val="continue"/>
                  <w:tcBorders>
                    <w:tl2br w:val="nil"/>
                    <w:tr2bl w:val="nil"/>
                  </w:tcBorders>
                  <w:shd w:val="clear" w:color="auto" w:fill="auto"/>
                  <w:vAlign w:val="center"/>
                </w:tcPr>
                <w:p>
                  <w:pPr>
                    <w:adjustRightInd w:val="0"/>
                    <w:snapToGrid w:val="0"/>
                    <w:jc w:val="center"/>
                    <w:rPr>
                      <w:rFonts w:cs="Times New Roman"/>
                      <w:color w:val="auto"/>
                      <w:kern w:val="0"/>
                      <w:sz w:val="21"/>
                      <w:szCs w:val="21"/>
                    </w:rPr>
                  </w:pPr>
                </w:p>
              </w:tc>
              <w:tc>
                <w:tcPr>
                  <w:tcW w:w="653" w:type="dxa"/>
                  <w:tcBorders>
                    <w:tl2br w:val="nil"/>
                    <w:tr2bl w:val="nil"/>
                  </w:tcBorders>
                  <w:shd w:val="clear" w:color="auto" w:fill="auto"/>
                  <w:vAlign w:val="center"/>
                </w:tcPr>
                <w:p>
                  <w:pPr>
                    <w:adjustRightInd w:val="0"/>
                    <w:snapToGrid w:val="0"/>
                    <w:jc w:val="center"/>
                    <w:rPr>
                      <w:rFonts w:cs="Times New Roman"/>
                      <w:color w:val="auto"/>
                      <w:kern w:val="0"/>
                      <w:sz w:val="21"/>
                      <w:szCs w:val="21"/>
                    </w:rPr>
                  </w:pPr>
                  <w:r>
                    <w:rPr>
                      <w:rFonts w:cs="Times New Roman"/>
                      <w:color w:val="auto"/>
                      <w:kern w:val="0"/>
                      <w:sz w:val="21"/>
                      <w:szCs w:val="21"/>
                    </w:rPr>
                    <w:t>/</w:t>
                  </w:r>
                </w:p>
              </w:tc>
              <w:tc>
                <w:tcPr>
                  <w:tcW w:w="625" w:type="dxa"/>
                  <w:tcBorders>
                    <w:tl2br w:val="nil"/>
                    <w:tr2bl w:val="nil"/>
                  </w:tcBorders>
                  <w:shd w:val="clear" w:color="auto" w:fill="auto"/>
                  <w:vAlign w:val="center"/>
                </w:tcPr>
                <w:p>
                  <w:pPr>
                    <w:adjustRightInd w:val="0"/>
                    <w:snapToGrid w:val="0"/>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已建</w:t>
                  </w:r>
                </w:p>
              </w:tc>
            </w:tr>
          </w:tbl>
          <w:p>
            <w:pPr>
              <w:spacing w:line="360" w:lineRule="auto"/>
              <w:ind w:firstLine="482" w:firstLineChars="200"/>
              <w:rPr>
                <w:rFonts w:hint="eastAsia" w:ascii="Times New Roman" w:hAnsi="Times New Roman" w:eastAsia="宋体" w:cs="Times New Roman"/>
                <w:b/>
                <w:bCs/>
                <w:color w:val="auto"/>
                <w:sz w:val="24"/>
                <w:szCs w:val="20"/>
                <w:lang w:val="en-US" w:eastAsia="zh-CN"/>
              </w:rPr>
            </w:pPr>
            <w:r>
              <w:rPr>
                <w:rFonts w:hint="eastAsia"/>
                <w:b/>
                <w:bCs/>
                <w:color w:val="auto"/>
                <w:sz w:val="24"/>
                <w:szCs w:val="20"/>
                <w:lang w:val="en-US" w:eastAsia="zh-CN"/>
              </w:rPr>
              <w:t>5、</w:t>
            </w:r>
            <w:r>
              <w:rPr>
                <w:rFonts w:hint="eastAsia" w:ascii="Times New Roman" w:hAnsi="Times New Roman" w:eastAsia="宋体" w:cs="Times New Roman"/>
                <w:b/>
                <w:bCs/>
                <w:color w:val="auto"/>
                <w:sz w:val="24"/>
                <w:szCs w:val="20"/>
                <w:lang w:val="en-US" w:eastAsia="zh-CN"/>
              </w:rPr>
              <w:t>主要构（建）筑工程量</w:t>
            </w:r>
          </w:p>
          <w:p>
            <w:pPr>
              <w:pStyle w:val="84"/>
              <w:ind w:firstLine="480" w:firstLineChars="200"/>
              <w:rPr>
                <w:rFonts w:ascii="Times New Roman" w:hAnsi="Times New Roman"/>
                <w:color w:val="auto"/>
              </w:rPr>
            </w:pPr>
            <w:r>
              <w:rPr>
                <w:rFonts w:ascii="Times New Roman" w:hAnsi="Times New Roman"/>
                <w:color w:val="auto"/>
              </w:rPr>
              <w:t>项目主要构（建）筑物如下：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表2-2 本项目主要构（建）筑物一览表</w:t>
            </w:r>
          </w:p>
          <w:tbl>
            <w:tblPr>
              <w:tblStyle w:val="28"/>
              <w:tblW w:w="81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461"/>
              <w:gridCol w:w="1960"/>
              <w:gridCol w:w="1471"/>
              <w:gridCol w:w="823"/>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编号</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规格</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材料</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吸水调节池</w:t>
                  </w:r>
                  <w:r>
                    <w:rPr>
                      <w:rFonts w:hint="default" w:ascii="Times New Roman" w:hAnsi="Times New Roman" w:cs="Times New Roman"/>
                      <w:color w:val="auto"/>
                      <w:sz w:val="21"/>
                      <w:szCs w:val="21"/>
                      <w:lang w:val="en-US" w:eastAsia="zh-CN"/>
                    </w:rPr>
                    <w:t>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25</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11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加压泵房</w:t>
                  </w:r>
                  <w:r>
                    <w:rPr>
                      <w:rFonts w:hint="default" w:ascii="Times New Roman" w:hAnsi="Times New Roman" w:cs="Times New Roman"/>
                      <w:color w:val="auto"/>
                      <w:sz w:val="21"/>
                      <w:szCs w:val="21"/>
                      <w:lang w:val="en-US" w:eastAsia="zh-CN"/>
                    </w:rPr>
                    <w:t>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25.3</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8.5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值班室</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11.2</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5.5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.5m</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钢筋混凝土</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1"/>
                      <w:szCs w:val="21"/>
                      <w:lang w:eastAsia="zh-CN"/>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3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46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管沟基础</w:t>
                  </w:r>
                </w:p>
              </w:tc>
              <w:tc>
                <w:tcPr>
                  <w:tcW w:w="196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7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砂石基础</w:t>
                  </w:r>
                </w:p>
              </w:tc>
              <w:tc>
                <w:tcPr>
                  <w:tcW w:w="82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m</w:t>
                  </w:r>
                </w:p>
              </w:tc>
              <w:tc>
                <w:tcPr>
                  <w:tcW w:w="83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tabs>
                      <w:tab w:val="left" w:pos="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4500</w:t>
                  </w:r>
                </w:p>
              </w:tc>
            </w:tr>
          </w:tbl>
          <w:p>
            <w:p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eastAsia"/>
                <w:b/>
                <w:bCs/>
                <w:color w:val="auto"/>
                <w:sz w:val="24"/>
                <w:szCs w:val="20"/>
                <w:lang w:val="en-US" w:eastAsia="zh-CN"/>
              </w:rPr>
              <w:t>6、</w:t>
            </w:r>
            <w:r>
              <w:rPr>
                <w:rFonts w:hint="eastAsia" w:ascii="Times New Roman" w:hAnsi="Times New Roman" w:eastAsia="宋体" w:cs="Times New Roman"/>
                <w:b/>
                <w:bCs/>
                <w:color w:val="auto"/>
                <w:sz w:val="24"/>
                <w:szCs w:val="20"/>
                <w:lang w:val="en-US" w:eastAsia="zh-CN"/>
              </w:rPr>
              <w:t>主要设备清单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表2-3 本项目主要设备清单</w:t>
            </w:r>
          </w:p>
          <w:tbl>
            <w:tblPr>
              <w:tblStyle w:val="28"/>
              <w:tblW w:w="81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046"/>
              <w:gridCol w:w="3218"/>
              <w:gridCol w:w="643"/>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一</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lang w:val="en-US"/>
                    </w:rPr>
                  </w:pPr>
                  <w:r>
                    <w:rPr>
                      <w:rFonts w:hint="eastAsia" w:cs="Times New Roman"/>
                      <w:b/>
                      <w:bCs/>
                      <w:color w:val="auto"/>
                      <w:sz w:val="21"/>
                      <w:szCs w:val="21"/>
                      <w:lang w:val="en-US" w:eastAsia="zh-CN"/>
                    </w:rPr>
                    <w:t>加压泵站</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eastAsia" w:cs="Times New Roman"/>
                      <w:color w:val="auto"/>
                      <w:sz w:val="21"/>
                      <w:szCs w:val="21"/>
                      <w:lang w:val="en-US" w:eastAsia="zh-CN"/>
                    </w:rPr>
                    <w:t>24.78m×7.98m×5.6m</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座</w:t>
                  </w: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水泵</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Q=760m³/h，H=15m，N=55kw；</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水泵</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Q=220m³/h，H=30m，N=37kw</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混凝反应池</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olor w:val="auto"/>
                      <w:lang w:val="en-US" w:eastAsia="zh-CN"/>
                    </w:rPr>
                    <w:t>8</w:t>
                  </w:r>
                  <w:r>
                    <w:rPr>
                      <w:rFonts w:hint="eastAsia"/>
                      <w:color w:val="auto"/>
                    </w:rPr>
                    <w:t>m×</w:t>
                  </w:r>
                  <w:r>
                    <w:rPr>
                      <w:rFonts w:hint="eastAsia"/>
                      <w:color w:val="auto"/>
                      <w:lang w:val="en-US" w:eastAsia="zh-CN"/>
                    </w:rPr>
                    <w:t>4m×4</w:t>
                  </w:r>
                  <w:r>
                    <w:rPr>
                      <w:rFonts w:hint="eastAsia"/>
                      <w:color w:val="auto"/>
                    </w:rPr>
                    <w:t>m</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潜水搅拌机</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PAM）</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直径：420mm 转速：264r/mim ，电机功率：0.55 kW</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七</w:t>
                  </w:r>
                </w:p>
              </w:tc>
              <w:tc>
                <w:tcPr>
                  <w:tcW w:w="7508" w:type="dxa"/>
                  <w:gridSpan w:val="4"/>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主要</w:t>
                  </w:r>
                  <w:r>
                    <w:rPr>
                      <w:rFonts w:hint="eastAsia" w:ascii="Times New Roman" w:hAnsi="Times New Roman" w:cs="Times New Roman"/>
                      <w:color w:val="auto"/>
                      <w:sz w:val="21"/>
                      <w:szCs w:val="21"/>
                      <w:lang w:val="en-US" w:eastAsia="zh-CN"/>
                    </w:rPr>
                    <w:t>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cs="宋体"/>
                      <w:color w:val="auto"/>
                      <w:kern w:val="0"/>
                      <w:sz w:val="21"/>
                      <w:szCs w:val="21"/>
                      <w:lang w:val="en-US" w:eastAsia="zh-CN"/>
                    </w:rPr>
                    <w:t>1</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低压开关柜</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固定分隔柜，2200*800*600mm</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cs="宋体"/>
                      <w:color w:val="auto"/>
                      <w:kern w:val="0"/>
                      <w:sz w:val="21"/>
                      <w:szCs w:val="21"/>
                      <w:lang w:val="en-US" w:eastAsia="zh-CN"/>
                    </w:rPr>
                    <w:t>2</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动力配电柜</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XL-21</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cs="宋体"/>
                      <w:color w:val="auto"/>
                      <w:kern w:val="0"/>
                      <w:sz w:val="21"/>
                      <w:szCs w:val="21"/>
                      <w:lang w:val="en-US" w:eastAsia="zh-CN"/>
                    </w:rPr>
                    <w:t>3</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现场控制箱/柜</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304不锈钢，IP54</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cs="宋体"/>
                      <w:color w:val="auto"/>
                      <w:kern w:val="0"/>
                      <w:sz w:val="21"/>
                      <w:szCs w:val="21"/>
                      <w:lang w:val="en-US" w:eastAsia="zh-CN"/>
                    </w:rPr>
                    <w:t>4</w:t>
                  </w:r>
                </w:p>
              </w:tc>
              <w:tc>
                <w:tcPr>
                  <w:tcW w:w="20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宋体"/>
                      <w:color w:val="auto"/>
                      <w:kern w:val="0"/>
                      <w:sz w:val="21"/>
                      <w:szCs w:val="21"/>
                    </w:rPr>
                    <w:t>照明配电箱</w:t>
                  </w:r>
                </w:p>
              </w:tc>
              <w:tc>
                <w:tcPr>
                  <w:tcW w:w="321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lang w:val="zh-CN"/>
                    </w:rPr>
                  </w:pPr>
                  <w:r>
                    <w:rPr>
                      <w:rFonts w:hint="eastAsia" w:cs="宋体"/>
                      <w:color w:val="auto"/>
                      <w:kern w:val="0"/>
                      <w:sz w:val="21"/>
                      <w:szCs w:val="21"/>
                    </w:rPr>
                    <w:t>非标</w:t>
                  </w:r>
                </w:p>
              </w:tc>
              <w:tc>
                <w:tcPr>
                  <w:tcW w:w="64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60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r>
          </w:tbl>
          <w:p>
            <w:p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eastAsia"/>
                <w:b/>
                <w:bCs/>
                <w:color w:val="auto"/>
                <w:sz w:val="24"/>
                <w:szCs w:val="20"/>
                <w:lang w:val="en-US" w:eastAsia="zh-CN"/>
              </w:rPr>
              <w:t>7、</w:t>
            </w:r>
            <w:r>
              <w:rPr>
                <w:rFonts w:hint="eastAsia" w:ascii="Times New Roman" w:hAnsi="Times New Roman" w:eastAsia="宋体" w:cs="Times New Roman"/>
                <w:b/>
                <w:bCs/>
                <w:color w:val="auto"/>
                <w:sz w:val="24"/>
                <w:szCs w:val="20"/>
                <w:lang w:val="en-US" w:eastAsia="zh-CN"/>
              </w:rPr>
              <w:t>主要</w:t>
            </w:r>
            <w:r>
              <w:rPr>
                <w:rFonts w:hint="eastAsia" w:cs="Times New Roman"/>
                <w:b/>
                <w:bCs/>
                <w:color w:val="auto"/>
                <w:sz w:val="24"/>
                <w:szCs w:val="20"/>
                <w:lang w:val="en-US" w:eastAsia="zh-CN"/>
              </w:rPr>
              <w:t>原辅材料及能源消耗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w:t>
            </w:r>
            <w:r>
              <w:rPr>
                <w:rFonts w:hint="eastAsia" w:cs="Times New Roman"/>
                <w:b/>
                <w:bCs/>
                <w:color w:val="auto"/>
                <w:kern w:val="0"/>
                <w:sz w:val="21"/>
                <w:szCs w:val="21"/>
                <w:lang w:val="en-US" w:eastAsia="zh-CN"/>
              </w:rPr>
              <w:t>4</w:t>
            </w:r>
            <w:r>
              <w:rPr>
                <w:rFonts w:hint="eastAsia" w:ascii="Times New Roman" w:hAnsi="Times New Roman" w:eastAsia="宋体" w:cs="Times New Roman"/>
                <w:b/>
                <w:bCs/>
                <w:color w:val="auto"/>
                <w:kern w:val="0"/>
                <w:sz w:val="21"/>
                <w:szCs w:val="21"/>
                <w:lang w:val="en-US" w:eastAsia="zh-CN"/>
              </w:rPr>
              <w:t xml:space="preserve"> </w:t>
            </w:r>
            <w:r>
              <w:rPr>
                <w:rFonts w:hint="eastAsia" w:cs="Times New Roman"/>
                <w:b/>
                <w:bCs/>
                <w:color w:val="auto"/>
                <w:kern w:val="0"/>
                <w:sz w:val="21"/>
                <w:szCs w:val="21"/>
                <w:lang w:val="en-US" w:eastAsia="zh-CN"/>
              </w:rPr>
              <w:t>主要能源消耗一览表</w:t>
            </w:r>
          </w:p>
          <w:tbl>
            <w:tblPr>
              <w:tblStyle w:val="28"/>
              <w:tblW w:w="8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756"/>
              <w:gridCol w:w="1430"/>
              <w:gridCol w:w="1248"/>
              <w:gridCol w:w="1333"/>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80" w:hRule="atLeast"/>
              </w:trPr>
              <w:tc>
                <w:tcPr>
                  <w:tcW w:w="756"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1430"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1248"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bidi="ar"/>
                    </w:rPr>
                    <w:t>单位</w:t>
                  </w:r>
                </w:p>
              </w:tc>
              <w:tc>
                <w:tcPr>
                  <w:tcW w:w="13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年</w:t>
                  </w:r>
                  <w:r>
                    <w:rPr>
                      <w:rFonts w:hint="eastAsia" w:ascii="Times New Roman" w:hAnsi="Times New Roman" w:eastAsia="宋体" w:cs="Times New Roman"/>
                      <w:i w:val="0"/>
                      <w:iCs w:val="0"/>
                      <w:color w:val="auto"/>
                      <w:kern w:val="0"/>
                      <w:sz w:val="18"/>
                      <w:szCs w:val="18"/>
                      <w:highlight w:val="none"/>
                      <w:u w:val="none"/>
                      <w:lang w:val="en-US" w:eastAsia="zh-CN" w:bidi="ar"/>
                    </w:rPr>
                    <w:t>用量</w:t>
                  </w:r>
                </w:p>
              </w:tc>
              <w:tc>
                <w:tcPr>
                  <w:tcW w:w="3410"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0" w:hRule="atLeast"/>
              </w:trPr>
              <w:tc>
                <w:tcPr>
                  <w:tcW w:w="756"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w:t>
                  </w:r>
                </w:p>
              </w:tc>
              <w:tc>
                <w:tcPr>
                  <w:tcW w:w="1430"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电</w:t>
                  </w:r>
                </w:p>
              </w:tc>
              <w:tc>
                <w:tcPr>
                  <w:tcW w:w="1248"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万kw·h</w:t>
                  </w:r>
                </w:p>
              </w:tc>
              <w:tc>
                <w:tcPr>
                  <w:tcW w:w="1333"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21"/>
                      <w:lang w:val="en-US" w:eastAsia="zh-CN"/>
                    </w:rPr>
                    <w:t>220</w:t>
                  </w:r>
                </w:p>
              </w:tc>
              <w:tc>
                <w:tcPr>
                  <w:tcW w:w="3410"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园区供电网路供电</w:t>
                  </w:r>
                </w:p>
              </w:tc>
            </w:tr>
          </w:tbl>
          <w:p>
            <w:pPr>
              <w:spacing w:line="360" w:lineRule="auto"/>
              <w:rPr>
                <w:b/>
                <w:color w:val="auto"/>
                <w:sz w:val="24"/>
                <w:szCs w:val="20"/>
              </w:rPr>
            </w:pPr>
            <w:r>
              <w:rPr>
                <w:b/>
                <w:color w:val="auto"/>
                <w:sz w:val="24"/>
                <w:szCs w:val="20"/>
              </w:rPr>
              <w:t>六、工作制度、人员编制及运行方式</w:t>
            </w:r>
          </w:p>
          <w:p>
            <w:pPr>
              <w:spacing w:line="360" w:lineRule="auto"/>
              <w:ind w:firstLine="482"/>
              <w:rPr>
                <w:color w:val="auto"/>
              </w:rPr>
            </w:pPr>
            <w:r>
              <w:rPr>
                <w:bCs/>
                <w:color w:val="auto"/>
                <w:sz w:val="24"/>
                <w:szCs w:val="20"/>
              </w:rPr>
              <w:t>本工程</w:t>
            </w:r>
            <w:r>
              <w:rPr>
                <w:rFonts w:hint="eastAsia"/>
                <w:bCs/>
                <w:color w:val="auto"/>
                <w:sz w:val="24"/>
                <w:szCs w:val="20"/>
                <w:lang w:val="en-US" w:eastAsia="zh-CN"/>
              </w:rPr>
              <w:t>设置值班人员1</w:t>
            </w:r>
            <w:r>
              <w:rPr>
                <w:bCs/>
                <w:color w:val="auto"/>
                <w:sz w:val="24"/>
                <w:szCs w:val="20"/>
              </w:rPr>
              <w:t>人</w:t>
            </w:r>
            <w:r>
              <w:rPr>
                <w:rFonts w:hint="eastAsia"/>
                <w:bCs/>
                <w:color w:val="auto"/>
                <w:sz w:val="24"/>
                <w:szCs w:val="20"/>
                <w:lang w:eastAsia="zh-CN"/>
              </w:rPr>
              <w:t>，</w:t>
            </w:r>
            <w:r>
              <w:rPr>
                <w:rFonts w:hint="eastAsia"/>
                <w:bCs/>
                <w:color w:val="auto"/>
                <w:sz w:val="24"/>
                <w:szCs w:val="20"/>
                <w:lang w:val="en-US" w:eastAsia="zh-CN"/>
              </w:rPr>
              <w:t>由东柳水厂原劳动定员中调配，不新增劳动定员</w:t>
            </w:r>
            <w:r>
              <w:rPr>
                <w:bCs/>
                <w:color w:val="auto"/>
                <w:sz w:val="24"/>
                <w:szCs w:val="20"/>
              </w:rPr>
              <w:t>，</w:t>
            </w:r>
            <w:r>
              <w:rPr>
                <w:rFonts w:hint="eastAsia"/>
                <w:bCs/>
                <w:color w:val="auto"/>
                <w:sz w:val="24"/>
                <w:szCs w:val="20"/>
                <w:lang w:val="en-US" w:eastAsia="zh-CN"/>
              </w:rPr>
              <w:t>三班制</w:t>
            </w:r>
            <w:r>
              <w:rPr>
                <w:bCs/>
                <w:color w:val="auto"/>
                <w:sz w:val="24"/>
                <w:szCs w:val="20"/>
              </w:rPr>
              <w:t>，每天24h，厂区内</w:t>
            </w:r>
            <w:r>
              <w:rPr>
                <w:rFonts w:hint="eastAsia"/>
                <w:bCs/>
                <w:color w:val="auto"/>
                <w:sz w:val="24"/>
                <w:szCs w:val="20"/>
                <w:lang w:val="en-US" w:eastAsia="zh-CN"/>
              </w:rPr>
              <w:t>不设</w:t>
            </w:r>
            <w:r>
              <w:rPr>
                <w:bCs/>
                <w:color w:val="auto"/>
                <w:sz w:val="24"/>
                <w:szCs w:val="20"/>
              </w:rPr>
              <w:t>食堂，未设置宿舍。</w:t>
            </w:r>
          </w:p>
          <w:p>
            <w:pPr>
              <w:spacing w:line="360" w:lineRule="auto"/>
              <w:rPr>
                <w:b/>
                <w:color w:val="auto"/>
                <w:sz w:val="24"/>
                <w:szCs w:val="20"/>
              </w:rPr>
            </w:pPr>
            <w:r>
              <w:rPr>
                <w:b/>
                <w:color w:val="auto"/>
                <w:sz w:val="24"/>
                <w:szCs w:val="20"/>
              </w:rPr>
              <w:t>七、公用工程及辅助设置</w:t>
            </w:r>
          </w:p>
          <w:p>
            <w:pPr>
              <w:spacing w:line="360" w:lineRule="auto"/>
              <w:ind w:firstLine="482"/>
              <w:rPr>
                <w:rFonts w:hint="eastAsia" w:eastAsia="宋体"/>
                <w:b/>
                <w:color w:val="auto"/>
                <w:sz w:val="24"/>
                <w:szCs w:val="20"/>
                <w:lang w:eastAsia="zh-CN"/>
              </w:rPr>
            </w:pPr>
            <w:r>
              <w:rPr>
                <w:b/>
                <w:color w:val="auto"/>
                <w:sz w:val="24"/>
                <w:szCs w:val="20"/>
              </w:rPr>
              <w:t>1、</w:t>
            </w:r>
            <w:r>
              <w:rPr>
                <w:rFonts w:hint="eastAsia"/>
                <w:b/>
                <w:color w:val="auto"/>
                <w:sz w:val="24"/>
                <w:szCs w:val="20"/>
                <w:lang w:val="en-US" w:eastAsia="zh-CN"/>
              </w:rPr>
              <w:t>供水</w:t>
            </w:r>
          </w:p>
          <w:p>
            <w:pPr>
              <w:spacing w:line="360" w:lineRule="auto"/>
              <w:ind w:firstLine="482"/>
              <w:rPr>
                <w:rFonts w:hint="eastAsia" w:cs="Times New Roman"/>
                <w:i w:val="0"/>
                <w:iCs w:val="0"/>
                <w:color w:val="auto"/>
                <w:sz w:val="24"/>
                <w:szCs w:val="24"/>
                <w:lang w:eastAsia="zh-CN"/>
              </w:rPr>
            </w:pPr>
            <w:r>
              <w:rPr>
                <w:rFonts w:hint="eastAsia" w:cs="Times New Roman"/>
                <w:i w:val="0"/>
                <w:iCs w:val="0"/>
                <w:color w:val="auto"/>
                <w:sz w:val="24"/>
                <w:szCs w:val="24"/>
                <w:lang w:val="en-US" w:eastAsia="zh-CN"/>
              </w:rPr>
              <w:t>本项目生活用水</w:t>
            </w:r>
            <w:r>
              <w:rPr>
                <w:rFonts w:hint="default" w:ascii="Times New Roman" w:hAnsi="Times New Roman" w:eastAsia="宋体" w:cs="Times New Roman"/>
                <w:i w:val="0"/>
                <w:iCs w:val="0"/>
                <w:color w:val="auto"/>
                <w:sz w:val="24"/>
                <w:szCs w:val="24"/>
              </w:rPr>
              <w:t>由市政供水管网接入</w:t>
            </w:r>
            <w:r>
              <w:rPr>
                <w:rFonts w:hint="eastAsia" w:cs="Times New Roman"/>
                <w:i w:val="0"/>
                <w:iCs w:val="0"/>
                <w:color w:val="auto"/>
                <w:sz w:val="24"/>
                <w:szCs w:val="24"/>
                <w:lang w:eastAsia="zh-CN"/>
              </w:rPr>
              <w:t>。</w:t>
            </w:r>
          </w:p>
          <w:p>
            <w:pPr>
              <w:spacing w:line="360" w:lineRule="auto"/>
              <w:ind w:firstLine="482"/>
              <w:rPr>
                <w:b/>
                <w:color w:val="auto"/>
                <w:sz w:val="24"/>
                <w:szCs w:val="20"/>
              </w:rPr>
            </w:pPr>
            <w:r>
              <w:rPr>
                <w:b/>
                <w:color w:val="auto"/>
                <w:sz w:val="24"/>
                <w:szCs w:val="20"/>
              </w:rPr>
              <w:t>2、排水系统</w:t>
            </w:r>
          </w:p>
          <w:p>
            <w:pPr>
              <w:spacing w:line="360" w:lineRule="auto"/>
              <w:ind w:firstLine="482"/>
              <w:rPr>
                <w:b/>
                <w:color w:val="auto"/>
                <w:sz w:val="24"/>
                <w:szCs w:val="20"/>
              </w:rPr>
            </w:pPr>
            <w:r>
              <w:rPr>
                <w:b/>
                <w:color w:val="auto"/>
                <w:sz w:val="24"/>
                <w:szCs w:val="20"/>
              </w:rPr>
              <w:t>（1）生活污水</w:t>
            </w:r>
          </w:p>
          <w:p>
            <w:pPr>
              <w:spacing w:line="360" w:lineRule="auto"/>
              <w:ind w:firstLine="482"/>
              <w:rPr>
                <w:rFonts w:hint="default" w:ascii="Times New Roman" w:hAnsi="Times New Roman" w:eastAsia="宋体" w:cs="Times New Roman"/>
                <w:color w:val="auto"/>
                <w:sz w:val="21"/>
                <w:szCs w:val="21"/>
                <w:lang w:val="en-US" w:eastAsia="zh-CN"/>
              </w:rPr>
            </w:pPr>
            <w:r>
              <w:rPr>
                <w:bCs/>
                <w:color w:val="auto"/>
                <w:sz w:val="24"/>
                <w:szCs w:val="20"/>
              </w:rPr>
              <w:t>本工程</w:t>
            </w:r>
            <w:r>
              <w:rPr>
                <w:rFonts w:hint="eastAsia"/>
                <w:bCs/>
                <w:color w:val="auto"/>
                <w:sz w:val="24"/>
                <w:szCs w:val="20"/>
                <w:lang w:val="en-US" w:eastAsia="zh-CN"/>
              </w:rPr>
              <w:t>设置值班人员1</w:t>
            </w:r>
            <w:r>
              <w:rPr>
                <w:bCs/>
                <w:color w:val="auto"/>
                <w:sz w:val="24"/>
                <w:szCs w:val="20"/>
              </w:rPr>
              <w:t>人</w:t>
            </w:r>
            <w:r>
              <w:rPr>
                <w:rFonts w:hint="eastAsia"/>
                <w:bCs/>
                <w:color w:val="auto"/>
                <w:sz w:val="24"/>
                <w:szCs w:val="20"/>
                <w:lang w:eastAsia="zh-CN"/>
              </w:rPr>
              <w:t>，</w:t>
            </w:r>
            <w:r>
              <w:rPr>
                <w:rFonts w:hint="eastAsia"/>
                <w:bCs/>
                <w:color w:val="auto"/>
                <w:sz w:val="24"/>
                <w:szCs w:val="20"/>
                <w:lang w:val="en-US" w:eastAsia="zh-CN"/>
              </w:rPr>
              <w:t>由东柳水厂原劳动定员中调配，不新增劳动定员</w:t>
            </w:r>
            <w:r>
              <w:rPr>
                <w:bCs/>
                <w:color w:val="auto"/>
                <w:sz w:val="24"/>
                <w:szCs w:val="20"/>
              </w:rPr>
              <w:t>，</w:t>
            </w:r>
            <w:r>
              <w:rPr>
                <w:rFonts w:hint="eastAsia"/>
                <w:bCs/>
                <w:color w:val="auto"/>
                <w:sz w:val="24"/>
                <w:szCs w:val="20"/>
                <w:lang w:val="en-US" w:eastAsia="zh-CN"/>
              </w:rPr>
              <w:t>营运期无新增生活污水排放</w:t>
            </w:r>
            <w:r>
              <w:rPr>
                <w:rFonts w:hint="eastAsia" w:ascii="Times New Roman" w:hAnsi="Times New Roman" w:eastAsia="宋体" w:cs="Times New Roman"/>
                <w:color w:val="auto"/>
                <w:sz w:val="24"/>
                <w:szCs w:val="24"/>
                <w:lang w:val="en-US" w:eastAsia="zh-CN"/>
              </w:rPr>
              <w:t>。</w:t>
            </w:r>
          </w:p>
          <w:p>
            <w:pPr>
              <w:spacing w:line="360" w:lineRule="auto"/>
              <w:ind w:firstLine="482"/>
              <w:rPr>
                <w:rFonts w:hint="default" w:eastAsia="宋体"/>
                <w:b/>
                <w:color w:val="auto"/>
                <w:sz w:val="24"/>
                <w:szCs w:val="20"/>
                <w:lang w:val="en-US" w:eastAsia="zh-CN"/>
              </w:rPr>
            </w:pPr>
            <w:r>
              <w:rPr>
                <w:b/>
                <w:color w:val="auto"/>
                <w:sz w:val="24"/>
                <w:szCs w:val="20"/>
              </w:rPr>
              <w:t>（2）</w:t>
            </w:r>
            <w:r>
              <w:rPr>
                <w:rFonts w:hint="eastAsia"/>
                <w:b/>
                <w:color w:val="auto"/>
                <w:sz w:val="24"/>
                <w:szCs w:val="20"/>
                <w:lang w:val="en-US" w:eastAsia="zh-CN"/>
              </w:rPr>
              <w:t>生产废水</w:t>
            </w:r>
          </w:p>
          <w:p>
            <w:pPr>
              <w:spacing w:line="360" w:lineRule="auto"/>
              <w:ind w:firstLine="482"/>
              <w:rPr>
                <w:rFonts w:hint="default"/>
                <w:bCs/>
                <w:color w:val="auto"/>
                <w:sz w:val="24"/>
                <w:szCs w:val="20"/>
                <w:lang w:val="en-US" w:eastAsia="zh-CN"/>
              </w:rPr>
            </w:pPr>
            <w:r>
              <w:rPr>
                <w:rFonts w:hint="eastAsia"/>
                <w:bCs/>
                <w:color w:val="auto"/>
                <w:sz w:val="24"/>
                <w:szCs w:val="20"/>
                <w:lang w:val="en-US" w:eastAsia="zh-CN"/>
              </w:rPr>
              <w:t>本项目营运期无生产废水产生及排放。</w:t>
            </w:r>
          </w:p>
          <w:p>
            <w:pPr>
              <w:spacing w:line="360" w:lineRule="auto"/>
              <w:ind w:firstLine="482"/>
              <w:rPr>
                <w:b/>
                <w:color w:val="auto"/>
                <w:sz w:val="24"/>
                <w:szCs w:val="20"/>
              </w:rPr>
            </w:pPr>
            <w:r>
              <w:rPr>
                <w:b/>
                <w:color w:val="auto"/>
                <w:sz w:val="24"/>
                <w:szCs w:val="20"/>
              </w:rPr>
              <w:t>3、供电</w:t>
            </w:r>
          </w:p>
          <w:p>
            <w:pPr>
              <w:spacing w:line="360" w:lineRule="auto"/>
              <w:ind w:firstLine="482"/>
              <w:rPr>
                <w:rFonts w:hint="eastAsia"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本工程采用</w:t>
            </w:r>
            <w:r>
              <w:rPr>
                <w:rFonts w:hint="eastAsia" w:ascii="Times New Roman" w:hAnsi="Times New Roman" w:eastAsia="宋体" w:cs="Times New Roman"/>
                <w:bCs/>
                <w:color w:val="auto"/>
                <w:sz w:val="24"/>
                <w:szCs w:val="20"/>
                <w:lang w:val="en-US" w:eastAsia="zh-CN"/>
              </w:rPr>
              <w:t>二</w:t>
            </w:r>
            <w:r>
              <w:rPr>
                <w:rFonts w:hint="eastAsia" w:ascii="Times New Roman" w:hAnsi="Times New Roman" w:eastAsia="宋体" w:cs="Times New Roman"/>
                <w:bCs/>
                <w:color w:val="auto"/>
                <w:sz w:val="24"/>
                <w:szCs w:val="20"/>
              </w:rPr>
              <w:t>路原厂区供电线路</w:t>
            </w:r>
            <w:r>
              <w:rPr>
                <w:rFonts w:ascii="Times New Roman" w:hAnsi="Times New Roman" w:eastAsia="宋体" w:cs="Times New Roman"/>
                <w:bCs/>
                <w:color w:val="auto"/>
                <w:sz w:val="24"/>
                <w:szCs w:val="20"/>
              </w:rPr>
              <w:t>10kV架空线</w:t>
            </w:r>
            <w:r>
              <w:rPr>
                <w:rFonts w:hint="eastAsia" w:ascii="Times New Roman" w:hAnsi="Times New Roman" w:eastAsia="宋体" w:cs="Times New Roman"/>
                <w:bCs/>
                <w:color w:val="auto"/>
                <w:sz w:val="24"/>
                <w:szCs w:val="20"/>
              </w:rPr>
              <w:t>从现有水厂变压器接线至新建厂区室外箱变处作为水厂主电源供电，满足水厂二级负荷用电电源要求。</w:t>
            </w:r>
          </w:p>
          <w:p>
            <w:pPr>
              <w:spacing w:line="360" w:lineRule="auto"/>
              <w:ind w:firstLine="482"/>
              <w:rPr>
                <w:rFonts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本工程负荷较小，在厂区设置一台箱式变电所作为水厂电源，集成高压、变压器、补偿和低压配电系统，便于维护管理。在水厂综合楼设置一个低压配电间，低压配电系统采用单母线不分段接线形式，进线设置双电源转换开关，正常由箱变供电。</w:t>
            </w:r>
          </w:p>
          <w:p>
            <w:pPr>
              <w:spacing w:line="360" w:lineRule="auto"/>
              <w:ind w:firstLine="482"/>
              <w:rPr>
                <w:b/>
                <w:color w:val="auto"/>
                <w:sz w:val="24"/>
                <w:szCs w:val="20"/>
              </w:rPr>
            </w:pPr>
            <w:r>
              <w:rPr>
                <w:b/>
                <w:color w:val="auto"/>
                <w:sz w:val="24"/>
                <w:szCs w:val="20"/>
              </w:rPr>
              <w:t>4、消防</w:t>
            </w:r>
          </w:p>
          <w:p>
            <w:pPr>
              <w:spacing w:line="360" w:lineRule="auto"/>
              <w:ind w:firstLine="482"/>
              <w:rPr>
                <w:rFonts w:hint="eastAsia" w:ascii="Times New Roman" w:hAnsi="Times New Roman" w:eastAsia="宋体" w:cs="Times New Roman"/>
                <w:bCs/>
                <w:color w:val="auto"/>
                <w:sz w:val="24"/>
                <w:szCs w:val="20"/>
              </w:rPr>
            </w:pPr>
            <w:r>
              <w:rPr>
                <w:rFonts w:hint="eastAsia" w:ascii="Times New Roman" w:hAnsi="Times New Roman" w:eastAsia="宋体" w:cs="Times New Roman"/>
                <w:bCs/>
                <w:color w:val="auto"/>
                <w:sz w:val="24"/>
                <w:szCs w:val="20"/>
              </w:rPr>
              <w:t>在厂区内部总平面布置上，按生产性质、工艺要求及火灾危险性的大小等划分出各个相对独立的小区，并在各小区之间采用道路相隔。除上述分区及道路设计外，在火灾危险性较大的场所设置安全标志及信号装置，在设计中对各类介质管道应涂以相应的识别色。</w:t>
            </w:r>
          </w:p>
          <w:p>
            <w:pPr>
              <w:spacing w:line="360" w:lineRule="auto"/>
              <w:ind w:firstLine="482"/>
              <w:rPr>
                <w:rFonts w:hint="eastAsia" w:ascii="Times New Roman" w:hAnsi="Times New Roman" w:eastAsia="宋体" w:cs="Times New Roman"/>
                <w:bCs/>
                <w:color w:val="auto"/>
                <w:sz w:val="24"/>
                <w:szCs w:val="20"/>
              </w:rPr>
            </w:pPr>
            <w:r>
              <w:rPr>
                <w:rFonts w:hint="eastAsia" w:cs="Times New Roman"/>
                <w:bCs/>
                <w:color w:val="auto"/>
                <w:sz w:val="24"/>
                <w:szCs w:val="20"/>
                <w:lang w:val="en-US" w:eastAsia="zh-CN"/>
              </w:rPr>
              <w:t>本项目加压泵站、值班室</w:t>
            </w:r>
            <w:r>
              <w:rPr>
                <w:rFonts w:hint="eastAsia" w:ascii="Times New Roman" w:hAnsi="Times New Roman" w:eastAsia="宋体" w:cs="Times New Roman"/>
                <w:bCs/>
                <w:color w:val="auto"/>
                <w:sz w:val="24"/>
                <w:szCs w:val="20"/>
              </w:rPr>
              <w:t>为</w:t>
            </w:r>
            <w:r>
              <w:rPr>
                <w:rFonts w:hint="eastAsia" w:ascii="Times New Roman" w:hAnsi="Times New Roman" w:eastAsia="宋体" w:cs="Times New Roman"/>
                <w:bCs/>
                <w:color w:val="auto"/>
                <w:sz w:val="24"/>
                <w:szCs w:val="20"/>
                <w:lang w:val="en-US" w:eastAsia="zh-CN"/>
              </w:rPr>
              <w:t>钢结构</w:t>
            </w:r>
            <w:r>
              <w:rPr>
                <w:rFonts w:hint="eastAsia" w:cs="Times New Roman"/>
                <w:bCs/>
                <w:color w:val="auto"/>
                <w:sz w:val="24"/>
                <w:szCs w:val="20"/>
                <w:lang w:val="en-US" w:eastAsia="zh-CN"/>
              </w:rPr>
              <w:t>彩钢房</w:t>
            </w:r>
            <w:r>
              <w:rPr>
                <w:rFonts w:hint="eastAsia" w:ascii="Times New Roman" w:hAnsi="Times New Roman" w:eastAsia="宋体" w:cs="Times New Roman"/>
                <w:bCs/>
                <w:color w:val="auto"/>
                <w:sz w:val="24"/>
                <w:szCs w:val="20"/>
              </w:rPr>
              <w:t>，根据规范要求在室内设置磷酸铵盐干粉灭火器。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rPr>
            </w:pPr>
            <w:r>
              <w:rPr>
                <w:rFonts w:hint="eastAsia"/>
                <w:b/>
                <w:color w:val="auto"/>
                <w:sz w:val="24"/>
                <w:lang w:val="en-US" w:eastAsia="zh-CN"/>
              </w:rPr>
              <w:t>八</w:t>
            </w:r>
            <w:r>
              <w:rPr>
                <w:b/>
                <w:color w:val="auto"/>
                <w:sz w:val="24"/>
              </w:rPr>
              <w:t>、临时工程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b/>
                <w:color w:val="auto"/>
                <w:sz w:val="24"/>
                <w:szCs w:val="24"/>
              </w:rPr>
              <w:t>1、土石方平衡</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根据主体工程设计，</w:t>
            </w:r>
            <w:r>
              <w:rPr>
                <w:rFonts w:hint="eastAsia"/>
                <w:color w:val="auto"/>
                <w:sz w:val="24"/>
                <w:szCs w:val="24"/>
                <w:lang w:val="en-US" w:eastAsia="zh-CN"/>
              </w:rPr>
              <w:t>本项目</w:t>
            </w:r>
            <w:r>
              <w:rPr>
                <w:rFonts w:hint="eastAsia"/>
                <w:color w:val="auto"/>
                <w:sz w:val="24"/>
                <w:szCs w:val="24"/>
              </w:rPr>
              <w:t>挖方量为0.</w:t>
            </w:r>
            <w:r>
              <w:rPr>
                <w:rFonts w:hint="eastAsia"/>
                <w:color w:val="auto"/>
                <w:sz w:val="24"/>
                <w:szCs w:val="24"/>
                <w:lang w:val="en-US" w:eastAsia="zh-CN"/>
              </w:rPr>
              <w:t>2</w:t>
            </w:r>
            <w:r>
              <w:rPr>
                <w:rFonts w:hint="eastAsia"/>
                <w:color w:val="auto"/>
                <w:sz w:val="24"/>
                <w:szCs w:val="24"/>
              </w:rPr>
              <w:t>万m</w:t>
            </w:r>
            <w:r>
              <w:rPr>
                <w:rFonts w:hint="eastAsia"/>
                <w:color w:val="auto"/>
                <w:sz w:val="24"/>
                <w:szCs w:val="24"/>
                <w:vertAlign w:val="superscript"/>
              </w:rPr>
              <w:t>3</w:t>
            </w:r>
            <w:r>
              <w:rPr>
                <w:rFonts w:hint="eastAsia"/>
                <w:color w:val="auto"/>
                <w:sz w:val="24"/>
                <w:szCs w:val="24"/>
              </w:rPr>
              <w:t>，填方量为0.</w:t>
            </w:r>
            <w:r>
              <w:rPr>
                <w:rFonts w:hint="eastAsia"/>
                <w:color w:val="auto"/>
                <w:sz w:val="24"/>
                <w:szCs w:val="24"/>
                <w:lang w:val="en-US" w:eastAsia="zh-CN"/>
              </w:rPr>
              <w:t>18</w:t>
            </w:r>
            <w:r>
              <w:rPr>
                <w:rFonts w:hint="eastAsia"/>
                <w:color w:val="auto"/>
                <w:sz w:val="24"/>
                <w:szCs w:val="24"/>
                <w:lang w:eastAsia="zh-CN"/>
              </w:rPr>
              <w:t>万</w:t>
            </w:r>
            <w:r>
              <w:rPr>
                <w:rFonts w:hint="eastAsia"/>
                <w:color w:val="auto"/>
                <w:sz w:val="24"/>
                <w:szCs w:val="24"/>
              </w:rPr>
              <w:t>m</w:t>
            </w:r>
            <w:r>
              <w:rPr>
                <w:rFonts w:hint="eastAsia"/>
                <w:color w:val="auto"/>
                <w:sz w:val="24"/>
                <w:szCs w:val="24"/>
                <w:vertAlign w:val="superscript"/>
              </w:rPr>
              <w:t>3</w:t>
            </w:r>
            <w:r>
              <w:rPr>
                <w:rFonts w:hint="eastAsia"/>
                <w:color w:val="auto"/>
                <w:sz w:val="24"/>
                <w:szCs w:val="24"/>
              </w:rPr>
              <w:t>，弃方量为0.0</w:t>
            </w:r>
            <w:r>
              <w:rPr>
                <w:rFonts w:hint="eastAsia"/>
                <w:color w:val="auto"/>
                <w:sz w:val="24"/>
                <w:szCs w:val="24"/>
                <w:lang w:val="en-US" w:eastAsia="zh-CN"/>
              </w:rPr>
              <w:t>2</w:t>
            </w:r>
            <w:r>
              <w:rPr>
                <w:rFonts w:hint="eastAsia"/>
                <w:color w:val="auto"/>
                <w:sz w:val="24"/>
                <w:szCs w:val="24"/>
                <w:lang w:eastAsia="zh-CN"/>
              </w:rPr>
              <w:t>万</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val="en-US" w:eastAsia="zh-CN"/>
              </w:rPr>
              <w:t>。</w:t>
            </w:r>
            <w:r>
              <w:rPr>
                <w:rFonts w:hint="eastAsia"/>
                <w:color w:val="auto"/>
                <w:sz w:val="24"/>
                <w:szCs w:val="24"/>
              </w:rPr>
              <w:t>本工程土石方量全部为自然方，厂区主体多余弃方量为0.0</w:t>
            </w:r>
            <w:r>
              <w:rPr>
                <w:rFonts w:hint="eastAsia"/>
                <w:color w:val="auto"/>
                <w:sz w:val="24"/>
                <w:szCs w:val="24"/>
                <w:lang w:val="en-US" w:eastAsia="zh-CN"/>
              </w:rPr>
              <w:t>2</w:t>
            </w:r>
            <w:r>
              <w:rPr>
                <w:rFonts w:hint="eastAsia"/>
                <w:color w:val="auto"/>
                <w:sz w:val="24"/>
                <w:szCs w:val="24"/>
                <w:lang w:eastAsia="zh-CN"/>
              </w:rPr>
              <w:t>万</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eastAsia="zh-CN"/>
              </w:rPr>
              <w:t>，</w:t>
            </w:r>
            <w:r>
              <w:rPr>
                <w:rFonts w:hint="eastAsia"/>
                <w:color w:val="auto"/>
                <w:sz w:val="24"/>
                <w:szCs w:val="24"/>
              </w:rPr>
              <w:t>用于</w:t>
            </w:r>
            <w:r>
              <w:rPr>
                <w:rFonts w:hint="eastAsia"/>
                <w:color w:val="auto"/>
                <w:sz w:val="24"/>
                <w:szCs w:val="24"/>
                <w:lang w:val="en-US" w:eastAsia="zh-CN"/>
              </w:rPr>
              <w:t>厂区绿化覆土或低洼处回填，可就地平衡，不外运</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b/>
                <w:color w:val="auto"/>
                <w:sz w:val="24"/>
                <w:szCs w:val="24"/>
              </w:rPr>
              <w:t>2、</w:t>
            </w:r>
            <w:r>
              <w:rPr>
                <w:rFonts w:hint="eastAsia"/>
                <w:b/>
                <w:color w:val="auto"/>
                <w:sz w:val="24"/>
                <w:szCs w:val="24"/>
                <w:lang w:val="en-US" w:eastAsia="zh-CN"/>
              </w:rPr>
              <w:t>临时</w:t>
            </w:r>
            <w:r>
              <w:rPr>
                <w:b/>
                <w:color w:val="auto"/>
                <w:sz w:val="24"/>
                <w:szCs w:val="24"/>
              </w:rPr>
              <w:t>施工场地</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工程项目有平坦场地可供临时设施布置，场地临近已成公路，交通便利；工程施工进场条件较好，临时建筑布置空间较大，施工场地条件良好，施工技术较为简单。</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2" w:firstLineChars="200"/>
              <w:textAlignment w:val="auto"/>
              <w:rPr>
                <w:b/>
                <w:color w:val="auto"/>
                <w:sz w:val="24"/>
                <w:szCs w:val="20"/>
              </w:rPr>
            </w:pPr>
            <w:r>
              <w:rPr>
                <w:b/>
                <w:color w:val="auto"/>
                <w:sz w:val="24"/>
                <w:szCs w:val="20"/>
              </w:rPr>
              <w:t>3、施工</w:t>
            </w:r>
            <w:r>
              <w:rPr>
                <w:rFonts w:hint="eastAsia" w:ascii="Times New Roman" w:hAnsi="Times New Roman" w:eastAsia="宋体" w:cs="Times New Roman"/>
                <w:b/>
                <w:bCs/>
                <w:color w:val="auto"/>
                <w:sz w:val="24"/>
                <w:szCs w:val="24"/>
                <w:lang w:val="en-US" w:eastAsia="zh-CN"/>
              </w:rPr>
              <w:t>便道</w:t>
            </w:r>
          </w:p>
          <w:p>
            <w:pPr>
              <w:adjustRightInd w:val="0"/>
              <w:snapToGrid w:val="0"/>
              <w:spacing w:line="360" w:lineRule="auto"/>
              <w:ind w:firstLine="480" w:firstLineChars="200"/>
              <w:rPr>
                <w:color w:val="auto"/>
                <w:kern w:val="0"/>
                <w:sz w:val="24"/>
              </w:rPr>
            </w:pPr>
            <w:r>
              <w:rPr>
                <w:rFonts w:hint="eastAsia"/>
                <w:color w:val="auto"/>
                <w:kern w:val="0"/>
                <w:sz w:val="24"/>
                <w:lang w:val="en-US" w:eastAsia="zh-CN"/>
              </w:rPr>
              <w:t>本项目施工便道由项目南侧经开大道接入，施工便道长约300m，施工便道前期已由东柳水厂建设单位完成场地平整，满足本项目通行条件</w:t>
            </w:r>
            <w:r>
              <w:rPr>
                <w:color w:val="auto"/>
                <w:kern w:val="0"/>
                <w:sz w:val="24"/>
              </w:rPr>
              <w:t>。</w:t>
            </w:r>
          </w:p>
          <w:p>
            <w:pPr>
              <w:adjustRightInd w:val="0"/>
              <w:snapToGrid w:val="0"/>
              <w:spacing w:line="360" w:lineRule="auto"/>
              <w:ind w:firstLine="482" w:firstLineChars="200"/>
              <w:rPr>
                <w:b/>
                <w:bCs/>
                <w:color w:val="auto"/>
                <w:sz w:val="24"/>
              </w:rPr>
            </w:pPr>
            <w:r>
              <w:rPr>
                <w:b/>
                <w:bCs/>
                <w:color w:val="auto"/>
                <w:sz w:val="24"/>
              </w:rPr>
              <w:t>6、其他原辅材料</w:t>
            </w:r>
          </w:p>
          <w:p>
            <w:pPr>
              <w:adjustRightInd w:val="0"/>
              <w:snapToGrid w:val="0"/>
              <w:spacing w:line="360" w:lineRule="auto"/>
              <w:ind w:firstLine="480" w:firstLineChars="200"/>
              <w:rPr>
                <w:bCs/>
                <w:color w:val="auto"/>
                <w:sz w:val="24"/>
                <w:szCs w:val="20"/>
              </w:rPr>
            </w:pPr>
            <w:r>
              <w:rPr>
                <w:bCs/>
                <w:color w:val="auto"/>
                <w:sz w:val="24"/>
                <w:szCs w:val="20"/>
              </w:rPr>
              <w:t>项目</w:t>
            </w:r>
            <w:r>
              <w:rPr>
                <w:rFonts w:hint="eastAsia"/>
                <w:bCs/>
                <w:color w:val="auto"/>
                <w:sz w:val="24"/>
                <w:szCs w:val="20"/>
                <w:lang w:val="en-US" w:eastAsia="zh-CN"/>
              </w:rPr>
              <w:t>施工期主要</w:t>
            </w:r>
            <w:r>
              <w:rPr>
                <w:bCs/>
                <w:color w:val="auto"/>
                <w:sz w:val="24"/>
                <w:szCs w:val="20"/>
              </w:rPr>
              <w:t>原辅材料见下表。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工程建设原辅材料消耗情况一览表</w:t>
            </w:r>
          </w:p>
          <w:tbl>
            <w:tblPr>
              <w:tblStyle w:val="98"/>
              <w:tblW w:w="81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890"/>
              <w:gridCol w:w="2908"/>
              <w:gridCol w:w="1520"/>
              <w:gridCol w:w="2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326" w:hRule="atLeast"/>
              </w:trPr>
              <w:tc>
                <w:tcPr>
                  <w:tcW w:w="890" w:type="dxa"/>
                  <w:tcBorders>
                    <w:top w:val="single" w:color="auto" w:sz="4" w:space="0"/>
                    <w:left w:val="single" w:color="auto" w:sz="0"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序号</w:t>
                  </w:r>
                </w:p>
              </w:tc>
              <w:tc>
                <w:tcPr>
                  <w:tcW w:w="2908" w:type="dxa"/>
                  <w:tcBorders>
                    <w:top w:val="single" w:color="auto" w:sz="4"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材料名称</w:t>
                  </w:r>
                </w:p>
              </w:tc>
              <w:tc>
                <w:tcPr>
                  <w:tcW w:w="1520" w:type="dxa"/>
                  <w:tcBorders>
                    <w:top w:val="single" w:color="auto" w:sz="4"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单位</w:t>
                  </w:r>
                </w:p>
              </w:tc>
              <w:tc>
                <w:tcPr>
                  <w:tcW w:w="2872" w:type="dxa"/>
                  <w:tcBorders>
                    <w:top w:val="single" w:color="auto" w:sz="4" w:space="0"/>
                    <w:right w:val="single" w:color="auto" w:sz="4" w:space="0"/>
                  </w:tcBorders>
                  <w:shd w:val="clear" w:color="auto" w:fill="auto"/>
                  <w:noWrap/>
                  <w:vAlign w:val="center"/>
                </w:tcPr>
                <w:p>
                  <w:pPr>
                    <w:widowControl/>
                    <w:spacing w:line="300" w:lineRule="exact"/>
                    <w:jc w:val="center"/>
                    <w:rPr>
                      <w:rFonts w:cs="Times New Roman"/>
                      <w:b/>
                      <w:bCs/>
                      <w:color w:val="auto"/>
                      <w:kern w:val="0"/>
                      <w:szCs w:val="21"/>
                    </w:rPr>
                  </w:pPr>
                  <w:r>
                    <w:rPr>
                      <w:rFonts w:cs="Times New Roman"/>
                      <w:b/>
                      <w:bCs/>
                      <w:color w:val="auto"/>
                      <w:kern w:val="0"/>
                      <w:szCs w:val="21"/>
                    </w:rPr>
                    <w:t>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1</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钢筋</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t</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kern w:val="0"/>
                      <w:sz w:val="20"/>
                      <w:szCs w:val="20"/>
                      <w:lang w:val="en-US" w:eastAsia="zh-CN"/>
                    </w:rPr>
                  </w:pPr>
                  <w:r>
                    <w:rPr>
                      <w:rFonts w:hint="eastAsia" w:cs="Times New Roman"/>
                      <w:color w:val="auto"/>
                      <w:sz w:val="20"/>
                      <w:szCs w:val="20"/>
                      <w:lang w:val="en-US" w:eastAsia="zh-CN"/>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2</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混凝土</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m</w:t>
                  </w:r>
                  <w:r>
                    <w:rPr>
                      <w:rFonts w:cs="Times New Roman"/>
                      <w:color w:val="auto"/>
                      <w:kern w:val="0"/>
                      <w:szCs w:val="21"/>
                      <w:vertAlign w:val="superscript"/>
                    </w:rPr>
                    <w:t>3</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0"/>
                      <w:szCs w:val="20"/>
                      <w:lang w:val="en-US" w:eastAsia="zh-CN"/>
                    </w:rPr>
                  </w:pPr>
                  <w:r>
                    <w:rPr>
                      <w:rFonts w:hint="eastAsia" w:cs="Times New Roman"/>
                      <w:color w:val="auto"/>
                      <w:sz w:val="20"/>
                      <w:szCs w:val="20"/>
                      <w:lang w:val="en-US" w:eastAsia="zh-CN"/>
                    </w:rPr>
                    <w:t>371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3</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模板</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m</w:t>
                  </w:r>
                  <w:r>
                    <w:rPr>
                      <w:rFonts w:cs="Times New Roman"/>
                      <w:color w:val="auto"/>
                      <w:kern w:val="0"/>
                      <w:szCs w:val="21"/>
                      <w:vertAlign w:val="superscript"/>
                    </w:rPr>
                    <w:t>2</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0"/>
                      <w:szCs w:val="20"/>
                      <w:lang w:val="en-US" w:eastAsia="zh-CN"/>
                    </w:rPr>
                  </w:pPr>
                  <w:r>
                    <w:rPr>
                      <w:rFonts w:hint="eastAsia" w:cs="Times New Roman"/>
                      <w:color w:val="auto"/>
                      <w:sz w:val="20"/>
                      <w:szCs w:val="20"/>
                      <w:lang w:val="en-US" w:eastAsia="zh-CN"/>
                    </w:rPr>
                    <w:t>297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7" w:hRule="atLeast"/>
              </w:trPr>
              <w:tc>
                <w:tcPr>
                  <w:tcW w:w="890" w:type="dxa"/>
                  <w:tcBorders>
                    <w:lef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4</w:t>
                  </w:r>
                </w:p>
              </w:tc>
              <w:tc>
                <w:tcPr>
                  <w:tcW w:w="29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汽油</w:t>
                  </w:r>
                </w:p>
              </w:tc>
              <w:tc>
                <w:tcPr>
                  <w:tcW w:w="152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t</w:t>
                  </w:r>
                </w:p>
              </w:tc>
              <w:tc>
                <w:tcPr>
                  <w:tcW w:w="2872" w:type="dxa"/>
                  <w:tcBorders>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0"/>
                      <w:szCs w:val="20"/>
                      <w:lang w:val="en-US" w:eastAsia="zh-CN"/>
                    </w:rPr>
                  </w:pPr>
                  <w:r>
                    <w:rPr>
                      <w:rFonts w:hint="eastAsia" w:cs="Times New Roman"/>
                      <w:color w:val="auto"/>
                      <w:sz w:val="20"/>
                      <w:szCs w:val="20"/>
                      <w:lang w:val="en-US" w:eastAsia="zh-CN"/>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57" w:hRule="atLeast"/>
              </w:trPr>
              <w:tc>
                <w:tcPr>
                  <w:tcW w:w="890" w:type="dxa"/>
                  <w:tcBorders>
                    <w:left w:val="single" w:color="auto" w:sz="4" w:space="0"/>
                    <w:bottom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5</w:t>
                  </w:r>
                </w:p>
              </w:tc>
              <w:tc>
                <w:tcPr>
                  <w:tcW w:w="2908" w:type="dxa"/>
                  <w:tcBorders>
                    <w:bottom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柴油</w:t>
                  </w:r>
                </w:p>
              </w:tc>
              <w:tc>
                <w:tcPr>
                  <w:tcW w:w="1520" w:type="dxa"/>
                  <w:tcBorders>
                    <w:bottom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Times New Roman"/>
                      <w:color w:val="auto"/>
                      <w:kern w:val="0"/>
                      <w:szCs w:val="21"/>
                    </w:rPr>
                  </w:pPr>
                  <w:r>
                    <w:rPr>
                      <w:rFonts w:cs="Times New Roman"/>
                      <w:color w:val="auto"/>
                      <w:kern w:val="0"/>
                      <w:szCs w:val="21"/>
                    </w:rPr>
                    <w:t>t</w:t>
                  </w:r>
                </w:p>
              </w:tc>
              <w:tc>
                <w:tcPr>
                  <w:tcW w:w="2872" w:type="dxa"/>
                  <w:tcBorders>
                    <w:bottom w:val="single" w:color="auto" w:sz="4" w:space="0"/>
                    <w:right w:val="single" w:color="auto" w:sz="4" w:space="0"/>
                  </w:tcBorders>
                  <w:shd w:val="clear" w:color="auto" w:fill="auto"/>
                  <w:noWrap/>
                  <w:vAlign w:val="bottom"/>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0"/>
                      <w:szCs w:val="20"/>
                      <w:lang w:val="en-US" w:eastAsia="zh-CN"/>
                    </w:rPr>
                  </w:pPr>
                  <w:r>
                    <w:rPr>
                      <w:rFonts w:hint="eastAsia" w:cs="Times New Roman"/>
                      <w:color w:val="auto"/>
                      <w:sz w:val="20"/>
                      <w:szCs w:val="20"/>
                      <w:lang w:val="en-US" w:eastAsia="zh-CN"/>
                    </w:rPr>
                    <w:t>3.6</w:t>
                  </w:r>
                </w:p>
              </w:tc>
            </w:tr>
          </w:tbl>
          <w:p>
            <w:pPr>
              <w:adjustRightInd w:val="0"/>
              <w:snapToGrid w:val="0"/>
              <w:spacing w:line="360" w:lineRule="auto"/>
              <w:ind w:firstLine="422" w:firstLineChars="200"/>
              <w:rPr>
                <w:b/>
                <w:bCs/>
                <w:color w:val="auto"/>
                <w:szCs w:val="21"/>
              </w:rPr>
            </w:pPr>
            <w:r>
              <w:rPr>
                <w:b/>
                <w:bCs/>
                <w:color w:val="auto"/>
                <w:szCs w:val="21"/>
              </w:rPr>
              <w:t>注：项目施工期所用原辅材料均就近购买，项目不设置混凝土搅拌站，采用商品混凝土，于大竹县周边就近购买。</w:t>
            </w:r>
          </w:p>
          <w:p>
            <w:pPr>
              <w:adjustRightInd w:val="0"/>
              <w:snapToGrid w:val="0"/>
              <w:spacing w:line="360" w:lineRule="auto"/>
              <w:ind w:firstLine="480" w:firstLineChars="200"/>
              <w:rPr>
                <w:color w:val="auto"/>
                <w:kern w:val="0"/>
                <w:sz w:val="24"/>
              </w:rPr>
            </w:pPr>
            <w:r>
              <w:rPr>
                <w:color w:val="auto"/>
                <w:kern w:val="0"/>
                <w:sz w:val="24"/>
              </w:rPr>
              <w:t>本项目施工期施工机械使用情况详见表2-</w:t>
            </w:r>
            <w:r>
              <w:rPr>
                <w:rFonts w:hint="eastAsia"/>
                <w:color w:val="auto"/>
                <w:kern w:val="0"/>
                <w:sz w:val="24"/>
                <w:lang w:val="en-US" w:eastAsia="zh-CN"/>
              </w:rPr>
              <w:t>6</w:t>
            </w:r>
            <w:r>
              <w:rPr>
                <w:color w:val="auto"/>
                <w:kern w:val="0"/>
                <w:sz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主要施工机械设备表</w:t>
            </w:r>
          </w:p>
          <w:tbl>
            <w:tblPr>
              <w:tblStyle w:val="98"/>
              <w:tblW w:w="8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76"/>
              <w:gridCol w:w="1879"/>
              <w:gridCol w:w="1769"/>
              <w:gridCol w:w="1105"/>
              <w:gridCol w:w="993"/>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序号</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设备名称</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规格及型号</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单位</w:t>
                  </w:r>
                </w:p>
              </w:tc>
              <w:tc>
                <w:tcPr>
                  <w:tcW w:w="993"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数量</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b/>
                      <w:bCs/>
                      <w:color w:val="auto"/>
                      <w:sz w:val="21"/>
                      <w:szCs w:val="21"/>
                    </w:rPr>
                  </w:pPr>
                  <w:r>
                    <w:rPr>
                      <w:rFonts w:cs="Times New Roman"/>
                      <w:b/>
                      <w:bCs/>
                      <w:color w:val="auto"/>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挖掘机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1.0～1.6m</w:t>
                  </w:r>
                  <w:r>
                    <w:rPr>
                      <w:rFonts w:cs="Times New Roman"/>
                      <w:color w:val="auto"/>
                      <w:sz w:val="21"/>
                      <w:szCs w:val="21"/>
                      <w:vertAlign w:val="superscript"/>
                    </w:rPr>
                    <w:t>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2</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挖掘机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1.6～2.0m</w:t>
                  </w:r>
                  <w:r>
                    <w:rPr>
                      <w:rFonts w:cs="Times New Roman"/>
                      <w:color w:val="auto"/>
                      <w:sz w:val="21"/>
                      <w:szCs w:val="21"/>
                      <w:vertAlign w:val="superscript"/>
                    </w:rPr>
                    <w:t>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3</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装载机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1.0～2.0m</w:t>
                  </w:r>
                  <w:r>
                    <w:rPr>
                      <w:rFonts w:cs="Times New Roman"/>
                      <w:color w:val="auto"/>
                      <w:sz w:val="21"/>
                      <w:szCs w:val="21"/>
                      <w:vertAlign w:val="superscript"/>
                    </w:rPr>
                    <w:t>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4</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推土机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120HP</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5</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手风钻</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Y30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把</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用于石方开挖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kern w:val="2"/>
                      <w:sz w:val="21"/>
                      <w:szCs w:val="21"/>
                    </w:rPr>
                  </w:pPr>
                  <w:r>
                    <w:rPr>
                      <w:rFonts w:cs="Times New Roman"/>
                      <w:color w:val="auto"/>
                      <w:sz w:val="21"/>
                      <w:szCs w:val="21"/>
                    </w:rPr>
                    <w:t>6</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气腿式风钻</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YT23</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把</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用于石方开挖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7</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蛙夯机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HW60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8</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插入式振捣器</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ZP70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9</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平板振捣器</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ZF20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自卸汽车</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5～10T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11</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自卸汽车</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10～15T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12</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双胶轮车</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13</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汽车起重机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5～10 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辆</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14</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慢速卷扬机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5t</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15</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空压机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YV-6/7</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16</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柴油发电机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20kW</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17</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修钎机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421-90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18</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弯筋机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GW40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19</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切筋机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GW40</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3" w:hRule="atLeast"/>
              </w:trPr>
              <w:tc>
                <w:tcPr>
                  <w:tcW w:w="776"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20</w:t>
                  </w:r>
                </w:p>
              </w:tc>
              <w:tc>
                <w:tcPr>
                  <w:tcW w:w="187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电焊机</w:t>
                  </w:r>
                </w:p>
              </w:tc>
              <w:tc>
                <w:tcPr>
                  <w:tcW w:w="1769"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交流电</w:t>
                  </w:r>
                </w:p>
              </w:tc>
              <w:tc>
                <w:tcPr>
                  <w:tcW w:w="1105"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r>
                    <w:rPr>
                      <w:rFonts w:cs="Times New Roman"/>
                      <w:color w:val="auto"/>
                      <w:sz w:val="21"/>
                      <w:szCs w:val="21"/>
                    </w:rPr>
                    <w:t>台</w:t>
                  </w:r>
                </w:p>
              </w:tc>
              <w:tc>
                <w:tcPr>
                  <w:tcW w:w="99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cs="Times New Roman"/>
                      <w:color w:val="auto"/>
                      <w:sz w:val="21"/>
                      <w:szCs w:val="21"/>
                    </w:rPr>
                  </w:pPr>
                  <w:r>
                    <w:rPr>
                      <w:rFonts w:hint="eastAsia" w:cs="Times New Roman"/>
                      <w:color w:val="auto"/>
                      <w:sz w:val="21"/>
                      <w:szCs w:val="21"/>
                      <w:lang w:val="en-US" w:eastAsia="zh-CN"/>
                    </w:rPr>
                    <w:t>1</w:t>
                  </w:r>
                </w:p>
              </w:tc>
              <w:tc>
                <w:tcPr>
                  <w:tcW w:w="1658" w:type="dxa"/>
                  <w:tcBorders>
                    <w:tl2br w:val="nil"/>
                    <w:tr2bl w:val="nil"/>
                  </w:tcBorders>
                  <w:shd w:val="clear" w:color="auto" w:fill="auto"/>
                  <w:vAlign w:val="center"/>
                </w:tcPr>
                <w:p>
                  <w:pPr>
                    <w:pStyle w:val="143"/>
                    <w:keepNext w:val="0"/>
                    <w:keepLines w:val="0"/>
                    <w:pageBreakBefore w:val="0"/>
                    <w:kinsoku/>
                    <w:wordWrap/>
                    <w:overflowPunct/>
                    <w:topLinePunct w:val="0"/>
                    <w:autoSpaceDE/>
                    <w:autoSpaceDN/>
                    <w:bidi w:val="0"/>
                    <w:adjustRightInd/>
                    <w:snapToGrid/>
                    <w:spacing w:line="240" w:lineRule="auto"/>
                    <w:textAlignment w:val="auto"/>
                    <w:rPr>
                      <w:rFonts w:cs="Times New Roman"/>
                      <w:color w:val="auto"/>
                      <w:sz w:val="21"/>
                      <w:szCs w:val="21"/>
                    </w:rPr>
                  </w:pPr>
                </w:p>
              </w:tc>
            </w:tr>
          </w:tbl>
          <w:p>
            <w:pPr>
              <w:adjustRightInd w:val="0"/>
              <w:snapToGrid w:val="0"/>
              <w:spacing w:line="360" w:lineRule="auto"/>
              <w:ind w:firstLine="420" w:firstLineChars="20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jc w:val="center"/>
        </w:trPr>
        <w:tc>
          <w:tcPr>
            <w:tcW w:w="654" w:type="dxa"/>
            <w:vAlign w:val="center"/>
          </w:tcPr>
          <w:p>
            <w:pPr>
              <w:pStyle w:val="24"/>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406" w:type="dxa"/>
          </w:tcPr>
          <w:p>
            <w:pPr>
              <w:adjustRightInd w:val="0"/>
              <w:snapToGrid w:val="0"/>
              <w:spacing w:line="360" w:lineRule="auto"/>
              <w:rPr>
                <w:b/>
                <w:color w:val="auto"/>
                <w:sz w:val="24"/>
              </w:rPr>
            </w:pPr>
            <w:r>
              <w:rPr>
                <w:b/>
                <w:color w:val="auto"/>
                <w:sz w:val="24"/>
              </w:rPr>
              <w:t>一、施工期工艺流程</w:t>
            </w:r>
          </w:p>
          <w:p>
            <w:pPr>
              <w:tabs>
                <w:tab w:val="left" w:pos="645"/>
                <w:tab w:val="left" w:pos="850"/>
                <w:tab w:val="left" w:pos="1275"/>
                <w:tab w:val="left" w:pos="2235"/>
              </w:tabs>
              <w:spacing w:line="360" w:lineRule="auto"/>
              <w:ind w:firstLine="482" w:firstLineChars="200"/>
              <w:rPr>
                <w:rFonts w:hint="default"/>
                <w:b/>
                <w:bCs/>
                <w:color w:val="auto"/>
                <w:sz w:val="24"/>
                <w:lang w:val="en-US" w:eastAsia="zh-CN"/>
              </w:rPr>
            </w:pPr>
            <w:r>
              <w:rPr>
                <w:rFonts w:hint="eastAsia"/>
                <w:b/>
                <w:bCs/>
                <w:color w:val="auto"/>
                <w:sz w:val="24"/>
                <w:lang w:val="en-US" w:eastAsia="zh-CN"/>
              </w:rPr>
              <w:t>1、加压泵房、吸水调节池、值班室施工工艺流程</w:t>
            </w:r>
          </w:p>
          <w:p>
            <w:pPr>
              <w:tabs>
                <w:tab w:val="left" w:pos="645"/>
                <w:tab w:val="left" w:pos="850"/>
                <w:tab w:val="left" w:pos="1275"/>
                <w:tab w:val="left" w:pos="2235"/>
              </w:tabs>
              <w:spacing w:line="360" w:lineRule="auto"/>
              <w:ind w:firstLine="480" w:firstLineChars="200"/>
              <w:rPr>
                <w:color w:val="auto"/>
                <w:sz w:val="24"/>
              </w:rPr>
            </w:pPr>
            <w:r>
              <w:rPr>
                <w:rFonts w:hint="eastAsia"/>
                <w:color w:val="auto"/>
                <w:sz w:val="24"/>
                <w:lang w:eastAsia="zh-CN"/>
              </w:rPr>
              <w:t>本项目</w:t>
            </w:r>
            <w:r>
              <w:rPr>
                <w:rFonts w:hint="eastAsia"/>
                <w:color w:val="auto"/>
                <w:sz w:val="24"/>
                <w:lang w:val="en-US" w:eastAsia="zh-CN"/>
              </w:rPr>
              <w:t>主体工程</w:t>
            </w:r>
            <w:r>
              <w:rPr>
                <w:color w:val="auto"/>
                <w:sz w:val="24"/>
              </w:rPr>
              <w:t>属一般的土建工程</w:t>
            </w:r>
            <w:r>
              <w:rPr>
                <w:rFonts w:hint="eastAsia"/>
                <w:color w:val="auto"/>
                <w:sz w:val="24"/>
                <w:lang w:eastAsia="zh-CN"/>
              </w:rPr>
              <w:t>，</w:t>
            </w:r>
            <w:r>
              <w:rPr>
                <w:color w:val="auto"/>
                <w:sz w:val="24"/>
              </w:rPr>
              <w:t>其施工至竣工交付使用的基本工艺流程见下图。</w:t>
            </w:r>
          </w:p>
          <w:p>
            <w:pPr>
              <w:tabs>
                <w:tab w:val="left" w:pos="645"/>
                <w:tab w:val="left" w:pos="850"/>
                <w:tab w:val="left" w:pos="1275"/>
                <w:tab w:val="left" w:pos="2235"/>
              </w:tabs>
              <w:jc w:val="center"/>
              <w:rPr>
                <w:color w:val="auto"/>
                <w:sz w:val="24"/>
              </w:rPr>
            </w:pPr>
            <w:r>
              <w:rPr>
                <w:color w:val="auto"/>
              </w:rPr>
              <mc:AlternateContent>
                <mc:Choice Requires="wpc">
                  <w:drawing>
                    <wp:inline distT="0" distB="0" distL="0" distR="0">
                      <wp:extent cx="4511675" cy="3834765"/>
                      <wp:effectExtent l="9525" t="9525" r="12700" b="16510"/>
                      <wp:docPr id="1455263414" name="画布 207"/>
                      <wp:cNvGraphicFramePr/>
                      <a:graphic xmlns:a="http://schemas.openxmlformats.org/drawingml/2006/main">
                        <a:graphicData uri="http://schemas.microsoft.com/office/word/2010/wordprocessingCanvas">
                          <wpc:wpc>
                            <wpc:bg>
                              <a:noFill/>
                            </wpc:bg>
                            <wpc:whole>
                              <a:ln w="19050" cap="flat" cmpd="sng" algn="ctr">
                                <a:solidFill>
                                  <a:schemeClr val="tx1"/>
                                </a:solidFill>
                                <a:prstDash val="solid"/>
                                <a:miter lim="800000"/>
                                <a:headEnd type="none" w="med" len="med"/>
                                <a:tailEnd type="none" w="med" len="med"/>
                              </a:ln>
                            </wpc:whole>
                            <wps:wsp>
                              <wps:cNvPr id="169" name="矩形 103"/>
                              <wps:cNvSpPr>
                                <a:spLocks noChangeArrowheads="1"/>
                              </wps:cNvSpPr>
                              <wps:spPr bwMode="auto">
                                <a:xfrm>
                                  <a:off x="142240" y="1645285"/>
                                  <a:ext cx="619760" cy="591185"/>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场地</w:t>
                                    </w:r>
                                    <w:r>
                                      <w:rPr>
                                        <w:b/>
                                        <w:color w:val="000000"/>
                                        <w:sz w:val="15"/>
                                        <w:szCs w:val="15"/>
                                      </w:rPr>
                                      <w:t>开挖</w:t>
                                    </w:r>
                                    <w:r>
                                      <w:rPr>
                                        <w:rFonts w:hint="eastAsia"/>
                                        <w:b/>
                                        <w:color w:val="000000"/>
                                        <w:sz w:val="15"/>
                                        <w:szCs w:val="15"/>
                                      </w:rPr>
                                      <w:t>及清理</w:t>
                                    </w:r>
                                  </w:p>
                                </w:txbxContent>
                              </wps:txbx>
                              <wps:bodyPr rot="0" vert="horz" wrap="square" lIns="91440" tIns="45720" rIns="91440" bIns="45720" anchor="ctr" anchorCtr="0" upright="1">
                                <a:noAutofit/>
                              </wps:bodyPr>
                            </wps:wsp>
                            <wps:wsp>
                              <wps:cNvPr id="170" name="矩形 104"/>
                              <wps:cNvSpPr>
                                <a:spLocks noChangeArrowheads="1"/>
                              </wps:cNvSpPr>
                              <wps:spPr bwMode="auto">
                                <a:xfrm>
                                  <a:off x="1560195" y="1637030"/>
                                  <a:ext cx="476885" cy="591820"/>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基础工程、主体</w:t>
                                    </w:r>
                                    <w:r>
                                      <w:rPr>
                                        <w:b/>
                                        <w:color w:val="000000"/>
                                        <w:sz w:val="15"/>
                                        <w:szCs w:val="15"/>
                                      </w:rPr>
                                      <w:t>工程施工</w:t>
                                    </w:r>
                                  </w:p>
                                </w:txbxContent>
                              </wps:txbx>
                              <wps:bodyPr rot="0" vert="horz" wrap="square" lIns="91440" tIns="45720" rIns="91440" bIns="45720" anchor="ctr" anchorCtr="0" upright="1">
                                <a:noAutofit/>
                              </wps:bodyPr>
                            </wps:wsp>
                            <wps:wsp>
                              <wps:cNvPr id="171" name="矩形 106"/>
                              <wps:cNvSpPr>
                                <a:spLocks noChangeArrowheads="1"/>
                              </wps:cNvSpPr>
                              <wps:spPr bwMode="auto">
                                <a:xfrm>
                                  <a:off x="2668905" y="1640205"/>
                                  <a:ext cx="405130" cy="591820"/>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设备</w:t>
                                    </w:r>
                                    <w:r>
                                      <w:rPr>
                                        <w:b/>
                                        <w:color w:val="000000"/>
                                        <w:sz w:val="15"/>
                                        <w:szCs w:val="15"/>
                                      </w:rPr>
                                      <w:t>安装调试</w:t>
                                    </w:r>
                                  </w:p>
                                </w:txbxContent>
                              </wps:txbx>
                              <wps:bodyPr rot="0" vert="horz" wrap="square" lIns="91440" tIns="45720" rIns="91440" bIns="45720" anchor="ctr" anchorCtr="0" upright="1">
                                <a:noAutofit/>
                              </wps:bodyPr>
                            </wps:wsp>
                            <wps:wsp>
                              <wps:cNvPr id="172" name="矩形 107"/>
                              <wps:cNvSpPr>
                                <a:spLocks noChangeArrowheads="1"/>
                              </wps:cNvSpPr>
                              <wps:spPr bwMode="auto">
                                <a:xfrm>
                                  <a:off x="3331210" y="1645285"/>
                                  <a:ext cx="404495" cy="591185"/>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工程验收</w:t>
                                    </w:r>
                                  </w:p>
                                </w:txbxContent>
                              </wps:txbx>
                              <wps:bodyPr rot="0" vert="horz" wrap="square" lIns="91440" tIns="45720" rIns="91440" bIns="45720" anchor="ctr" anchorCtr="0" upright="1">
                                <a:noAutofit/>
                              </wps:bodyPr>
                            </wps:wsp>
                            <wps:wsp>
                              <wps:cNvPr id="173" name="矩形 108"/>
                              <wps:cNvSpPr>
                                <a:spLocks noChangeArrowheads="1"/>
                              </wps:cNvSpPr>
                              <wps:spPr bwMode="auto">
                                <a:xfrm>
                                  <a:off x="3997960" y="1645285"/>
                                  <a:ext cx="404495" cy="591185"/>
                                </a:xfrm>
                                <a:prstGeom prst="rect">
                                  <a:avLst/>
                                </a:prstGeom>
                                <a:noFill/>
                                <a:ln w="6350">
                                  <a:solidFill>
                                    <a:srgbClr val="000000"/>
                                  </a:solidFill>
                                  <a:miter lim="800000"/>
                                </a:ln>
                              </wps:spPr>
                              <wps:txbx>
                                <w:txbxContent>
                                  <w:p>
                                    <w:pPr>
                                      <w:spacing w:line="0" w:lineRule="atLeast"/>
                                      <w:jc w:val="center"/>
                                      <w:rPr>
                                        <w:b/>
                                        <w:color w:val="000000"/>
                                        <w:sz w:val="15"/>
                                        <w:szCs w:val="15"/>
                                      </w:rPr>
                                    </w:pPr>
                                    <w:r>
                                      <w:rPr>
                                        <w:rFonts w:hint="eastAsia"/>
                                        <w:b/>
                                        <w:color w:val="000000"/>
                                        <w:sz w:val="15"/>
                                        <w:szCs w:val="15"/>
                                      </w:rPr>
                                      <w:t>投入使用</w:t>
                                    </w:r>
                                  </w:p>
                                </w:txbxContent>
                              </wps:txbx>
                              <wps:bodyPr rot="0" vert="horz" wrap="square" lIns="91440" tIns="45720" rIns="91440" bIns="45720" anchor="ctr" anchorCtr="0" upright="1">
                                <a:noAutofit/>
                              </wps:bodyPr>
                            </wps:wsp>
                            <wps:wsp>
                              <wps:cNvPr id="174" name="直接箭头连接符 110"/>
                              <wps:cNvCnPr>
                                <a:cxnSpLocks noChangeShapeType="1"/>
                              </wps:cNvCnPr>
                              <wps:spPr bwMode="auto">
                                <a:xfrm flipV="1">
                                  <a:off x="762000" y="1932940"/>
                                  <a:ext cx="798195" cy="7620"/>
                                </a:xfrm>
                                <a:prstGeom prst="straightConnector1">
                                  <a:avLst/>
                                </a:prstGeom>
                                <a:noFill/>
                                <a:ln w="6350">
                                  <a:solidFill>
                                    <a:srgbClr val="000000"/>
                                  </a:solidFill>
                                  <a:miter lim="800000"/>
                                  <a:tailEnd type="triangle" w="med" len="med"/>
                                </a:ln>
                              </wps:spPr>
                              <wps:bodyPr/>
                            </wps:wsp>
                            <wps:wsp>
                              <wps:cNvPr id="175" name="直接箭头连接符 112"/>
                              <wps:cNvCnPr>
                                <a:cxnSpLocks noChangeShapeType="1"/>
                              </wps:cNvCnPr>
                              <wps:spPr bwMode="auto">
                                <a:xfrm flipV="1">
                                  <a:off x="2034540" y="1929130"/>
                                  <a:ext cx="634365" cy="3175"/>
                                </a:xfrm>
                                <a:prstGeom prst="straightConnector1">
                                  <a:avLst/>
                                </a:prstGeom>
                                <a:noFill/>
                                <a:ln w="6350">
                                  <a:solidFill>
                                    <a:srgbClr val="000000"/>
                                  </a:solidFill>
                                  <a:miter lim="800000"/>
                                  <a:tailEnd type="triangle" w="med" len="med"/>
                                </a:ln>
                              </wps:spPr>
                              <wps:bodyPr/>
                            </wps:wsp>
                            <wps:wsp>
                              <wps:cNvPr id="176" name="直接箭头连接符 113"/>
                              <wps:cNvCnPr>
                                <a:cxnSpLocks noChangeShapeType="1"/>
                              </wps:cNvCnPr>
                              <wps:spPr bwMode="auto">
                                <a:xfrm>
                                  <a:off x="3074035" y="1933575"/>
                                  <a:ext cx="247650" cy="0"/>
                                </a:xfrm>
                                <a:prstGeom prst="straightConnector1">
                                  <a:avLst/>
                                </a:prstGeom>
                                <a:noFill/>
                                <a:ln w="6350">
                                  <a:solidFill>
                                    <a:srgbClr val="000000"/>
                                  </a:solidFill>
                                  <a:miter lim="800000"/>
                                  <a:tailEnd type="triangle" w="med" len="med"/>
                                </a:ln>
                              </wps:spPr>
                              <wps:bodyPr/>
                            </wps:wsp>
                            <wps:wsp>
                              <wps:cNvPr id="177" name="直接箭头连接符 114"/>
                              <wps:cNvCnPr>
                                <a:cxnSpLocks noChangeShapeType="1"/>
                              </wps:cNvCnPr>
                              <wps:spPr bwMode="auto">
                                <a:xfrm>
                                  <a:off x="3740785" y="1933575"/>
                                  <a:ext cx="247650" cy="0"/>
                                </a:xfrm>
                                <a:prstGeom prst="straightConnector1">
                                  <a:avLst/>
                                </a:prstGeom>
                                <a:noFill/>
                                <a:ln w="6350">
                                  <a:solidFill>
                                    <a:srgbClr val="000000"/>
                                  </a:solidFill>
                                  <a:miter lim="800000"/>
                                  <a:tailEnd type="triangle" w="med" len="med"/>
                                </a:ln>
                              </wps:spPr>
                              <wps:bodyPr/>
                            </wps:wsp>
                            <wps:wsp>
                              <wps:cNvPr id="178" name="直接连接符 116"/>
                              <wps:cNvCnPr>
                                <a:cxnSpLocks noChangeShapeType="1"/>
                              </wps:cNvCnPr>
                              <wps:spPr bwMode="auto">
                                <a:xfrm flipH="1" flipV="1">
                                  <a:off x="559435" y="1312545"/>
                                  <a:ext cx="0" cy="324485"/>
                                </a:xfrm>
                                <a:prstGeom prst="line">
                                  <a:avLst/>
                                </a:prstGeom>
                                <a:noFill/>
                                <a:ln w="6350">
                                  <a:solidFill>
                                    <a:srgbClr val="000000"/>
                                  </a:solidFill>
                                  <a:prstDash val="sysDot"/>
                                  <a:miter lim="800000"/>
                                </a:ln>
                              </wps:spPr>
                              <wps:bodyPr/>
                            </wps:wsp>
                            <wps:wsp>
                              <wps:cNvPr id="179" name="直接连接符 117"/>
                              <wps:cNvCnPr>
                                <a:cxnSpLocks noChangeShapeType="1"/>
                              </wps:cNvCnPr>
                              <wps:spPr bwMode="auto">
                                <a:xfrm flipH="1" flipV="1">
                                  <a:off x="1775460" y="1316355"/>
                                  <a:ext cx="0" cy="323850"/>
                                </a:xfrm>
                                <a:prstGeom prst="line">
                                  <a:avLst/>
                                </a:prstGeom>
                                <a:noFill/>
                                <a:ln w="6350">
                                  <a:solidFill>
                                    <a:srgbClr val="000000"/>
                                  </a:solidFill>
                                  <a:prstDash val="sysDot"/>
                                  <a:miter lim="800000"/>
                                </a:ln>
                              </wps:spPr>
                              <wps:bodyPr/>
                            </wps:wsp>
                            <wps:wsp>
                              <wps:cNvPr id="180" name="直接连接符 119"/>
                              <wps:cNvCnPr>
                                <a:cxnSpLocks noChangeShapeType="1"/>
                              </wps:cNvCnPr>
                              <wps:spPr bwMode="auto">
                                <a:xfrm flipH="1" flipV="1">
                                  <a:off x="2863215" y="1316355"/>
                                  <a:ext cx="0" cy="323850"/>
                                </a:xfrm>
                                <a:prstGeom prst="line">
                                  <a:avLst/>
                                </a:prstGeom>
                                <a:noFill/>
                                <a:ln w="6350">
                                  <a:solidFill>
                                    <a:srgbClr val="000000"/>
                                  </a:solidFill>
                                  <a:prstDash val="sysDot"/>
                                  <a:miter lim="800000"/>
                                </a:ln>
                              </wps:spPr>
                              <wps:bodyPr/>
                            </wps:wsp>
                            <wps:wsp>
                              <wps:cNvPr id="181" name="直接连接符 121"/>
                              <wps:cNvCnPr>
                                <a:cxnSpLocks noChangeShapeType="1"/>
                              </wps:cNvCnPr>
                              <wps:spPr bwMode="auto">
                                <a:xfrm flipH="1" flipV="1">
                                  <a:off x="553085" y="2236470"/>
                                  <a:ext cx="0" cy="324485"/>
                                </a:xfrm>
                                <a:prstGeom prst="line">
                                  <a:avLst/>
                                </a:prstGeom>
                                <a:noFill/>
                                <a:ln w="6350">
                                  <a:solidFill>
                                    <a:srgbClr val="000000"/>
                                  </a:solidFill>
                                  <a:prstDash val="sysDot"/>
                                  <a:miter lim="800000"/>
                                </a:ln>
                              </wps:spPr>
                              <wps:bodyPr/>
                            </wps:wsp>
                            <wps:wsp>
                              <wps:cNvPr id="182" name="直接连接符 122"/>
                              <wps:cNvCnPr>
                                <a:cxnSpLocks noChangeShapeType="1"/>
                              </wps:cNvCnPr>
                              <wps:spPr bwMode="auto">
                                <a:xfrm flipH="1" flipV="1">
                                  <a:off x="1788795" y="2236470"/>
                                  <a:ext cx="0" cy="324485"/>
                                </a:xfrm>
                                <a:prstGeom prst="line">
                                  <a:avLst/>
                                </a:prstGeom>
                                <a:noFill/>
                                <a:ln w="6350">
                                  <a:solidFill>
                                    <a:srgbClr val="000000"/>
                                  </a:solidFill>
                                  <a:prstDash val="sysDot"/>
                                  <a:miter lim="800000"/>
                                </a:ln>
                              </wps:spPr>
                              <wps:bodyPr/>
                            </wps:wsp>
                            <wps:wsp>
                              <wps:cNvPr id="183" name="直接连接符 124"/>
                              <wps:cNvCnPr>
                                <a:cxnSpLocks noChangeShapeType="1"/>
                              </wps:cNvCnPr>
                              <wps:spPr bwMode="auto">
                                <a:xfrm flipH="1" flipV="1">
                                  <a:off x="2868295" y="2236470"/>
                                  <a:ext cx="0" cy="324485"/>
                                </a:xfrm>
                                <a:prstGeom prst="line">
                                  <a:avLst/>
                                </a:prstGeom>
                                <a:noFill/>
                                <a:ln w="6350">
                                  <a:solidFill>
                                    <a:srgbClr val="000000"/>
                                  </a:solidFill>
                                  <a:prstDash val="sysDot"/>
                                  <a:miter lim="800000"/>
                                </a:ln>
                              </wps:spPr>
                              <wps:bodyPr/>
                            </wps:wsp>
                            <wps:wsp>
                              <wps:cNvPr id="184" name="直接连接符 115"/>
                              <wps:cNvCnPr>
                                <a:cxnSpLocks noChangeShapeType="1"/>
                              </wps:cNvCnPr>
                              <wps:spPr bwMode="auto">
                                <a:xfrm>
                                  <a:off x="559435" y="1302385"/>
                                  <a:ext cx="2305050" cy="5715"/>
                                </a:xfrm>
                                <a:prstGeom prst="line">
                                  <a:avLst/>
                                </a:prstGeom>
                                <a:noFill/>
                                <a:ln w="6350">
                                  <a:solidFill>
                                    <a:srgbClr val="000000"/>
                                  </a:solidFill>
                                  <a:prstDash val="sysDot"/>
                                  <a:miter lim="800000"/>
                                </a:ln>
                              </wps:spPr>
                              <wps:bodyPr/>
                            </wps:wsp>
                            <wps:wsp>
                              <wps:cNvPr id="185" name="直接连接符 126"/>
                              <wps:cNvCnPr>
                                <a:cxnSpLocks noChangeShapeType="1"/>
                              </wps:cNvCnPr>
                              <wps:spPr bwMode="auto">
                                <a:xfrm>
                                  <a:off x="553085" y="2546350"/>
                                  <a:ext cx="2305050" cy="9525"/>
                                </a:xfrm>
                                <a:prstGeom prst="line">
                                  <a:avLst/>
                                </a:prstGeom>
                                <a:noFill/>
                                <a:ln w="6350">
                                  <a:solidFill>
                                    <a:srgbClr val="000000"/>
                                  </a:solidFill>
                                  <a:prstDash val="sysDot"/>
                                  <a:miter lim="800000"/>
                                </a:ln>
                              </wps:spPr>
                              <wps:bodyPr/>
                            </wps:wsp>
                            <wps:wsp>
                              <wps:cNvPr id="186" name="直接连接符 128"/>
                              <wps:cNvCnPr>
                                <a:cxnSpLocks noChangeShapeType="1"/>
                              </wps:cNvCnPr>
                              <wps:spPr bwMode="auto">
                                <a:xfrm flipH="1" flipV="1">
                                  <a:off x="737870" y="978535"/>
                                  <a:ext cx="0" cy="323850"/>
                                </a:xfrm>
                                <a:prstGeom prst="line">
                                  <a:avLst/>
                                </a:prstGeom>
                                <a:noFill/>
                                <a:ln w="6350">
                                  <a:solidFill>
                                    <a:srgbClr val="000000"/>
                                  </a:solidFill>
                                  <a:prstDash val="sysDot"/>
                                  <a:miter lim="800000"/>
                                  <a:tailEnd type="stealth" w="med" len="med"/>
                                </a:ln>
                              </wps:spPr>
                              <wps:bodyPr/>
                            </wps:wsp>
                            <wps:wsp>
                              <wps:cNvPr id="187" name="直接连接符 129"/>
                              <wps:cNvCnPr>
                                <a:cxnSpLocks noChangeShapeType="1"/>
                              </wps:cNvCnPr>
                              <wps:spPr bwMode="auto">
                                <a:xfrm flipH="1" flipV="1">
                                  <a:off x="1834515" y="969645"/>
                                  <a:ext cx="0" cy="324485"/>
                                </a:xfrm>
                                <a:prstGeom prst="line">
                                  <a:avLst/>
                                </a:prstGeom>
                                <a:noFill/>
                                <a:ln w="6350">
                                  <a:solidFill>
                                    <a:srgbClr val="000000"/>
                                  </a:solidFill>
                                  <a:prstDash val="sysDot"/>
                                  <a:miter lim="800000"/>
                                  <a:tailEnd type="stealth" w="med" len="med"/>
                                </a:ln>
                              </wps:spPr>
                              <wps:bodyPr/>
                            </wps:wsp>
                            <wps:wsp>
                              <wps:cNvPr id="188" name="直接连接符 131"/>
                              <wps:cNvCnPr>
                                <a:cxnSpLocks noChangeShapeType="1"/>
                              </wps:cNvCnPr>
                              <wps:spPr bwMode="auto">
                                <a:xfrm flipH="1" flipV="1">
                                  <a:off x="713740" y="2546350"/>
                                  <a:ext cx="0" cy="323850"/>
                                </a:xfrm>
                                <a:prstGeom prst="line">
                                  <a:avLst/>
                                </a:prstGeom>
                                <a:noFill/>
                                <a:ln w="6350">
                                  <a:solidFill>
                                    <a:srgbClr val="000000"/>
                                  </a:solidFill>
                                  <a:prstDash val="sysDot"/>
                                  <a:miter lim="800000"/>
                                  <a:headEnd type="stealth" w="med" len="med"/>
                                </a:ln>
                              </wps:spPr>
                              <wps:bodyPr/>
                            </wps:wsp>
                            <wps:wsp>
                              <wps:cNvPr id="189" name="直接连接符 133"/>
                              <wps:cNvCnPr>
                                <a:cxnSpLocks noChangeShapeType="1"/>
                              </wps:cNvCnPr>
                              <wps:spPr bwMode="auto">
                                <a:xfrm flipH="1" flipV="1">
                                  <a:off x="1789430" y="2551430"/>
                                  <a:ext cx="0" cy="323850"/>
                                </a:xfrm>
                                <a:prstGeom prst="line">
                                  <a:avLst/>
                                </a:prstGeom>
                                <a:noFill/>
                                <a:ln w="6350">
                                  <a:solidFill>
                                    <a:srgbClr val="000000"/>
                                  </a:solidFill>
                                  <a:prstDash val="sysDot"/>
                                  <a:miter lim="800000"/>
                                  <a:headEnd type="stealth" w="med" len="med"/>
                                </a:ln>
                              </wps:spPr>
                              <wps:bodyPr/>
                            </wps:wsp>
                            <wps:wsp>
                              <wps:cNvPr id="190" name="直接连接符 134"/>
                              <wps:cNvCnPr>
                                <a:cxnSpLocks noChangeShapeType="1"/>
                              </wps:cNvCnPr>
                              <wps:spPr bwMode="auto">
                                <a:xfrm flipH="1" flipV="1">
                                  <a:off x="2708910" y="2560955"/>
                                  <a:ext cx="0" cy="323850"/>
                                </a:xfrm>
                                <a:prstGeom prst="line">
                                  <a:avLst/>
                                </a:prstGeom>
                                <a:noFill/>
                                <a:ln w="6350">
                                  <a:solidFill>
                                    <a:srgbClr val="000000"/>
                                  </a:solidFill>
                                  <a:prstDash val="sysDot"/>
                                  <a:miter lim="800000"/>
                                  <a:headEnd type="stealth" w="med" len="med"/>
                                </a:ln>
                              </wps:spPr>
                              <wps:bodyPr/>
                            </wps:wsp>
                            <wps:wsp>
                              <wps:cNvPr id="191" name="文本框 136"/>
                              <wps:cNvSpPr txBox="1">
                                <a:spLocks noChangeArrowheads="1"/>
                              </wps:cNvSpPr>
                              <wps:spPr bwMode="auto">
                                <a:xfrm>
                                  <a:off x="97790" y="730885"/>
                                  <a:ext cx="1163320" cy="257175"/>
                                </a:xfrm>
                                <a:prstGeom prst="rect">
                                  <a:avLst/>
                                </a:prstGeom>
                                <a:noFill/>
                                <a:ln w="6350">
                                  <a:solidFill>
                                    <a:srgbClr val="000000"/>
                                  </a:solidFill>
                                  <a:prstDash val="dash"/>
                                  <a:miter lim="800000"/>
                                </a:ln>
                              </wps:spPr>
                              <wps:txbx>
                                <w:txbxContent>
                                  <w:p>
                                    <w:pPr>
                                      <w:spacing w:line="0" w:lineRule="atLeast"/>
                                      <w:jc w:val="center"/>
                                      <w:rPr>
                                        <w:rFonts w:hint="default" w:eastAsia="宋体"/>
                                        <w:sz w:val="15"/>
                                        <w:szCs w:val="15"/>
                                        <w:lang w:val="en-US" w:eastAsia="zh-CN"/>
                                      </w:rPr>
                                    </w:pPr>
                                    <w:r>
                                      <w:rPr>
                                        <w:rFonts w:hint="eastAsia"/>
                                        <w:sz w:val="15"/>
                                        <w:szCs w:val="15"/>
                                      </w:rPr>
                                      <w:t>扬</w:t>
                                    </w:r>
                                    <w:r>
                                      <w:rPr>
                                        <w:sz w:val="15"/>
                                        <w:szCs w:val="15"/>
                                      </w:rPr>
                                      <w:t>尘</w:t>
                                    </w:r>
                                    <w:r>
                                      <w:rPr>
                                        <w:rFonts w:hint="eastAsia"/>
                                        <w:sz w:val="15"/>
                                        <w:szCs w:val="15"/>
                                      </w:rPr>
                                      <w:t>、</w:t>
                                    </w:r>
                                    <w:r>
                                      <w:rPr>
                                        <w:rFonts w:hint="eastAsia"/>
                                        <w:sz w:val="15"/>
                                        <w:szCs w:val="15"/>
                                        <w:lang w:val="en-US" w:eastAsia="zh-CN"/>
                                      </w:rPr>
                                      <w:t>车辆及机械尾气</w:t>
                                    </w:r>
                                  </w:p>
                                </w:txbxContent>
                              </wps:txbx>
                              <wps:bodyPr rot="0" vert="horz" wrap="square" lIns="91440" tIns="45720" rIns="91440" bIns="45720" anchor="t" anchorCtr="0" upright="1">
                                <a:noAutofit/>
                              </wps:bodyPr>
                            </wps:wsp>
                            <wps:wsp>
                              <wps:cNvPr id="193" name="文本框 137"/>
                              <wps:cNvSpPr txBox="1">
                                <a:spLocks noChangeArrowheads="1"/>
                              </wps:cNvSpPr>
                              <wps:spPr bwMode="auto">
                                <a:xfrm>
                                  <a:off x="1569085" y="730885"/>
                                  <a:ext cx="518795" cy="236220"/>
                                </a:xfrm>
                                <a:prstGeom prst="rect">
                                  <a:avLst/>
                                </a:prstGeom>
                                <a:no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噪声</w:t>
                                    </w:r>
                                  </w:p>
                                </w:txbxContent>
                              </wps:txbx>
                              <wps:bodyPr rot="0" vert="horz" wrap="square" lIns="91440" tIns="45720" rIns="91440" bIns="45720" anchor="t" anchorCtr="0" upright="1">
                                <a:noAutofit/>
                              </wps:bodyPr>
                            </wps:wsp>
                            <wps:wsp>
                              <wps:cNvPr id="194" name="文本框 139"/>
                              <wps:cNvSpPr txBox="1">
                                <a:spLocks noChangeArrowheads="1"/>
                              </wps:cNvSpPr>
                              <wps:spPr bwMode="auto">
                                <a:xfrm>
                                  <a:off x="269908" y="2866390"/>
                                  <a:ext cx="873859" cy="276860"/>
                                </a:xfrm>
                                <a:prstGeom prst="rect">
                                  <a:avLst/>
                                </a:prstGeom>
                                <a:solidFill>
                                  <a:srgbClr val="FFFFFF"/>
                                </a:solid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建筑垃圾、弃土</w:t>
                                    </w:r>
                                  </w:p>
                                </w:txbxContent>
                              </wps:txbx>
                              <wps:bodyPr rot="0" vert="horz" wrap="square" lIns="91440" tIns="45720" rIns="91440" bIns="45720" anchor="t" anchorCtr="0" upright="1">
                                <a:noAutofit/>
                              </wps:bodyPr>
                            </wps:wsp>
                            <wps:wsp>
                              <wps:cNvPr id="195" name="文本框 141"/>
                              <wps:cNvSpPr txBox="1">
                                <a:spLocks noChangeArrowheads="1"/>
                              </wps:cNvSpPr>
                              <wps:spPr bwMode="auto">
                                <a:xfrm>
                                  <a:off x="1494790" y="2884170"/>
                                  <a:ext cx="581025" cy="255270"/>
                                </a:xfrm>
                                <a:prstGeom prst="rect">
                                  <a:avLst/>
                                </a:prstGeom>
                                <a:solidFill>
                                  <a:srgbClr val="FFFFFF"/>
                                </a:solid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施工废水</w:t>
                                    </w:r>
                                  </w:p>
                                </w:txbxContent>
                              </wps:txbx>
                              <wps:bodyPr rot="0" vert="horz" wrap="square" lIns="91440" tIns="45720" rIns="91440" bIns="45720" anchor="t" anchorCtr="0" upright="1">
                                <a:noAutofit/>
                              </wps:bodyPr>
                            </wps:wsp>
                            <wps:wsp>
                              <wps:cNvPr id="196" name="文本框 142"/>
                              <wps:cNvSpPr txBox="1">
                                <a:spLocks noChangeArrowheads="1"/>
                              </wps:cNvSpPr>
                              <wps:spPr bwMode="auto">
                                <a:xfrm>
                                  <a:off x="2447925" y="2887345"/>
                                  <a:ext cx="581660" cy="266700"/>
                                </a:xfrm>
                                <a:prstGeom prst="rect">
                                  <a:avLst/>
                                </a:prstGeom>
                                <a:solidFill>
                                  <a:srgbClr val="FFFFFF"/>
                                </a:solidFill>
                                <a:ln w="6350">
                                  <a:solidFill>
                                    <a:srgbClr val="000000"/>
                                  </a:solidFill>
                                  <a:prstDash val="dash"/>
                                  <a:miter lim="800000"/>
                                </a:ln>
                              </wps:spPr>
                              <wps:txbx>
                                <w:txbxContent>
                                  <w:p>
                                    <w:pPr>
                                      <w:spacing w:before="24" w:beforeLines="10" w:line="0" w:lineRule="atLeast"/>
                                      <w:jc w:val="center"/>
                                      <w:rPr>
                                        <w:sz w:val="15"/>
                                        <w:szCs w:val="15"/>
                                      </w:rPr>
                                    </w:pPr>
                                    <w:r>
                                      <w:rPr>
                                        <w:rFonts w:hint="eastAsia"/>
                                        <w:sz w:val="15"/>
                                        <w:szCs w:val="15"/>
                                      </w:rPr>
                                      <w:t>生活污水</w:t>
                                    </w:r>
                                  </w:p>
                                </w:txbxContent>
                              </wps:txbx>
                              <wps:bodyPr rot="0" vert="horz" wrap="square" lIns="91440" tIns="45720" rIns="91440" bIns="45720" anchor="t" anchorCtr="0" upright="1">
                                <a:noAutofit/>
                              </wps:bodyPr>
                            </wps:wsp>
                            <wps:wsp>
                              <wps:cNvPr id="197" name="直接连接符 143"/>
                              <wps:cNvCnPr>
                                <a:cxnSpLocks noChangeShapeType="1"/>
                              </wps:cNvCnPr>
                              <wps:spPr bwMode="auto">
                                <a:xfrm flipH="1" flipV="1">
                                  <a:off x="704850" y="3150870"/>
                                  <a:ext cx="0" cy="324485"/>
                                </a:xfrm>
                                <a:prstGeom prst="line">
                                  <a:avLst/>
                                </a:prstGeom>
                                <a:noFill/>
                                <a:ln w="6350">
                                  <a:solidFill>
                                    <a:srgbClr val="000000"/>
                                  </a:solidFill>
                                  <a:prstDash val="sysDot"/>
                                  <a:miter lim="800000"/>
                                  <a:headEnd type="stealth" w="med" len="med"/>
                                </a:ln>
                              </wps:spPr>
                              <wps:bodyPr/>
                            </wps:wsp>
                            <wps:wsp>
                              <wps:cNvPr id="198" name="直接连接符 145"/>
                              <wps:cNvCnPr>
                                <a:cxnSpLocks noChangeShapeType="1"/>
                              </wps:cNvCnPr>
                              <wps:spPr bwMode="auto">
                                <a:xfrm flipH="1" flipV="1">
                                  <a:off x="1789430" y="3154045"/>
                                  <a:ext cx="0" cy="323850"/>
                                </a:xfrm>
                                <a:prstGeom prst="line">
                                  <a:avLst/>
                                </a:prstGeom>
                                <a:noFill/>
                                <a:ln w="6350">
                                  <a:solidFill>
                                    <a:srgbClr val="000000"/>
                                  </a:solidFill>
                                  <a:prstDash val="sysDot"/>
                                  <a:miter lim="800000"/>
                                  <a:headEnd type="stealth" w="med" len="med"/>
                                </a:ln>
                              </wps:spPr>
                              <wps:bodyPr/>
                            </wps:wsp>
                            <wps:wsp>
                              <wps:cNvPr id="199" name="文本框 135"/>
                              <wps:cNvSpPr txBox="1">
                                <a:spLocks noChangeArrowheads="1"/>
                              </wps:cNvSpPr>
                              <wps:spPr bwMode="auto">
                                <a:xfrm>
                                  <a:off x="88265" y="3442970"/>
                                  <a:ext cx="1288415" cy="325120"/>
                                </a:xfrm>
                                <a:prstGeom prst="rect">
                                  <a:avLst/>
                                </a:prstGeom>
                                <a:noFill/>
                                <a:ln>
                                  <a:noFill/>
                                </a:ln>
                              </wps:spPr>
                              <wps:txbx>
                                <w:txbxContent>
                                  <w:p>
                                    <w:pPr>
                                      <w:spacing w:line="0" w:lineRule="atLeast"/>
                                      <w:jc w:val="both"/>
                                      <w:rPr>
                                        <w:rFonts w:hint="default" w:eastAsia="宋体"/>
                                        <w:sz w:val="15"/>
                                        <w:szCs w:val="15"/>
                                        <w:lang w:val="en-US" w:eastAsia="zh-CN"/>
                                      </w:rPr>
                                    </w:pPr>
                                    <w:r>
                                      <w:rPr>
                                        <w:rFonts w:hint="eastAsia"/>
                                        <w:sz w:val="15"/>
                                        <w:szCs w:val="15"/>
                                        <w:lang w:val="en-US" w:eastAsia="zh-CN"/>
                                      </w:rPr>
                                      <w:t>弃土用于绿化及回填，不外排，建筑垃圾回收或外售</w:t>
                                    </w:r>
                                  </w:p>
                                </w:txbxContent>
                              </wps:txbx>
                              <wps:bodyPr rot="0" vert="horz" wrap="square" lIns="91440" tIns="45720" rIns="91440" bIns="45720" anchor="t" anchorCtr="0" upright="1">
                                <a:noAutofit/>
                              </wps:bodyPr>
                            </wps:wsp>
                            <wps:wsp>
                              <wps:cNvPr id="200" name="直接连接符 146"/>
                              <wps:cNvCnPr>
                                <a:cxnSpLocks noChangeShapeType="1"/>
                              </wps:cNvCnPr>
                              <wps:spPr bwMode="auto">
                                <a:xfrm flipH="1" flipV="1">
                                  <a:off x="2718435" y="3159125"/>
                                  <a:ext cx="0" cy="323850"/>
                                </a:xfrm>
                                <a:prstGeom prst="line">
                                  <a:avLst/>
                                </a:prstGeom>
                                <a:noFill/>
                                <a:ln w="6350">
                                  <a:solidFill>
                                    <a:srgbClr val="000000"/>
                                  </a:solidFill>
                                  <a:prstDash val="sysDot"/>
                                  <a:miter lim="800000"/>
                                  <a:headEnd type="stealth" w="med" len="med"/>
                                </a:ln>
                              </wps:spPr>
                              <wps:bodyPr/>
                            </wps:wsp>
                            <wps:wsp>
                              <wps:cNvPr id="201" name="文本框 148"/>
                              <wps:cNvSpPr txBox="1">
                                <a:spLocks noChangeArrowheads="1"/>
                              </wps:cNvSpPr>
                              <wps:spPr bwMode="auto">
                                <a:xfrm>
                                  <a:off x="1354455" y="3459480"/>
                                  <a:ext cx="871855" cy="354965"/>
                                </a:xfrm>
                                <a:prstGeom prst="rect">
                                  <a:avLst/>
                                </a:prstGeom>
                                <a:noFill/>
                                <a:ln>
                                  <a:noFill/>
                                </a:ln>
                              </wps:spPr>
                              <wps:txbx>
                                <w:txbxContent>
                                  <w:p>
                                    <w:pPr>
                                      <w:spacing w:line="0" w:lineRule="atLeast"/>
                                      <w:jc w:val="center"/>
                                      <w:rPr>
                                        <w:rFonts w:hint="eastAsia" w:eastAsia="宋体"/>
                                        <w:sz w:val="15"/>
                                        <w:szCs w:val="15"/>
                                        <w:lang w:eastAsia="zh-CN"/>
                                      </w:rPr>
                                    </w:pPr>
                                    <w:r>
                                      <w:rPr>
                                        <w:rFonts w:hint="eastAsia"/>
                                        <w:sz w:val="15"/>
                                        <w:szCs w:val="15"/>
                                      </w:rPr>
                                      <w:t>沉淀</w:t>
                                    </w:r>
                                    <w:r>
                                      <w:rPr>
                                        <w:sz w:val="15"/>
                                        <w:szCs w:val="15"/>
                                      </w:rPr>
                                      <w:t>池处理后</w:t>
                                    </w:r>
                                    <w:r>
                                      <w:rPr>
                                        <w:rFonts w:hint="eastAsia"/>
                                        <w:sz w:val="15"/>
                                        <w:szCs w:val="15"/>
                                      </w:rPr>
                                      <w:t>用于场地洒水</w:t>
                                    </w:r>
                                    <w:r>
                                      <w:rPr>
                                        <w:rFonts w:hint="eastAsia"/>
                                        <w:sz w:val="15"/>
                                        <w:szCs w:val="15"/>
                                        <w:lang w:val="en-US" w:eastAsia="zh-CN"/>
                                      </w:rPr>
                                      <w:t>降尘</w:t>
                                    </w:r>
                                  </w:p>
                                </w:txbxContent>
                              </wps:txbx>
                              <wps:bodyPr rot="0" vert="horz" wrap="square" lIns="91440" tIns="45720" rIns="91440" bIns="45720" anchor="t" anchorCtr="0" upright="1">
                                <a:noAutofit/>
                              </wps:bodyPr>
                            </wps:wsp>
                            <wps:wsp>
                              <wps:cNvPr id="202" name="文本框 149"/>
                              <wps:cNvSpPr txBox="1">
                                <a:spLocks noChangeArrowheads="1"/>
                              </wps:cNvSpPr>
                              <wps:spPr bwMode="auto">
                                <a:xfrm>
                                  <a:off x="2235835" y="3469640"/>
                                  <a:ext cx="1030605" cy="227965"/>
                                </a:xfrm>
                                <a:prstGeom prst="rect">
                                  <a:avLst/>
                                </a:prstGeom>
                                <a:noFill/>
                                <a:ln>
                                  <a:noFill/>
                                </a:ln>
                              </wps:spPr>
                              <wps:txbx>
                                <w:txbxContent>
                                  <w:p>
                                    <w:pPr>
                                      <w:spacing w:line="0" w:lineRule="atLeast"/>
                                      <w:jc w:val="center"/>
                                      <w:rPr>
                                        <w:rFonts w:hint="default" w:eastAsia="宋体"/>
                                        <w:sz w:val="15"/>
                                        <w:szCs w:val="15"/>
                                        <w:lang w:val="en-US" w:eastAsia="zh-CN"/>
                                      </w:rPr>
                                    </w:pPr>
                                    <w:r>
                                      <w:rPr>
                                        <w:rFonts w:hint="eastAsia"/>
                                        <w:sz w:val="15"/>
                                        <w:szCs w:val="15"/>
                                        <w:lang w:val="en-US" w:eastAsia="zh-CN"/>
                                      </w:rPr>
                                      <w:t>园区污水管网</w:t>
                                    </w:r>
                                  </w:p>
                                </w:txbxContent>
                              </wps:txbx>
                              <wps:bodyPr rot="0" vert="horz" wrap="square" lIns="91440" tIns="45720" rIns="91440" bIns="45720" anchor="t" anchorCtr="0" upright="1">
                                <a:noAutofit/>
                              </wps:bodyPr>
                            </wps:wsp>
                            <wps:wsp>
                              <wps:cNvPr id="203" name="直接连接符 152"/>
                              <wps:cNvCnPr>
                                <a:cxnSpLocks noChangeShapeType="1"/>
                              </wps:cNvCnPr>
                              <wps:spPr bwMode="auto">
                                <a:xfrm flipH="1" flipV="1">
                                  <a:off x="737870" y="382270"/>
                                  <a:ext cx="0" cy="324485"/>
                                </a:xfrm>
                                <a:prstGeom prst="line">
                                  <a:avLst/>
                                </a:prstGeom>
                                <a:noFill/>
                                <a:ln w="6350">
                                  <a:solidFill>
                                    <a:srgbClr val="000000"/>
                                  </a:solidFill>
                                  <a:prstDash val="sysDot"/>
                                  <a:miter lim="800000"/>
                                  <a:tailEnd type="stealth" w="med" len="med"/>
                                </a:ln>
                              </wps:spPr>
                              <wps:bodyPr/>
                            </wps:wsp>
                            <wps:wsp>
                              <wps:cNvPr id="204" name="直接连接符 153"/>
                              <wps:cNvCnPr>
                                <a:cxnSpLocks noChangeShapeType="1"/>
                              </wps:cNvCnPr>
                              <wps:spPr bwMode="auto">
                                <a:xfrm flipH="1" flipV="1">
                                  <a:off x="1824355" y="394335"/>
                                  <a:ext cx="0" cy="323850"/>
                                </a:xfrm>
                                <a:prstGeom prst="line">
                                  <a:avLst/>
                                </a:prstGeom>
                                <a:noFill/>
                                <a:ln w="6350">
                                  <a:solidFill>
                                    <a:srgbClr val="000000"/>
                                  </a:solidFill>
                                  <a:prstDash val="sysDot"/>
                                  <a:miter lim="800000"/>
                                  <a:tailEnd type="stealth" w="med" len="med"/>
                                </a:ln>
                              </wps:spPr>
                              <wps:bodyPr/>
                            </wps:wsp>
                            <wps:wsp>
                              <wps:cNvPr id="207" name="直接连接符 157"/>
                              <wps:cNvCnPr>
                                <a:cxnSpLocks noChangeShapeType="1"/>
                              </wps:cNvCnPr>
                              <wps:spPr bwMode="auto">
                                <a:xfrm flipH="1" flipV="1">
                                  <a:off x="2771140" y="973455"/>
                                  <a:ext cx="0" cy="324485"/>
                                </a:xfrm>
                                <a:prstGeom prst="line">
                                  <a:avLst/>
                                </a:prstGeom>
                                <a:noFill/>
                                <a:ln w="6350">
                                  <a:solidFill>
                                    <a:srgbClr val="000000"/>
                                  </a:solidFill>
                                  <a:prstDash val="sysDot"/>
                                  <a:miter lim="800000"/>
                                  <a:tailEnd type="stealth" w="med" len="med"/>
                                </a:ln>
                              </wps:spPr>
                              <wps:bodyPr/>
                            </wps:wsp>
                            <wps:wsp>
                              <wps:cNvPr id="208" name="文本框 158"/>
                              <wps:cNvSpPr txBox="1">
                                <a:spLocks noChangeArrowheads="1"/>
                              </wps:cNvSpPr>
                              <wps:spPr bwMode="auto">
                                <a:xfrm>
                                  <a:off x="2446655" y="724535"/>
                                  <a:ext cx="669925" cy="248920"/>
                                </a:xfrm>
                                <a:prstGeom prst="rect">
                                  <a:avLst/>
                                </a:prstGeom>
                                <a:noFill/>
                                <a:ln w="6350">
                                  <a:solidFill>
                                    <a:srgbClr val="000000"/>
                                  </a:solidFill>
                                  <a:prstDash val="dash"/>
                                  <a:miter lim="800000"/>
                                </a:ln>
                              </wps:spPr>
                              <wps:txbx>
                                <w:txbxContent>
                                  <w:p>
                                    <w:pPr>
                                      <w:spacing w:line="0" w:lineRule="atLeast"/>
                                      <w:jc w:val="center"/>
                                      <w:rPr>
                                        <w:sz w:val="15"/>
                                        <w:szCs w:val="15"/>
                                      </w:rPr>
                                    </w:pPr>
                                    <w:r>
                                      <w:rPr>
                                        <w:rFonts w:hint="eastAsia"/>
                                        <w:sz w:val="15"/>
                                        <w:szCs w:val="15"/>
                                      </w:rPr>
                                      <w:t>生</w:t>
                                    </w:r>
                                    <w:r>
                                      <w:rPr>
                                        <w:sz w:val="15"/>
                                        <w:szCs w:val="15"/>
                                      </w:rPr>
                                      <w:t>活垃圾</w:t>
                                    </w:r>
                                  </w:p>
                                </w:txbxContent>
                              </wps:txbx>
                              <wps:bodyPr rot="0" vert="horz" wrap="square" lIns="91440" tIns="45720" rIns="91440" bIns="45720" anchor="t" anchorCtr="0" upright="1">
                                <a:noAutofit/>
                              </wps:bodyPr>
                            </wps:wsp>
                            <wps:wsp>
                              <wps:cNvPr id="209" name="直接连接符 159"/>
                              <wps:cNvCnPr>
                                <a:cxnSpLocks noChangeShapeType="1"/>
                              </wps:cNvCnPr>
                              <wps:spPr bwMode="auto">
                                <a:xfrm flipH="1" flipV="1">
                                  <a:off x="2761615" y="464185"/>
                                  <a:ext cx="0" cy="215900"/>
                                </a:xfrm>
                                <a:prstGeom prst="line">
                                  <a:avLst/>
                                </a:prstGeom>
                                <a:noFill/>
                                <a:ln w="6350">
                                  <a:solidFill>
                                    <a:srgbClr val="000000"/>
                                  </a:solidFill>
                                  <a:prstDash val="sysDot"/>
                                  <a:miter lim="800000"/>
                                  <a:tailEnd type="stealth" w="med" len="med"/>
                                </a:ln>
                              </wps:spPr>
                              <wps:bodyPr/>
                            </wps:wsp>
                            <wps:wsp>
                              <wps:cNvPr id="210" name="文本框 160"/>
                              <wps:cNvSpPr txBox="1">
                                <a:spLocks noChangeArrowheads="1"/>
                              </wps:cNvSpPr>
                              <wps:spPr bwMode="auto">
                                <a:xfrm>
                                  <a:off x="2136140" y="258445"/>
                                  <a:ext cx="1205865" cy="241935"/>
                                </a:xfrm>
                                <a:prstGeom prst="rect">
                                  <a:avLst/>
                                </a:prstGeom>
                                <a:noFill/>
                                <a:ln>
                                  <a:noFill/>
                                </a:ln>
                              </wps:spPr>
                              <wps:txbx>
                                <w:txbxContent>
                                  <w:p>
                                    <w:pPr>
                                      <w:spacing w:line="0" w:lineRule="atLeast"/>
                                      <w:jc w:val="center"/>
                                      <w:rPr>
                                        <w:rFonts w:hint="eastAsia" w:eastAsia="宋体"/>
                                        <w:sz w:val="15"/>
                                        <w:szCs w:val="15"/>
                                        <w:lang w:val="en-US" w:eastAsia="zh-CN"/>
                                      </w:rPr>
                                    </w:pPr>
                                    <w:r>
                                      <w:rPr>
                                        <w:rFonts w:hint="eastAsia"/>
                                        <w:sz w:val="15"/>
                                        <w:szCs w:val="15"/>
                                      </w:rPr>
                                      <w:t>交由环卫</w:t>
                                    </w:r>
                                    <w:r>
                                      <w:rPr>
                                        <w:rFonts w:hint="eastAsia"/>
                                        <w:sz w:val="15"/>
                                        <w:szCs w:val="15"/>
                                        <w:lang w:val="en-US" w:eastAsia="zh-CN"/>
                                      </w:rPr>
                                      <w:t>部门清运</w:t>
                                    </w:r>
                                  </w:p>
                                </w:txbxContent>
                              </wps:txbx>
                              <wps:bodyPr rot="0" vert="horz" wrap="square" lIns="91440" tIns="45720" rIns="91440" bIns="45720" anchor="t" anchorCtr="0" upright="1">
                                <a:noAutofit/>
                              </wps:bodyPr>
                            </wps:wsp>
                            <wps:wsp>
                              <wps:cNvPr id="211" name="文本框 160"/>
                              <wps:cNvSpPr txBox="1">
                                <a:spLocks noChangeArrowheads="1"/>
                              </wps:cNvSpPr>
                              <wps:spPr bwMode="auto">
                                <a:xfrm>
                                  <a:off x="179705" y="179705"/>
                                  <a:ext cx="1205865" cy="241935"/>
                                </a:xfrm>
                                <a:prstGeom prst="rect">
                                  <a:avLst/>
                                </a:prstGeom>
                                <a:noFill/>
                                <a:ln>
                                  <a:noFill/>
                                </a:ln>
                              </wps:spPr>
                              <wps:txb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洒水降尘、自然扩散等</w:t>
                                    </w:r>
                                  </w:p>
                                </w:txbxContent>
                              </wps:txbx>
                              <wps:bodyPr rot="0" vert="horz" wrap="square" lIns="91440" tIns="45720" rIns="91440" bIns="45720" anchor="t" anchorCtr="0" upright="1">
                                <a:noAutofit/>
                              </wps:bodyPr>
                            </wps:wsp>
                            <wps:wsp>
                              <wps:cNvPr id="212" name="文本框 160"/>
                              <wps:cNvSpPr txBox="1">
                                <a:spLocks noChangeArrowheads="1"/>
                              </wps:cNvSpPr>
                              <wps:spPr bwMode="auto">
                                <a:xfrm>
                                  <a:off x="1526540" y="196850"/>
                                  <a:ext cx="662305" cy="241935"/>
                                </a:xfrm>
                                <a:prstGeom prst="rect">
                                  <a:avLst/>
                                </a:prstGeom>
                                <a:noFill/>
                                <a:ln>
                                  <a:noFill/>
                                </a:ln>
                              </wps:spPr>
                              <wps:txb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达标排放</w:t>
                                    </w:r>
                                  </w:p>
                                </w:txbxContent>
                              </wps:txbx>
                              <wps:bodyPr rot="0" vert="horz" wrap="square" lIns="91440" tIns="45720" rIns="91440" bIns="45720" anchor="t" anchorCtr="0" upright="1">
                                <a:noAutofit/>
                              </wps:bodyPr>
                            </wps:wsp>
                          </wpc:wpc>
                        </a:graphicData>
                      </a:graphic>
                    </wp:inline>
                  </w:drawing>
                </mc:Choice>
                <mc:Fallback>
                  <w:pict>
                    <v:group id="画布 207" o:spid="_x0000_s1026" o:spt="203" style="height:301.95pt;width:355.25pt;" coordsize="4511675,3834765" editas="canvas" o:gfxdata="UEsDBAoAAAAAAIdO4kAAAAAAAAAAAAAAAAAEAAAAZHJzL1BLAwQUAAAACACHTuJAAD8PFtgAAAAF&#10;AQAADwAAAGRycy9kb3ducmV2LnhtbE2PS0/DMBCE70j8B2srcUGtHR6hpHGqCokTSBWhlcrNtZck&#10;Il6ntvv69xgucFlpNKOZb8v5yfbsgD50jiRkEwEMSTvTUSNh9f48ngILUZFRvSOUcMYA8+ryolSF&#10;cUd6w0MdG5ZKKBRKQhvjUHAedItWhYkbkJL36bxVMUnfcOPVMZXbnt8IkXOrOkoLrRrwqUX9Ve+t&#10;hOu73Jr1Znf2H/XLZr2c6sVr0FJejTIxAxbxFP/C8IOf0KFKTFu3JxNYLyE9En9v8h4ycQ9sKyEX&#10;t4/Aq5L/p6++AVBLAwQUAAAACACHTuJAUBHvATQJAADIYQAADgAAAGRycy9lMm9Eb2MueG1s7V3P&#10;j+NIFb4j8T9YvjNx/bKrosmslp6dAWmBlWaXu9txEgvHNrZ70r1XJLhxQlxAIBC70koLpz0gIcRf&#10;MzP8Gbwql51yEm80sxO73bhH6knaTmI/f37vfd97r/L4g9ttbL0M8yJKk4WNHjm2FSZBuoyS9cL+&#10;7NNnP+C2VZR+svTjNAkX9l1Y2B88+f73Hu+yeYjTTRovw9yCN0mK+S5b2JuyzOazWRFswq1fPEqz&#10;MIGNqzTf+iU8zdezZe7v4N238Qw7jjvbpfkyy9MgLAr469Nqo/1Evf9qFQblz1arIiyteGHDsZXq&#10;d65+X8vfsyeP/fk697NNFOjD8N/hKLZ+lMCHNm/11C996yaPjt5qGwV5WqSr8lGQbmfpahUFoToH&#10;OBvkHJzN8zy9ydS5rOe7ddaYCUx7YKd3ftvgpy8/ya1oCdeOMoZdQhG1rcTfwrV687t/vfrnryzs&#10;eNJMu2w9h72f59mL7JNc/2FdPZNnfrvKt/J/OCfrVhn4rjFweFtaAfyRMoRcj9lWANsIJ9RzWXUJ&#10;gg1cp6PXBZuPzrxyVn/wTB5fczi7DOBU7C1WfDeLvdj4WaguRCFtUFvMFY2p/vzVq3//1UIOqUyl&#10;dpN2khYpso/T4BeFlaRXGz9Zhx/mebrbhP4SjgrJ/eHYjRfIJwW81Lre/SRdwnXwb8pUgevAxIhi&#10;TAHUYEvkUoa5tmVtbRcJz4Xt0thMIFRtbyzmz7O8KJ+H6daSDxZ2DneL+hz/5cdFKY9rv4s8jyR9&#10;FsUx/N2fx4m1W9guYY56QZHG0VJuVKebr6+v4tx66ct7Tv2okwRDmLttoxLu/DjaLmxu7hQn2iDS&#10;BhJ2xby8vb5VgCvm1+nyDkyTp9WdDJ4HHmzS/HPb2sFdvLCLX974eWhb8Y8TMK9AVFqoVE8o8zA8&#10;yc0t1+YWPwngrRZ2UOa2VT25KitncZPl0XoDn4XUCSfph3BRVpGykjzE6rj0kQPyqgO/PAQ9OCF9&#10;t9YQpH1CkLkOEnBDKwwSzyHapdYYhDucA+5qDHK4ABWwaixPGLRGj0F0hEG3Rwxi1+XCqTFIHQyP&#10;lZNqMOgwBLicMPiQ/SA+wqDOWozIerlQTAhBGAHGumIxdSiVfnKKxQ84FpMjDPIe/SARwhMy35sw&#10;+H+cD+7Z2x++ef3bL9784++v/vbNf//zJ/n46y8tBE5Kp9JAZK6SiqEEt8mLA5KiKM+ndxnwjxZH&#10;qV7y7RzFWsVR9vM6V9aE0HOBr2t0CoIF5OWtKO0JrjJJ6SHlvnJrN1cpytyXCflVmiRAW9K8ysuH&#10;Yy7+vPSj+KNkaZXKaGUeAdeLQ+AlC3sbLoGRhKCQyEfViZ3gORWJkJulfftkERCZNIvoQA0eCDXY&#10;IZTVJFdgIRO5FmxAsSAgIqjAShBoCxNs+iOf7jnYmHLIhZyNlBy0iyGORx0CYJARUBDCKjj485oJ&#10;YCk4aSYwOZg+HYx3DimmatEDUgAontQlJqRAjL1XoQgKBmYoMlMXU1W4EEZU6vIjmbqcTGIYE7R2&#10;MMD4GD2QGrRvIZjSc2prHCVSUvbnveQsUmZ76hebSpUt7oqnaVkF0rfQYYfLT/ZCu8pPTFCYNH8Y&#10;UCDPY7QmXgSBKt6FCsIh+nxrgjKh4kQdrKP8wuFu63IVQppZZtEXZjndrgJzl2CkQ8yEit6SUr5X&#10;ow99BVZMdlBUMEYcnXdgTFwK9ZsWnZkCyEUqtXwvDx+Boi9q2+0qkMe5p6toEyr6K57yvWB7hIoe&#10;+MiZXBMCCMcTKnoXw/iBhGommyqxu2wAMfSMFttwMGSP7WCBicPgn64qeZBsTLklNI29VTNUV24J&#10;iVtHbol7oKEtEOwzBqAZsuWmlTG0QCAYnkCgOgffCwgO9E3DE2CzsjcM7fSIx2X7D0hYArQskCVa&#10;uGgyyZGTzsPCSlGGflxuRlFX4Qeypwmg4RkqggZMphmqcAW0EHYgaORi1qgR1C2HkuHZrIcICOnK&#10;BYEWehybHo4Pku26++LuqHxQt3ZKeijPnSE5QH1BUa8hxJB8/EDD2HghJOD6dCTD5B7wZM/hQvfe&#10;YehHFg9VfvfnI4ZQo8q+/v1vXv/x69d/+bWFiMmk5LSEVd7+MIU5kaqZ51JzE8LzJKJlnxFQq0NS&#10;DRMqhMg5AdmIhJl3tqek37GJdiFvCSW9yl++RRmv73GKcizDFKLRA02QmgXG/kCKmCvqSsEpmDJU&#10;ScYKpcTF5xrmJpTux4FODlyMB6WNPmmi1KST/aEUuwJQWhEA7roE/Gore+MeqA+QgCqUwigQVMlh&#10;e3db5zmUtibICnPQ7Jn60e/e2u09zKpNTldO515miFJWOKrk0oAzNbltf3BGVNA6N8CcU3RYnmUc&#10;OaCw6tyA4Wr7hOfLz2SOxz03orGJZ7PI3B+eoQ3NExKvMpWFGjPofW3/DHh26xFhmKPzoEF/8s+9&#10;zBiPB8/dGjYdXj/yHGi0rMgcQcyRBZFWAqJ53OgbMkfN/bs17MofXbag/hYKJEAIBjUPfGQDodEX&#10;0kYsHzUithFUq4qnBk9/QZVzLAeOIKQSSrE49DhIJY46RySYoffKzGVjQLMOx+nW/UneOd3TAeOH&#10;NdN4c9juRU0lcphyPvYQr2cLwA8JmC7oCGWTHxpqEAF602sIGX6Imr0g/fkhRBiFNZu0J4LBFOiH&#10;b+U+HBAlt0vxBfYV1VpL705WG79TTQxNjujsAl5djqjpRjZRNJCChwnjeqSJUNkFcoAiWNPKceXy&#10;KkrDw7DEgPJLE4yGXvsJRqNrZ3QUz5ipNwwTz4z2NMKxVsr2o7hNVj01Fw0XzZpKwjGAhqf2iGPI&#10;h3R8gyaRqcGxkubu0bSuXBqyqzOEmXXTYVwQ9jyEdH+akOJnV0Y9+aDhfFAjDhm5EBsmowa53HW1&#10;x/EwPWqpdqHa2VR/KBfvldl/5wU1pyLlxYqU2Gn0p+NIaebtQ/k5F7m6kZu6VC/0epRrwTSyOFfg&#10;udfz5yNu5FaLAx6Vuat2iN4VTAydd3VcxIyDitAWDkCyZLxeVAlTWEpnonz3YrlfjE7pTwOhCHmg&#10;fVfpuX7YUp8mEN3TNaMxOiU/DQUiWHN+v76bq9dH2Ycu15XzjVp8mjwR1H7OLjyuVsKHrwtQfXb6&#10;qw3k9xGYz9USg/svYHjy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AA/DxbYAAAABQEAAA8AAAAA&#10;AAAAAQAgAAAAIgAAAGRycy9kb3ducmV2LnhtbFBLAQIUABQAAAAIAIdO4kBQEe8BNAkAAMhhAAAO&#10;AAAAAAAAAAEAIAAAACcBAABkcnMvZTJvRG9jLnhtbFBLBQYAAAAABgAGAFkBAADNDAAAAAA=&#10;">
                      <o:lock v:ext="edit" aspectratio="f"/>
                      <v:shape id="画布 207" o:spid="_x0000_s1026" style="position:absolute;left:0;top:0;height:3834765;width:4511675;" filled="f" stroked="t" coordsize="21600,21600" o:gfxdata="UEsDBAoAAAAAAIdO4kAAAAAAAAAAAAAAAAAEAAAAZHJzL1BLAwQUAAAACACHTuJAAD8PFtgAAAAF&#10;AQAADwAAAGRycy9kb3ducmV2LnhtbE2PS0/DMBCE70j8B2srcUGtHR6hpHGqCokTSBWhlcrNtZck&#10;Il6ntvv69xgucFlpNKOZb8v5yfbsgD50jiRkEwEMSTvTUSNh9f48ngILUZFRvSOUcMYA8+ryolSF&#10;cUd6w0MdG5ZKKBRKQhvjUHAedItWhYkbkJL36bxVMUnfcOPVMZXbnt8IkXOrOkoLrRrwqUX9Ve+t&#10;hOu73Jr1Znf2H/XLZr2c6sVr0FJejTIxAxbxFP/C8IOf0KFKTFu3JxNYLyE9En9v8h4ycQ9sKyEX&#10;t4/Aq5L/p6++AVBLAwQUAAAACACHTuJAwsRMfSIJAAASYgAADgAAAGRycy9lMm9Eb2MueG1s7V1d&#10;j+NIFX1H4j9YeWfi+rBdFU3PaulhAGmBlWbh3Z04iYVjB9vT6eYHwNs+7gsIBAIkpIWnfUX8mp3h&#10;Z3Cq/JGyE292mI7daTwPPU7bqdhVp++959x7K88/uttE1m2QZmESX03IM3tiBfE8WYTx6mry889e&#10;fU9MrCz344UfJXFwNbkPsslHL777nee77SygyTqJFkFqYZA4m+22V5N1nm9n02k2XwcbP3uWbIMY&#10;J5dJuvFzvExX00Xq7zD6JppS23anuyRdbNNkHmQZfvuyODl5ocdfLoN5/rPlMgtyK7qa4N5y/TPV&#10;P2/Uz+mL5/5slfrbdTgvb8P/H+5i44cxPrQe6qWf+9abNDwYahPO0yRLlvmzebKZJstlOA/0M+Bp&#10;iN16mms/vvUz/TBzzE51gzh6wHFvVuq+4+RVGEWYjSlGn6nfqf93WJ9AnY5ia4fllbaDSZz7WKhl&#10;5Oc43GwXV5MsXk0sP1oBAfM81fOQJVG4UEOqd2fp6uY6Sq1bX62C/qcmfooz5mXbNMtf+tm6uE6f&#10;KtZnE+YASRRuriaifrc/Wwf+4gfxwsrvt0BWDHxN1F1ugsXEigLcjDrSC5z7YfRtrsQdRXE5B+Wz&#10;77YAZratIZp92NS/XvvbQK9oNpv/9PbT1AoxgcSVEyv2N3iMd3/8+9f/+rNFbKZuXX06Lnu9/TTV&#10;E7n9JJn/MrPi5Hrtx6vg4zRNdmoacFdET2njDepFhrdaN7ufJAsM7r/JE708d8t0owYEAK07vJdT&#10;yrGy9+pWuEOFU8xbcJdbc5x3ifRctfK4wJGEFOcxW9U4aul+GCQbSx1cTVL83enP8W8/yfJiqatL&#10;1MfWaKuQ5TIASz+hCYhviZuj8NgvZTEHxVzmdzd35bTeJIt7TE2aFDYBNgwH6yT9NUAEewBU/+qN&#10;nwJS0Y9jTK8kXM1Qrl9wx6N4kZpnbswzfjzHUMWfg1W8uM4Ls/Nmm4arNT6L6AeOk4+xKMtQz5Ja&#10;sOK+NAg18oobPz8EPTxQC4K8Twg6rk2kU2KQeTYrjXOFQe65ArirMCiwAAWwRgzW6Lx4DJIDDLo9&#10;YpC6roCLq+ygTXEMjPmzGoO2Q4DLEYNP2Q7SAwx6PWKQMUYoAca6fDG3OVd2cvTFT9gXswMMij4x&#10;KKUnVbw3YvD/OB7kNQZ/99Xbz//67p//+PovX/3n339Qx1/+zSIwUmUoDYZyHRcMZX4Xv26RFE15&#10;PtMcrcFRird8M0exllG4/UUVK5dsxXPB/Et0SkYl4vKGl/ak0JGkspDqWnW2m6tkeeqrgPw6iWPQ&#10;liQt4vLhmIs/a9LVPA3B9aLgOLk9znMKEqGeW80vyENvLAKeqWQRHaihA6GG2ow7FcmVVKpArgEb&#10;l3Hmlo6VEU+HfiNsSvycWf/w3FOwMeWQMxkbQxBhtsdtBjAoDygZcwo47JkABR3VWhguGA1MnwbG&#10;O4UUU7XoASkAiqd0iREpj80VIfVguiIzdDFVhTNhRIcuP1Khy9EgxnEkrwwMGJ/DW1JDqTIwyvkp&#10;tTUKoXwr49VLzNJS6e+zl0leONL30GGHi0/2QruOT0xQmDR/GFAQz3N4RbwYgSrehQom4H2+Ma4d&#10;UXEko9aRfhH4a+syFbKneLXbVFDhMkpKFzOiojcuI/ZqdNtWUM1kVWx8Zu7bjQrHYXYZd1DKXI78&#10;TYPOjA7kLJlasZeHD0DRF7XtBgXxhPDKLNqIiv5kD7EXbA9Q0QMfORFrwoEIOqKidzFMtCRUM9jU&#10;gd15HYihZzTYhk0RPTadBWWo7Kn0DMdDsDHGlig/e69qra7YEoFbR2xJe6ChDRDsIwbQDFVy04gY&#10;GiCQDh1BoGsQHwQELX3TsATUzOwNQzs95glV/gMJS0LLgizRwEUdSV446WwnVrI88KN8fRF5FdGS&#10;PU0ADc9QiUBupWSo0pUoIexA0IWLWReNoG45lA3PZj3CIKRrEwQt9NA3PR0b1Kxavigb1K2dsh7S&#10;cydIDqgvFPUKQg5Rx0/UjV0uhCTWpyMYZo+AJ3u2kGXtHUU9snyq8nu7d+KSrJCsVdm3X/z27e+/&#10;fPun31iEmUxKdUtY+d33k7uqcChrlSQ9VN+E9DyFaMTNHqhVm1QTJHCY6hNQhUgUrPpUTUm/bRPN&#10;RN4CjTeFvXyPNF7f7RToOLqMZgpZ64EmSM0EY38gJY4rq0zBMZg6pJCMNUqZS08VzI0o3bcDHW24&#10;uByU1vqkiVKTTvaHUupKoLQgAMJ1GexqI3oTHtQHBKAapWgFQpYc57vr806htNF52Gg0e6X/laM3&#10;Liu6ID+oV200uihH3Z6niVJlOIrg0oAzN7ltf3AmXPIqNqBCcNJOzzqC2FBYy9jAocX5Ec/n78m8&#10;HPNci8Ymns0kc394RhmaJxVeVSiLHDP0vqZ9Bp7dqkUYfXQeCvRH+9xLj/Hl4Llbw+bD60eejULL&#10;gswx4tgqIdIIQEoed/EFmRfN/bs17MIenTeh/h4KJCCERs2WjawhdPGJtAtWIGsR23CqRcazBE9/&#10;TlUIqhqO4FIZ51S2LQ7RgWMZIzLqkAdl5qowoN6H43jp/ijvHK/pQPthxTTetcu9uKlEDpPOpx4R&#10;VW8B7JBEd0GHKxvt0FCNCKhNryBk2CFu1oL0Z4cIczhHrqOwRGhMQT18I/YRQJQ6r8QXXCthtT4o&#10;uK/tTrHf0miITm4F1mWI6mpkE0UDKXiUOaJsaWJcVYG0UIQ9rWxXba+iNTyKLQZGGD2KvZ/QGl0Z&#10;owN/5ph6wzD+zChPY4KWStm+FbeOqsfiouG8WZ1JOATQ8NSeCIp4qPRvKBIZCxwL713udWhukDcc&#10;grrFIcfMmw5jgqjnEVLWp0klfnZF1KMNGg5BtThkxELOMBE15HLXLS2OR/lBSbWLbGed/eFCPiiz&#10;V5ugjknKx7nNJrVr/enQU5px+1B2ziVuWcjNXV5u9HoQa6EbWZ5K8Dzq/vMLLuTWmwMepLmLcoje&#10;FUyKyrvKL1JHQEVoCgeQLB1RbapEObbSGSnf46B85Jj+NBCKiAftuwjPy8OG+jSC6JHuGU3JMflp&#10;KBA5SKbU+7u55f4oe9fluqq/sRSfRkuE3M/Jjcf1dwHgewB0nV35JQnqmw3M13qLwf1XObz4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AA/DxbYAAAABQEAAA8AAAAAAAAAAQAgAAAAIgAAAGRycy9k&#10;b3ducmV2LnhtbFBLAQIUABQAAAAIAIdO4kDCxEx9IgkAABJiAAAOAAAAAAAAAAEAIAAAACcBAABk&#10;cnMvZTJvRG9jLnhtbFBLBQYAAAAABgAGAFkBAAC7DAAAAAA=&#10;">
                        <v:fill on="f" focussize="0,0"/>
                        <v:stroke weight="1.5pt" color="#000000 [3213]" miterlimit="8" joinstyle="miter"/>
                        <v:imagedata o:title=""/>
                        <o:lock v:ext="edit" aspectratio="f"/>
                      </v:shape>
                      <v:rect id="矩形 103" o:spid="_x0000_s1026" o:spt="1" style="position:absolute;left:142240;top:1645285;height:591185;width:619760;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Au00vpJAIAABMEAAAOAAAAZHJzL2Uyb0RvYy54bWytU1GO0zAQ&#10;/UfiDpb/aZJu222jpqtVV4uQFlhp4QCu4zQWjseM3ablMkj8cQiOg7gGY6e7FPhD5MPyZGbezLw3&#10;Xl4dOsP2Cr0GW/FilHOmrIRa223F37+7fTHnzAdha2HAqoofledXq+fPlr0r1RhaMLVCRiDWl72r&#10;eBuCK7PMy1Z1wo/AKUvOBrATgUzcZjWKntA7k43zfJb1gLVDkMp7+nszOPkq4TeNkuFt03gVmKk4&#10;9RbSiencxDNbLUW5ReFaLU9tiH/oohPaUtEnqBsRBNuh/guq0xLBQxNGEroMmkZLlWagaYr8j2ke&#10;WuFUmoXI8e6JJv//YOWb/T0yXZN2swVnVnQk0o/PX79/+8KK/CLy0ztfUtiDu8c4oXd3ID94ZmHd&#10;CrtV14jQt0rU1FUR47PfEqLhKZVt+tdQE7jYBUhUHRrsIiCRwA6UOxmPJyTRMbYymY7n00EcdQhM&#10;kn9WLC5n5JcUMF0UxeDPRPmI49CHlwo6Fi8VR9I+1RH7Ox9iX6J8DIllLdxqY5L+xrKeClxM85Tg&#10;weg6OtO4uN2sDbK9iBuUvjQkEXEe1ulAe2x0V/H5eZCxJ0IiBwOX4bA5nGjdQH0kahCGvaR3RJcW&#10;8BNnPe1kxf3HnUDFmXllid5FMYkMhWRMppdjMvDcszn3CCsJquIyIGeDsQ7D6u8c6m1LtYo0sIVr&#10;EqXRiaUo2NDXqXPavETe6ZXE1T63U9Svt7z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uerNvU&#10;AAAABQEAAA8AAAAAAAAAAQAgAAAAIgAAAGRycy9kb3ducmV2LnhtbFBLAQIUABQAAAAIAIdO4kAu&#10;00vpJAIAABMEAAAOAAAAAAAAAAEAIAAAACMBAABkcnMvZTJvRG9jLnhtbFBLBQYAAAAABgAGAFkB&#10;AAC5BQ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场地</w:t>
                              </w:r>
                              <w:r>
                                <w:rPr>
                                  <w:b/>
                                  <w:color w:val="000000"/>
                                  <w:sz w:val="15"/>
                                  <w:szCs w:val="15"/>
                                </w:rPr>
                                <w:t>开挖</w:t>
                              </w:r>
                              <w:r>
                                <w:rPr>
                                  <w:rFonts w:hint="eastAsia"/>
                                  <w:b/>
                                  <w:color w:val="000000"/>
                                  <w:sz w:val="15"/>
                                  <w:szCs w:val="15"/>
                                </w:rPr>
                                <w:t>及清理</w:t>
                              </w:r>
                            </w:p>
                          </w:txbxContent>
                        </v:textbox>
                      </v:rect>
                      <v:rect id="矩形 104" o:spid="_x0000_s1026" o:spt="1" style="position:absolute;left:1560195;top:1637030;height:591820;width:476885;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Dou5CJJgIAABQEAAAOAAAAZHJzL2Uyb0RvYy54bWytU12O0zAQ&#10;fkfiDpbfaZL+N2q6WnW1CGmBlRYO4DpOY+F4zNhtWi6DxBuH4DiIazB2u0uBN0QeLE9m5puZbz4v&#10;rw6dYXuFXoOteDHIOVNWQq3ttuLv392+mHPmg7C1MGBVxY/K86vV82fL3pVqCC2YWiEjEOvL3lW8&#10;DcGVWeZlqzrhB+CUJWcD2IlAJm6zGkVP6J3Jhnk+zXrA2iFI5T39vTk5+SrhN42S4W3TeBWYqTj1&#10;FtKJ6dzEM1stRblF4Votz22If+iiE9pS0SeoGxEE26H+C6rTEsFDEwYSugyaRkuVZqBpivyPaR5a&#10;4VSahcjx7okm//9g5Zv9PTJd0+5mxI8VHS3px+ev3799YUU+jvz0zpcU9uDuMU7o3R3ID55ZWLfC&#10;btU1IvStEjV1VcT47LeEaHhKZZv+NdQELnYBElWHBrsISCSwA+VOpnmxmHB2pPt0NMtH5+2oQ2CS&#10;Asaz6XxOfkkBk0UxHyZ/JspHIIc+vFTQsXipONLyUyGxv/MhNibKx5BY18KtNiYJwFjWV3w6muQp&#10;wYPRdXSmeXG7WRtkexEllL40JTFxGdbpQEI2uqv4/DLI2DMjkYQTmeGwOZx53UB9JG4QTsKkh0SX&#10;FvATZz2JsuL+406g4sy8ssTvohiPo4qTMZ7MiAKGl57NpUdYSVAVlwE5OxnrcNL+zqHetlSrSANb&#10;uKatNDqxFDd26uvcOUkvkXd+JlHbl3aK+vWY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56s&#10;29QAAAAFAQAADwAAAAAAAAABACAAAAAiAAAAZHJzL2Rvd25yZXYueG1sUEsBAhQAFAAAAAgAh07i&#10;QOi7kIkmAgAAFAQAAA4AAAAAAAAAAQAgAAAAIwEAAGRycy9lMm9Eb2MueG1sUEsFBgAAAAAGAAYA&#10;WQEAALsFA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基础工程、主体</w:t>
                              </w:r>
                              <w:r>
                                <w:rPr>
                                  <w:b/>
                                  <w:color w:val="000000"/>
                                  <w:sz w:val="15"/>
                                  <w:szCs w:val="15"/>
                                </w:rPr>
                                <w:t>工程施工</w:t>
                              </w:r>
                            </w:p>
                          </w:txbxContent>
                        </v:textbox>
                      </v:rect>
                      <v:rect id="矩形 106" o:spid="_x0000_s1026" o:spt="1" style="position:absolute;left:2668905;top:1640205;height:591820;width:405130;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ClBPeyKQIAABQEAAAOAAAAZHJzL2Uyb0RvYy54bWytU1Fu2zAM&#10;/R+wOwj6X2ynSZoYcYoiRYcB3Vag2wEUWY6FyaJGKbG7ywzYXw+x4wy7xiglbbPtb5g/BNF8eiQf&#10;yeXF0Bm2V+g12IoXo5wzZSXU2m4r/vHD9as5Zz4IWwsDVlX8Xnl+sXr5Ytm7Uo2hBVMrZERifdm7&#10;irchuDLLvGxVJ/wInLLkbAA7EcjEbVaj6Im9M9k4z2dZD1g7BKm8p79XBydfJf6mUTK8bxqvAjMV&#10;p9xCOjGdm3hmq6Uotyhcq+UxDfEPWXRCWwr6RHUlgmA71H9RdVoieGjCSEKXQdNoqVINVE2R/1HN&#10;XSucSrWQON49yeT/H618t79Fpmvq3XnBmRUdNenn14cf37+xIp9FfXrnS4LduVuMFXp3A/KTZxbW&#10;rbBbdYkIfatETVkVEZ/99iAanp6yTf8WaiIXuwBJqqHBLhKSCGyo+Hg2my/yKWf3xDOb5GO6p+6o&#10;ITBJgEk+Lc6oh5IA00UxH6fuZaJ8JHLow2sFHYuXiiM1PwUS+xsfYmKifITEuBautTEphLGsr/js&#10;bJqnBx6MrqMz1Yvbzdog24s4QulLVZISp7BOBxpko7uKz09Bxh4ViSIcxAzDZqCwUZkN1PekDcJh&#10;MGmR6NICfuGsp6GsuP+8E6g4M28s6bsoJpM4xcmYTM9JAoanns2pR1hJVBWXATk7GOtwmP2dQ71t&#10;KVaRCrZwSV1pdFLpOa9j5jR6SbzjmsTZPrUT6nmZ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56s29QAAAAFAQAADwAAAAAAAAABACAAAAAiAAAAZHJzL2Rvd25yZXYueG1sUEsBAhQAFAAAAAgA&#10;h07iQKUE97IpAgAAFAQAAA4AAAAAAAAAAQAgAAAAIwEAAGRycy9lMm9Eb2MueG1sUEsFBgAAAAAG&#10;AAYAWQEAAL4FA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设备</w:t>
                              </w:r>
                              <w:r>
                                <w:rPr>
                                  <w:b/>
                                  <w:color w:val="000000"/>
                                  <w:sz w:val="15"/>
                                  <w:szCs w:val="15"/>
                                </w:rPr>
                                <w:t>安装调试</w:t>
                              </w:r>
                            </w:p>
                          </w:txbxContent>
                        </v:textbox>
                      </v:rect>
                      <v:rect id="矩形 107" o:spid="_x0000_s1026" o:spt="1" style="position:absolute;left:3331210;top:1645285;height:591185;width:404495;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CXvNXgKAIAABQEAAAOAAAAZHJzL2Uyb0RvYy54bWytU1GO0zAQ&#10;/UfiDpb/aZI27bbRpqvVrhYhLbDSwgFcx2ksHI8Zu02XyyDxxyE4DuIajJ3uUuAPkQ/Lk3l+nnnz&#10;fH5x6A3bK/QabM2LSc6ZshIabbc1f//u5sWSMx+EbYQBq2r+oDy/WD9/dj64Sk2hA9MoZERifTW4&#10;mnchuCrLvOxUL/wEnLKUbAF7ESjEbdagGIi9N9k0zxfZANg4BKm8p7/XY5KvE3/bKhnetq1XgZma&#10;U20hrZjWTVyz9bmotihcp+WxDPEPVfRCW7r0iepaBMF2qP+i6rVE8NCGiYQ+g7bVUqUeqJsi/6Ob&#10;+044lXohcbx7ksn/P1r5Zn+HTDc0u7MpZ1b0NKQfn79+//aFFflZ1GdwviLYvbvD2KF3tyA/eGbh&#10;qhN2qy4RYeiUaKiqIuKz3w7EwNNRthleQ0PkYhcgSXVosY+EJAI71Hw2mxXTgmb0QDyLcj5dzsfp&#10;qENgkgBlXparOWeSAPNVUYz5TFSPRA59eKmgZ3FTc6Thp4vE/taHWJioHiHxXgs32phkAGPZUPPF&#10;bJ6nAx6MbmIy9YvbzZVBthfRQulLXZISp7BeBzKy0X3Nl6cgY4+KRBFGMcNhczjquoHmgbRBGI1J&#10;D4k2HeAnzgYyZc39x51AxZl5ZUnfVVGW0cUpKOdnUwrwNLM5zQgriarmMiBnY3AVRu/vHOptR3cV&#10;qWELlzSVVieV4sTGuo6Vk/WSeMdnEr19GifUr8e8/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nqzb1AAAAAUBAAAPAAAAAAAAAAEAIAAAACIAAABkcnMvZG93bnJldi54bWxQSwECFAAUAAAACACH&#10;TuJAl7zV4CgCAAAUBAAADgAAAAAAAAABACAAAAAjAQAAZHJzL2Uyb0RvYy54bWxQSwUGAAAAAAYA&#10;BgBZAQAAvQU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工程验收</w:t>
                              </w:r>
                            </w:p>
                          </w:txbxContent>
                        </v:textbox>
                      </v:rect>
                      <v:rect id="矩形 108" o:spid="_x0000_s1026" o:spt="1" style="position:absolute;left:3997960;top:1645285;height:591185;width:404495;v-text-anchor:middle;" filled="f" stroked="t" coordsize="21600,21600" o:gfxdata="UEsDBAoAAAAAAIdO4kAAAAAAAAAAAAAAAAAEAAAAZHJzL1BLAwQUAAAACACHTuJAm56s29QAAAAF&#10;AQAADwAAAGRycy9kb3ducmV2LnhtbE2PQUvDQBCF74L/YRnBm91Nxcam2RQUFE+Ftv6AbXZMQrOz&#10;ITtpq7/e0YteBh7v8d435foSenXCMXWRLGQzAwqpjr6jxsL7/uXuEVRiR971kdDCJyZYV9dXpSt8&#10;PNMWTztulJRQKpyFlnkotE51i8GlWRyQxPuIY3Ascmy0H91ZykOv58YsdHAdyULrBnxusT7upmAh&#10;bL46v59y3PBbfM390zJs597a25vMrEAxXvgvDD/4gg6VMB3iRD6p3oI8wr9XvDwzD6AOFhbmfgm6&#10;KvV/+uobUEsDBBQAAAAIAIdO4kDWv5JTKAIAABQEAAAOAAAAZHJzL2Uyb0RvYy54bWytU1GO0zAQ&#10;/UfiDpb/aZJu2m2jTVerrhYhLbDSwgFcx2ksHI8Zu02XyyDxxyE4DuIajJ3uUuAPkQ/Lk3l+nnnz&#10;fHF56A3bK/QabM2LSc6ZshIabbc1f//u5sWCMx+EbYQBq2r+oDy/XD1/djG4Sk2hA9MoZERifTW4&#10;mnchuCrLvOxUL/wEnLKUbAF7ESjEbdagGIi9N9k0z+fZANg4BKm8p7/XY5KvEn/bKhnetq1XgZma&#10;U20hrZjWTVyz1YWotihcp+WxDPEPVfRCW7r0iepaBMF2qP+i6rVE8NCGiYQ+g7bVUqUeqJsi/6Ob&#10;+044lXohcbx7ksn/P1r5Zn+HTDc0u/MzzqzoaUg/Pn/9/u0LK/JF1GdwviLYvbvD2KF3tyA/eGZh&#10;3Qm7VVeIMHRKNFRVEfHZbwdi4Oko2wyvoSFysQuQpDq02EdCEoEdan62XJ4v5zSjB+KZl7PpYjZO&#10;Rx0CkwQo87JczjiTBJgti2LMZ6J6JHLow0sFPYubmiMNP10k9rc+xMJE9QiJ91q40cYkAxjLhprP&#10;z2Z5OuDB6CYmU7+43awNsr2IFkpf6pKUOIX1OpCRje5rvjgFGXtUJIowihkOm8NR1w00D6QNwmhM&#10;eki06QA/cTaQKWvuP+4EKs7MK0v6LouyjC5OQTk7n1KAp5nNaUZYSVQ1lwE5G4N1GL2/c6i3Hd1V&#10;pIYtXNFUWp1UihMb6zpWTtZL4h2fSfT2aZxQvx7z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nqzb1AAAAAUBAAAPAAAAAAAAAAEAIAAAACIAAABkcnMvZG93bnJldi54bWxQSwECFAAUAAAACACH&#10;TuJA1r+SUygCAAAUBAAADgAAAAAAAAABACAAAAAjAQAAZHJzL2Uyb0RvYy54bWxQSwUGAAAAAAYA&#10;BgBZAQAAvQUAAAAA&#10;">
                        <v:fill on="f" focussize="0,0"/>
                        <v:stroke weight="0.5pt" color="#000000" miterlimit="8" joinstyle="miter"/>
                        <v:imagedata o:title=""/>
                        <o:lock v:ext="edit" aspectratio="f"/>
                        <v:textbox>
                          <w:txbxContent>
                            <w:p>
                              <w:pPr>
                                <w:spacing w:line="0" w:lineRule="atLeast"/>
                                <w:jc w:val="center"/>
                                <w:rPr>
                                  <w:b/>
                                  <w:color w:val="000000"/>
                                  <w:sz w:val="15"/>
                                  <w:szCs w:val="15"/>
                                </w:rPr>
                              </w:pPr>
                              <w:r>
                                <w:rPr>
                                  <w:rFonts w:hint="eastAsia"/>
                                  <w:b/>
                                  <w:color w:val="000000"/>
                                  <w:sz w:val="15"/>
                                  <w:szCs w:val="15"/>
                                </w:rPr>
                                <w:t>投入使用</w:t>
                              </w:r>
                            </w:p>
                          </w:txbxContent>
                        </v:textbox>
                      </v:rect>
                      <v:shape id="直接箭头连接符 110" o:spid="_x0000_s1026" o:spt="32" type="#_x0000_t32" style="position:absolute;left:762000;top:1932940;flip:y;height:7620;width:798195;" filled="f" stroked="t" coordsize="21600,21600" o:gfxdata="UEsDBAoAAAAAAIdO4kAAAAAAAAAAAAAAAAAEAAAAZHJzL1BLAwQUAAAACACHTuJAIf2H4NYAAAAF&#10;AQAADwAAAGRycy9kb3ducmV2LnhtbE2PwU7DMBBE70j8g7VIXCpqp4hCQ5weCgikSggKH+DaSxJh&#10;r6PYbcLfs3CBy0qjGc28rdZT8OKIQ+oiaSjmCgSSja6jRsP728PFDYiUDTnjI6GGL0ywrk9PKlO6&#10;ONIrHne5EVxCqTQa2pz7UspkWwwmzWOPxN5HHILJLIdGusGMXB68XCi1lMF0xAut6XHTov3cHYKG&#10;Sd6vntTMPt7Rdlw4659fNuNM6/OzQt2CyDjlvzD84DM61My0jwdySXgN/Ej+vexdF+oKxF7DUl2u&#10;QNaV/E9ffwNQSwMEFAAAAAgAh07iQMuTmncOAgAAxgMAAA4AAABkcnMvZTJvRG9jLnhtbK1TwW4T&#10;MRC9I/EPlu9ks2mbJqtsekgplwKVWrg7tnfXwvZYtptNfoIfQOJEOQGn3vkaKJ/B2AkphRtiD5a9&#10;nnnz5s3z7GRtNFlJHxTYmpaDISXSchDKtjV9dXX2ZEJJiMwKpsHKmm5koCfzx49mvavkCDrQQnqC&#10;IDZUvatpF6OriiLwThoWBuCkxcsGvGERj74thGc9ohtdjIbDcdGDF84DlyHg39PtJZ1n/KaRPL5s&#10;miAj0TVFbjGvPq/LtBbzGataz1yn+I4G+wcWhimLRfdQpywycu3VX1BGcQ8BmjjgYApoGsVl7gG7&#10;KYd/dHPZMSdzLyhOcHuZwv+D5S9WF54ogbM7PqTEMoNDunt3+/3tzd2Xz98+3P74+j7tP30kZZnl&#10;6l2oMGthL3xqmK/tpTsH/iYQC4uO2VZm2lcbh0hlErh4kJIOwWHRZf8cBMaw6whZu3XjDWm0cq9T&#10;YgJHfci6psdjHDVOb4P/pwej6eFubnIdCU/300k5PaKEY0CKzUVZlfASivMhPpNgSNrUNETPVNvF&#10;BViL/gC/rcVW5yEmtvcJKdnCmdI620Rb0td0fHA0zOQCaCXSZQoLvl0utCcrloyWvx2LB2FGRbS7&#10;Vqamk30QqyJT+qkVJGbRolcoo5Y0lTNSUKIlPq602/LTdidq0jFZPVRLEJsL/0tsNEtuZGfs5Mbf&#10;zzn7/vnN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fg1gAAAAUBAAAPAAAAAAAAAAEAIAAA&#10;ACIAAABkcnMvZG93bnJldi54bWxQSwECFAAUAAAACACHTuJAy5Oadw4CAADGAwAADgAAAAAAAAAB&#10;ACAAAAAlAQAAZHJzL2Uyb0RvYy54bWxQSwUGAAAAAAYABgBZAQAApQUAAAAA&#10;">
                        <v:fill on="f" focussize="0,0"/>
                        <v:stroke weight="0.5pt" color="#000000" miterlimit="8" joinstyle="miter" endarrow="block"/>
                        <v:imagedata o:title=""/>
                        <o:lock v:ext="edit" aspectratio="f"/>
                      </v:shape>
                      <v:shape id="直接箭头连接符 112" o:spid="_x0000_s1026" o:spt="32" type="#_x0000_t32" style="position:absolute;left:2034540;top:1929130;flip:y;height:3175;width:634365;" filled="f" stroked="t" coordsize="21600,21600" o:gfxdata="UEsDBAoAAAAAAIdO4kAAAAAAAAAAAAAAAAAEAAAAZHJzL1BLAwQUAAAACACHTuJAIf2H4NYAAAAF&#10;AQAADwAAAGRycy9kb3ducmV2LnhtbE2PwU7DMBBE70j8g7VIXCpqp4hCQ5weCgikSggKH+DaSxJh&#10;r6PYbcLfs3CBy0qjGc28rdZT8OKIQ+oiaSjmCgSSja6jRsP728PFDYiUDTnjI6GGL0ywrk9PKlO6&#10;ONIrHne5EVxCqTQa2pz7UspkWwwmzWOPxN5HHILJLIdGusGMXB68XCi1lMF0xAut6XHTov3cHYKG&#10;Sd6vntTMPt7Rdlw4659fNuNM6/OzQt2CyDjlvzD84DM61My0jwdySXgN/Ej+vexdF+oKxF7DUl2u&#10;QNaV/E9ffwNQSwMEFAAAAAgAh07iQCrqreYQAgAAxwMAAA4AAABkcnMvZTJvRG9jLnhtbK1TzW4T&#10;MRC+I/EOlu9kd/NHu8qmh5RyKRCphbvj9e5a+E+2m01eghdA4kQ5Aafe+zSlPAYzTggUbggfLNsz&#10;880334xnJxutyFr4IK2paDHIKRGG21qatqKvL8+eHFESIjM1U9aIim5FoCfzx49mvSvF0HZW1cIT&#10;ADGh7F1FuxhdmWWBd0KzMLBOGDA21msW4erbrPasB3StsmGeT7Pe+tp5y0UI8Hq6M9J5wm8aweOr&#10;pgkiElVR4BbT7tO+wj2bz1jZeuY6yfc02D+w0EwaSHqAOmWRkSsv/4LSknsbbBMH3OrMNo3kItUA&#10;1RT5H9VcdMyJVAuIE9xBpvD/YPnL9dITWUPvnk4oMUxDk+7f33x7d33/9cvdx5vvtx/w/PkTKYoh&#10;ytW7UELUwiw9Fsw35sKdW/42EGMXHTOtSLQvtw6QCozIHoTgJThIuupf2Bp82FW0SbtN4zVplHRv&#10;MBDBQR+yqegwH40nY2jfFgzHw+NitG+c2ETCwWE6Go+mQJ+DwwgLwaysRECEcT7E58JqgoeKhuiZ&#10;bLu4sMbAgFi/S8bW5yHuAn8GYLCxZ1IpeGelMqTHZJM8sQtWyRqNaAu+XS2UJ2uGk5bWnsUDNy0j&#10;zLuSuqJHBydWRibVM1OTmFSLXoKOSlBMp0VNiRLwu/C046fMXlUUcteSla23S49mFBimJSmwn2wc&#10;x9/vyevX/5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H9h+DWAAAABQEAAA8AAAAAAAAAAQAg&#10;AAAAIgAAAGRycy9kb3ducmV2LnhtbFBLAQIUABQAAAAIAIdO4kAq6q3mEAIAAMcDAAAOAAAAAAAA&#10;AAEAIAAAACUBAABkcnMvZTJvRG9jLnhtbFBLBQYAAAAABgAGAFkBAACnBQAAAAA=&#10;">
                        <v:fill on="f" focussize="0,0"/>
                        <v:stroke weight="0.5pt" color="#000000" miterlimit="8" joinstyle="miter" endarrow="block"/>
                        <v:imagedata o:title=""/>
                        <o:lock v:ext="edit" aspectratio="f"/>
                      </v:shape>
                      <v:shape id="直接箭头连接符 113" o:spid="_x0000_s1026" o:spt="32" type="#_x0000_t32" style="position:absolute;left:3074035;top:1933575;height:0;width:247650;" filled="f" stroked="t" coordsize="21600,21600" o:gfxdata="UEsDBAoAAAAAAIdO4kAAAAAAAAAAAAAAAAAEAAAAZHJzL1BLAwQUAAAACACHTuJANxle+9QAAAAF&#10;AQAADwAAAGRycy9kb3ducmV2LnhtbE2PwU7DMBBE75X4B2srcWvtEFHaEKcHpNwQEqVw3sZLkjZe&#10;R7ablr/HcIHLSqMZzbwtt1c7iIl86B1ryJYKBHHjTM+thv1bvViDCBHZ4OCYNHxRgG11MyuxMO7C&#10;rzTtYitSCYcCNXQxjoWUoenIYli6kTh5n85bjEn6VhqPl1RuB3mn1Epa7DktdDjSU0fNaXe2Gp5f&#10;Nuv9KZumum4+jrnnGnP5rvXtPFOPICJd418YfvATOlSJ6eDObIIYNKRH4u9N3kOm7kEcNKxUvgFZ&#10;lfI/ffUNUEsDBBQAAAAIAIdO4kD1frtLCgIAALoDAAAOAAAAZHJzL2Uyb0RvYy54bWytU81uEzEQ&#10;viPxDpbvZHezTVJW2fSQUi4FIrU8gOP1Zi1sj2W72eQleAEkTtATcOqdp4HyGIydH6DcEHuwPDsz&#10;38x883l6ttGKrIXzEkxNi0FOiTAcGmlWNX19ffHklBIfmGmYAiNquhWens0eP5r2thJD6EA1whEE&#10;Mb7qbU27EGyVZZ53QjM/ACsMOltwmgU03SprHOsRXatsmOfjrAfXWAdceI9/z3dOOkv4bSt4eNW2&#10;XgSiaoq9hXS6dC7jmc2mrFo5ZjvJ922wf+hCM2mw6BHqnAVGbpz8C0pL7sBDGwYcdAZtK7lIM+A0&#10;Rf5gmquOWZFmQXK8PdLk/x8sf7leOCIb3N1kTIlhGpd0/+7u+9uP918+f/tw9+Pr+3j/dEuKoox0&#10;9dZXmDU3CxcH5htzZS+Bv/HEwLxjZiVS29dbi0hFzMj+SImGt1h02b+ABmPYTYDE3aZ1OkIiK2RT&#10;0zKfnOTliJIt4jwty9FktFuX2ATCMWB4MhmPcKkcA9ImM1YdMKzz4bkATeKlpj44JlddmIMxqAlw&#10;RarI1pc+xA5ZdUiIDRi4kEolaShD+pqOS6wTPR6UbKIzGW61nCtH1iyKK31p3AdhWgaUuJK6pqfH&#10;IFYFJtUz05CQiApOInVK0FhOi4YSJfBBxduuP2X2REbudltYQrNduAPBKJA0yF7MUYG/2yn715Ob&#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GV771AAAAAUBAAAPAAAAAAAAAAEAIAAAACIAAABk&#10;cnMvZG93bnJldi54bWxQSwECFAAUAAAACACHTuJA9X67SwoCAAC6AwAADgAAAAAAAAABACAAAAAj&#10;AQAAZHJzL2Uyb0RvYy54bWxQSwUGAAAAAAYABgBZAQAAnwUAAAAA&#10;">
                        <v:fill on="f" focussize="0,0"/>
                        <v:stroke weight="0.5pt" color="#000000" miterlimit="8" joinstyle="miter" endarrow="block"/>
                        <v:imagedata o:title=""/>
                        <o:lock v:ext="edit" aspectratio="f"/>
                      </v:shape>
                      <v:shape id="直接箭头连接符 114" o:spid="_x0000_s1026" o:spt="32" type="#_x0000_t32" style="position:absolute;left:3740785;top:1933575;height:0;width:247650;" filled="f" stroked="t" coordsize="21600,21600" o:gfxdata="UEsDBAoAAAAAAIdO4kAAAAAAAAAAAAAAAAAEAAAAZHJzL1BLAwQUAAAACACHTuJANxle+9QAAAAF&#10;AQAADwAAAGRycy9kb3ducmV2LnhtbE2PwU7DMBBE75X4B2srcWvtEFHaEKcHpNwQEqVw3sZLkjZe&#10;R7ablr/HcIHLSqMZzbwtt1c7iIl86B1ryJYKBHHjTM+thv1bvViDCBHZ4OCYNHxRgG11MyuxMO7C&#10;rzTtYitSCYcCNXQxjoWUoenIYli6kTh5n85bjEn6VhqPl1RuB3mn1Epa7DktdDjSU0fNaXe2Gp5f&#10;Nuv9KZumum4+jrnnGnP5rvXtPFOPICJd418YfvATOlSJ6eDObIIYNKRH4u9N3kOm7kEcNKxUvgFZ&#10;lfI/ffUNUEsDBBQAAAAIAIdO4kCbHmSdCQIAALoDAAAOAAAAZHJzL2Uyb0RvYy54bWytU0uOEzEQ&#10;3SNxB8t70un8aaUziwzDZoBIMxzAcbu7LWyXZXvSySW4ABIrmBWwmj2ngeEYlJ0PMOwQvbBcXVWv&#10;ql49z8+2WpGNcF6CKWne61MiDIdKmqakr68vnswo8YGZiikwoqQ74enZ4vGjeWcLMYAWVCUcQRDj&#10;i86WtA3BFlnmeSs08z2wwqCzBqdZQNM1WeVYh+haZYN+f5J14CrrgAvv8e/53kkXCb+uBQ+v6tqL&#10;QFRJsbeQTpfOdTyzxZwVjWO2lfzQBvuHLjSTBoueoM5ZYOTGyb+gtOQOPNShx0FnUNeSizQDTpP3&#10;H0xz1TIr0ixIjrcnmvz/g+UvNytHZIW7m04pMUzjku7f3X1/+/H+y+dvH+5+fH0f759uSZ6PIl2d&#10;9QVmLc3KxYH51lzZS+BvPDGwbJlpRGr7emcRKY8Z2R8p0fAWi667F1BhDLsJkLjb1k5HSGSFbEs6&#10;nI7609mYkh3iPB0Ox9Pxfl1iGwjHgMFoOhnjUjkGpE1mrDhiWOfDcwGaxEtJfXBMNm1YgjGoCXB5&#10;qsg2lz7EDllxTIgNGLiQSiVpKEO6kk6GWCd6PChZRWcyXLNeKkc2LIorfWncB2FaBpS4krqks1MQ&#10;KwKT6pmpSEhEBSeROiVoLKdFRYkS+KDibd+fMgciI3f7Layh2q3ckWAUSBrkIOaowN/tlP3ryS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ZXvvUAAAABQEAAA8AAAAAAAAAAQAgAAAAIgAAAGRy&#10;cy9kb3ducmV2LnhtbFBLAQIUABQAAAAIAIdO4kCbHmSdCQIAALoDAAAOAAAAAAAAAAEAIAAAACMB&#10;AABkcnMvZTJvRG9jLnhtbFBLBQYAAAAABgAGAFkBAACeBQAAAAA=&#10;">
                        <v:fill on="f" focussize="0,0"/>
                        <v:stroke weight="0.5pt" color="#000000" miterlimit="8" joinstyle="miter" endarrow="block"/>
                        <v:imagedata o:title=""/>
                        <o:lock v:ext="edit" aspectratio="f"/>
                      </v:shape>
                      <v:line id="直接连接符 116" o:spid="_x0000_s1026" o:spt="20" style="position:absolute;left:559435;top:1312545;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CkpoxH1AQAApQMAAA4AAABkcnMvZTJvRG9jLnhtbK1TwY7T&#10;MBC9I/EPlu80TduUEjXdQ6uFwwKVduHuOk5iYXss29s0P8EPIHGDE0fu/A3LZzB2y26BGyKHke03&#10;82bmzWR5cdCK7IXzEkxF89GYEmE41NK0FX1zc/lkQYkPzNRMgREVHYSnF6vHj5a9LcUEOlC1cARJ&#10;jC97W9EuBFtmmeed0MyPwAqDYANOs4BX12a1Yz2ya5VNxuN51oOrrQMuvMfXzRGkq8TfNIKH103j&#10;RSCqolhbSNYlu4s2Wy1Z2TpmO8lPZbB/qEIzaTDpPdWGBUZunfyLSkvuwEMTRhx0Bk0juUg9YDf5&#10;+I9urjtmReoFxfH2Xib//2j5q/3WEVnj7J7iqAzTOKS7D1+/v//049tHtHdfPpM8n0eheutL9F+b&#10;rYut8oO5tlfA33liYN0x04pU8M1gkSOPEdlvIfHiLabb9S+hRh92GyCpdmicJo2S9kUMTKe38RTT&#10;oEbkUNGieDabFpQM+D7NJ8WsOM5OHALhiONwOWLTyWy2SFDGykgbKazz4bkATeKhokqaqCor2f7K&#10;h1jmg0t8NnAplUqboQzpKzqfFuMU4EHJOoLRzbt2t1aO7FncrfSlnhE5d4s5N8x3Rz8/+A2EY+la&#10;Btx9JXVFF+fhypyUi2IdZd9BPWzdL0VxF1LRp72Ny3Z+T9EPf9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ApKaMR9QEAAKUDAAAOAAAAAAAAAAEAIAAAACUBAABkcnMvZTJvRG9jLnhtbFBL&#10;BQYAAAAABgAGAFkBAACMBQAAAAA=&#10;">
                        <v:fill on="f" focussize="0,0"/>
                        <v:stroke weight="0.5pt" color="#000000" miterlimit="8" joinstyle="miter" dashstyle="1 1"/>
                        <v:imagedata o:title=""/>
                        <o:lock v:ext="edit" aspectratio="f"/>
                      </v:line>
                      <v:line id="直接连接符 117" o:spid="_x0000_s1026" o:spt="20" style="position:absolute;left:1775460;top:1316355;flip:x y;height:323850;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AUyfcT0AQAApgMAAA4AAABkcnMvZTJvRG9jLnhtbK1TvY4T&#10;MRDukXgHyz3Z/JAfVtlckeigOCDSHfSO15u1sD2Wx5dNXoIXQKKDipKet+F4DMZOuAvQIbYY2Z6Z&#10;b775ZnZ+sbeG7VRADa7ig16fM+Uk1NptK/7m5vLJjDOMwtXCgFMVPyjkF4vHj+adL9UQWjC1CoxA&#10;HJadr3gboy+LAmWrrMAeeOXI2UCwItI1bIs6iI7QrSmG/f6k6CDUPoBUiPS6Ojr5IuM3jZLxddOg&#10;isxUnLjFbEO2m2SLxVyU2yB8q+WJhvgHFlZoR0XvoVYiCnYb9F9QVssACE3sSbAFNI2WKvdA3Qz6&#10;f3Rz3Qqvci8kDvp7mfD/wcpXu3VguqbZTZ9x5oSlId19+Pr9/acf3z6SvfvymQ0G0yRU57Gk+KVb&#10;h9Sq3LtrfwXyHTIHy1a4rcqEbw6eMAYpo/gtJV3QU7lN9xJqihG3EbJq+yZY1hjtX6TEfHqbTqkM&#10;acT2id50/HRCIzzQeTSYjMbj4/DUPjJJAeSS5BsNR7NxnmshyoSbMHzA+FyBZelQcaNdklWUYneF&#10;MfF8CEnPDi61MXk1jGNdxalaPycgGF0nZwrDsN0sTWA7kZYrf7lp8pyHpZorge0xDg+4gnikbnWk&#10;5TfaVnx2nm7cSbqk1lH3DdSHdfglKS1DJn1a3LRt5/ec/fB7LX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0pl4NYAAAAFAQAADwAAAAAAAAABACAAAAAiAAAAZHJzL2Rvd25yZXYueG1sUEsBAhQA&#10;FAAAAAgAh07iQAUyfcT0AQAApgMAAA4AAAAAAAAAAQAgAAAAJQEAAGRycy9lMm9Eb2MueG1sUEsF&#10;BgAAAAAGAAYAWQEAAIsFAAAAAA==&#10;">
                        <v:fill on="f" focussize="0,0"/>
                        <v:stroke weight="0.5pt" color="#000000" miterlimit="8" joinstyle="miter" dashstyle="1 1"/>
                        <v:imagedata o:title=""/>
                        <o:lock v:ext="edit" aspectratio="f"/>
                      </v:line>
                      <v:line id="直接连接符 119" o:spid="_x0000_s1026" o:spt="20" style="position:absolute;left:2863215;top:1316355;flip:x y;height:323850;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NHWGbr0AQAApgMAAA4AAABkcnMvZTJvRG9jLnhtbK1TsY4T&#10;MRDtkfgHyz3ZbKJEYZXNFYkOigMi3UHveL1ZC9tjeXzZ5Cf4ASQ6qCiv5284PoOxE+4CdIgtRrZn&#10;5s2bN7Pzi701bKcCanA1LwdDzpST0Gi3rfnbm8tnM84wCtcIA07V/KCQXyyePpn3vlIj6MA0KjAC&#10;cVj1vuZdjL4qCpSdsgIH4JUjZwvBikjXsC2aIHpCt6YYDYfToofQ+ABSIdLr6ujki4zftkrGN22L&#10;KjJTc+IWsw3ZbpItFnNRbYPwnZYnGuIfWFihHRV9gFqJKNht0H9BWS0DILRxIMEW0LZaqtwDdVMO&#10;/+jmuhNe5V5IHPQPMuH/g5Wvd+vAdEOzm5E+Tlga0v3Hu+8fPv/49ons/dcvrCyfJ6F6jxXFL906&#10;pFbl3l37K5DvkTlYdsJtVSZ8c/CEUaaM4reUdEFP5Tb9K2goRtxGyKrt22BZa7R/mRLz6V06pTKk&#10;EdvXfDSbjkflhLMDOcbldDyZHIen9pFJCiD2knzj0Xg2yXMtRJVwE4YPGF8osCwdam60S7KKSuyu&#10;MCaejyHp2cGlNiavhnGsrzlVG+YEBKOb5ExhGLabpQlsJ9Jy5S83TZ7zsFRzJbA7xuEBVxCP1K2O&#10;tPxG25rPztONO0mX1DrqvoHmsA6/JKVlyKRPi5u27fyesx9/r8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0pl4NYAAAAFAQAADwAAAAAAAAABACAAAAAiAAAAZHJzL2Rvd25yZXYueG1sUEsBAhQA&#10;FAAAAAgAh07iQNHWGbr0AQAApgMAAA4AAAAAAAAAAQAgAAAAJQEAAGRycy9lMm9Eb2MueG1sUEsF&#10;BgAAAAAGAAYAWQEAAIsFAAAAAA==&#10;">
                        <v:fill on="f" focussize="0,0"/>
                        <v:stroke weight="0.5pt" color="#000000" miterlimit="8" joinstyle="miter" dashstyle="1 1"/>
                        <v:imagedata o:title=""/>
                        <o:lock v:ext="edit" aspectratio="f"/>
                      </v:line>
                      <v:line id="直接连接符 121" o:spid="_x0000_s1026" o:spt="20" style="position:absolute;left:553085;top:2236470;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GtUiUn1AQAApQMAAA4AAABkcnMvZTJvRG9jLnhtbK1TzW4T&#10;MRC+I/EOlu9kN79Eq2x6SFQ4FKjUwt3xerMWtsfyuNnkJXgBJG5w4sidt6E8BmMnLS3cEHsY2Z5v&#10;vpn5ZnZxtreG7VRADa7mw0HJmXISGu22NX97ff5szhlG4RphwKmaHxTys+XTJ4veV2oEHZhGBUYk&#10;Dqve17yL0VdFgbJTVuAAvHLkbCFYEekatkUTRE/s1hSjspwVPYTGB5AKkV7XRydfZv62VTK+aVtU&#10;kZmaU20x25DtJtliuRDVNgjfaXkqQ/xDFVZoR0nvqdYiCnYT9F9UVssACG0cSLAFtK2WKvdA3QzL&#10;P7q56oRXuRcSB/29TPj/aOXr3WVguqHZzYecOWFpSLcfv/348Pnn909kb79+YcPRMAnVe6wIv3KX&#10;IbUq9+7KX4B8j8zBqhNuq3LB1wdPHDmieBSSLugp3aZ/BQ1hxE2ErNq+DZa1RvuXKTCf3qVTSkMa&#10;sX3Np9NxOZ9ydqj5aDSeTZ6fZqf2kUny03Al+cajyYRgVG0hqkSbKHzA+EKBZelQc6NdUlVUYneB&#10;8Qi9g6RnB+famLwZxrG+5rPxtMwBCEY3yZlgGLablQlsJ9Ju5e+U9xEsMa8FdkccHnAN8bh2Vkfa&#10;faNtzecPw42j6u/EOsq+geZwGVKp6Z12Ifd32tu0bA/vGfX771r+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BrVIlJ9QEAAKUDAAAOAAAAAAAAAAEAIAAAACUBAABkcnMvZTJvRG9jLnhtbFBL&#10;BQYAAAAABgAGAFkBAACMBQAAAAA=&#10;">
                        <v:fill on="f" focussize="0,0"/>
                        <v:stroke weight="0.5pt" color="#000000" miterlimit="8" joinstyle="miter" dashstyle="1 1"/>
                        <v:imagedata o:title=""/>
                        <o:lock v:ext="edit" aspectratio="f"/>
                      </v:line>
                      <v:line id="直接连接符 122" o:spid="_x0000_s1026" o:spt="20" style="position:absolute;left:1788795;top:2236470;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E3PPDr1AQAApgMAAA4AAABkcnMvZTJvRG9jLnhtbK1TzY7T&#10;MBC+I/EOlu80bfoXoqZ7aLVwWKDS7nJ3Haex8J883qZ9CV4AiRucOHLnbVgeY8du2B+4IXIYeTzf&#10;fDPzebI4O2hF9sKDtKaio8GQEmG4raXZVfT66vxFQQkEZmqmrBEVPQqgZ8vnzxadK0VuW6tq4QmS&#10;GCg7V9E2BFdmGfBWaAYD64TBYGO9ZgFdv8tqzzpk1yrLh8NZ1llfO2+5AMDb9SlIl4m/aQQP75oG&#10;RCCqothbSNYnu402Wy5YufPMtZL3bbB/6EIzabDoPdWaBUZuvPyLSkvuLdgmDLjVmW0ayUWaAacZ&#10;Df+Y5rJlTqRZUBxw9zLB/6Plb/cbT2SNb1fklBim8ZFuP33/+fHLrx+f0d5++0pGeR6F6hyUiF+Z&#10;jY+j8oO5dBeWfwBi7KplZidSw1dHhxyjmJE9SYkOOCy37d7YGjHsJtik2qHxmjRKutcxMZ3ex1Ms&#10;gxqRAzrzopi/nFJyrGiej2eTef944hAIRwC+LsfYOJ9MimkqzsrIGzmch/BKWE3ioaJKmigrK9n+&#10;AkLs8wESr409l0ql1VCGdBWdjafDlABWyToGIwz8brtSnuxZXK709XWfwGLNNYP2hIMjrG2IOFZq&#10;GXD5ldQVLR6nK9NLF9U66b619XHjf0uKy5Ca7hc3bttjP2U//F7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BNzzw69QEAAKYDAAAOAAAAAAAAAAEAIAAAACUBAABkcnMvZTJvRG9jLnhtbFBL&#10;BQYAAAAABgAGAFkBAACMBQAAAAA=&#10;">
                        <v:fill on="f" focussize="0,0"/>
                        <v:stroke weight="0.5pt" color="#000000" miterlimit="8" joinstyle="miter" dashstyle="1 1"/>
                        <v:imagedata o:title=""/>
                        <o:lock v:ext="edit" aspectratio="f"/>
                      </v:line>
                      <v:line id="直接连接符 124" o:spid="_x0000_s1026" o:spt="20" style="position:absolute;left:2868295;top:2236470;flip:x y;height:324485;width:0;" filled="f" stroked="t" coordsize="21600,21600" o:gfxdata="UEsDBAoAAAAAAIdO4kAAAAAAAAAAAAAAAAAEAAAAZHJzL1BLAwQUAAAACACHTuJAt0pl4NYAAAAF&#10;AQAADwAAAGRycy9kb3ducmV2LnhtbE2PwU7DMBBE70j8g7VI3KgdEC1N41QC0QMSHFpyKLdtso0j&#10;4nVku2n4ewwXuKw0mtHM22I92V6M5EPnWEM2UyCIa9d03Gqo3jc3DyBCRG6wd0wavijAury8KDBv&#10;3Jm3NO5iK1IJhxw1mBiHXMpQG7IYZm4gTt7ReYsxSd/KxuM5ldte3io1lxY7TgsGB3oyVH/uTlbD&#10;i3l+3eBYvR3tx35YVN7s4+Ok9fVVplYgIk3xLww/+AkdysR0cCdugug1pEfi703eIlP3IA4a5upu&#10;CbIs5H/68htQSwMEFAAAAAgAh07iQGB0vCL1AQAApgMAAA4AAABkcnMvZTJvRG9jLnhtbK1TzY7T&#10;MBC+I/EOlu80bfpDiJruodXCYYFKu3B3HSex8J883qZ5CV4AiRt74sidt2F5DMZu2R+4IXIY2Z5v&#10;vpn5ZrI8O2hF9sKDtKaik9GYEmG4raVpK/ru6vxZQQkEZmqmrBEVHQTQs9XTJ8velSK3nVW18ARJ&#10;DJS9q2gXgiuzDHgnNIORdcKgs7Fes4BX32a1Zz2ya5Xl4/Ei662vnbdcAODr5uikq8TfNIKHt00D&#10;IhBVUawtJOuT3UWbrZasbD1zneSnMtg/VKGZNJj0jmrDAiPXXv5FpSX3FmwTRtzqzDaN5CL1gN1M&#10;xn90c9kxJ1IvKA64O5ng/9HyN/utJ7LG2RVTSgzTOKTbT99+fPzy8/tntLdfb8gkn0Whegcl4tdm&#10;62Or/GAu3YXlH4AYu+6YaUUq+GpwyDGJEdmjkHgBh+l2/WtbI4ZdB5tUOzRek0ZJ9yoGptP7eIpp&#10;UCNyqGheLIr8xZySAc/5dDF7fhqeOATCEYDT5eib5rNZMU/JWRl5I4fzEF4Kq0k8VFRJE2VlJdtf&#10;QIh13kPis7HnUqm0GsqQvqKL6XycAsAqWUdnhIFvd2vlyZ7F5UrfKe8jWMy5YdAdcTDAxoaIY6WW&#10;AZdfSV3R4mG4MifpolpH3Xe2Hrb+t6S4DKno0+LGbXt4T9H3v9f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ZeDWAAAABQEAAA8AAAAAAAAAAQAgAAAAIgAAAGRycy9kb3ducmV2LnhtbFBLAQIU&#10;ABQAAAAIAIdO4kBgdLwi9QEAAKYDAAAOAAAAAAAAAAEAIAAAACUBAABkcnMvZTJvRG9jLnhtbFBL&#10;BQYAAAAABgAGAFkBAACMBQAAAAA=&#10;">
                        <v:fill on="f" focussize="0,0"/>
                        <v:stroke weight="0.5pt" color="#000000" miterlimit="8" joinstyle="miter" dashstyle="1 1"/>
                        <v:imagedata o:title=""/>
                        <o:lock v:ext="edit" aspectratio="f"/>
                      </v:line>
                      <v:line id="直接连接符 115" o:spid="_x0000_s1026" o:spt="20" style="position:absolute;left:559435;top:1302385;height:5715;width:2305050;" filled="f" stroked="t" coordsize="21600,21600" o:gfxdata="UEsDBAoAAAAAAIdO4kAAAAAAAAAAAAAAAAAEAAAAZHJzL1BLAwQUAAAACACHTuJArlKY1tYAAAAF&#10;AQAADwAAAGRycy9kb3ducmV2LnhtbE2PwU7DMBBE70j8g7VI3KidAqVN4/SAhDgghEiLuG7jbRwR&#10;r0PspuHvMVzgstJoRjNvi83kOjHSEFrPGrKZAkFce9Nyo2G3fbhagggR2WDnmTR8UYBNeX5WYG78&#10;iV9prGIjUgmHHDXYGPtcylBbchhmvidO3sEPDmOSQyPNgKdU7jo5V2ohHbacFiz2dG+p/qiOTkN4&#10;uXmuVruncYvq7XNp8XGYT+9aX15kag0i0hT/wvCDn9ChTEx7f2QTRKchPRJ/b/LuMnULYq9hoa5X&#10;IMtC/qcvvwFQSwMEFAAAAAgAh07iQPqqGjTsAQAAlQMAAA4AAABkcnMvZTJvRG9jLnhtbK1TzW4T&#10;MRC+I/EOlu9k89MtYZVND4nKpUCklgeYeL1ZC9tj2W42eQleAIkbnDj2zttQHoOxk5RSbohdabTj&#10;mfnmm8+zs4ud0WwrfVBoaz4aDDmTVmCj7Kbm728uX0w5CxFsAxqtrPleBn4xf/5s1rtKjrFD3UjP&#10;CMSGqnc172J0VVEE0UkDYYBOWgq26A1Ecv2maDz0hG50MR4Oz4sefeM8ChkCnS4PQT7P+G0rRXzX&#10;tkFGpmtO3GK2Ptt1ssV8BtXGg+uUONKAf2BhQFlq+gC1hAjs1qu/oIwSHgO2cSDQFNi2Ssg8A00z&#10;Gj6Z5roDJ/MsJE5wDzKF/wcr3m5XnqmG7m56xpkFQ5d0/+nux8cvP79/Jnv/7SsbjcokVO9CRfkL&#10;u/JpVLGz1+4KxYfALC46sBuZCd/sHWGMUkXxR0lygqN26/4NNpQDtxGzarvWmwRJerBdzcvy1dmk&#10;5GxPMJPheDLN7aGSu8gExceTYUkvZ4IyypcHdgVUJxjnQ3wt0bD0UXOtbFIRKthehZhoQXVKSccW&#10;L5XWeRO0ZX3NzycEniIBtWpSMDt+s15oz7aQdik/ecYnaQl5CaE75IV9WGI8rJlRkXZdK1Pz6eNy&#10;bY9KJXEOMq+x2a/8SUG6+0z6uKdpuR77ufr33zT/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5S&#10;mNbWAAAABQEAAA8AAAAAAAAAAQAgAAAAIgAAAGRycy9kb3ducmV2LnhtbFBLAQIUABQAAAAIAIdO&#10;4kD6qho07AEAAJUDAAAOAAAAAAAAAAEAIAAAACUBAABkcnMvZTJvRG9jLnhtbFBLBQYAAAAABgAG&#10;AFkBAACDBQAAAAA=&#10;">
                        <v:fill on="f" focussize="0,0"/>
                        <v:stroke weight="0.5pt" color="#000000" miterlimit="8" joinstyle="miter" dashstyle="1 1"/>
                        <v:imagedata o:title=""/>
                        <o:lock v:ext="edit" aspectratio="f"/>
                      </v:line>
                      <v:line id="直接连接符 126" o:spid="_x0000_s1026" o:spt="20" style="position:absolute;left:553085;top:2546350;height:9525;width:2305050;" filled="f" stroked="t" coordsize="21600,21600" o:gfxdata="UEsDBAoAAAAAAIdO4kAAAAAAAAAAAAAAAAAEAAAAZHJzL1BLAwQUAAAACACHTuJArlKY1tYAAAAF&#10;AQAADwAAAGRycy9kb3ducmV2LnhtbE2PwU7DMBBE70j8g7VI3KidAqVN4/SAhDgghEiLuG7jbRwR&#10;r0PspuHvMVzgstJoRjNvi83kOjHSEFrPGrKZAkFce9Nyo2G3fbhagggR2WDnmTR8UYBNeX5WYG78&#10;iV9prGIjUgmHHDXYGPtcylBbchhmvidO3sEPDmOSQyPNgKdU7jo5V2ohHbacFiz2dG+p/qiOTkN4&#10;uXmuVruncYvq7XNp8XGYT+9aX15kag0i0hT/wvCDn9ChTEx7f2QTRKchPRJ/b/LuMnULYq9hoa5X&#10;IMtC/qcvvwFQSwMEFAAAAAgAh07iQKMcck3pAQAAlQMAAA4AAABkcnMvZTJvRG9jLnhtbK1TwY7T&#10;MBC9I/EPlu80aUqqEjXdQ6vlskClXT7AdZzGwvZYtrdJfoIfQOIGJ47c929YPoOx2y67cEMk0ijj&#10;efNm5nmyvBi0IgfhvART0+kkp0QYDo00+5q+v7l8saDEB2YapsCImo7C04vV82fL3laigA5UIxxB&#10;EuOr3ta0C8FWWeZ5JzTzE7DCYLAFp1lA1+2zxrEe2bXKijyfZz24xjrgwns83RyDdJX421bw8K5t&#10;vQhE1RR7C8m6ZHfRZqslq/aO2U7yUxvsH7rQTBos+kC1YYGRWyf/otKSO/DQhgkHnUHbSi7SDDjN&#10;NP9jmuuOWZFmQXG8fZDJ/z9a/vawdUQ2eHeLkhLDNF7S/afvPz5++Xn3Ge39t69kWsyjUL31FeLX&#10;ZuviqHww1/YK+AdPDKw7ZvYiNXwzWuSYxozsSUp0vMVyu/4NNIhhtwGSakPrdKREPchQ07Kc5bGb&#10;saZF+XI+K0/3JIZAOMaLWV7iSwlHxKuyKFMtVp1prPPhtQBN4kdNlTRRRVaxw5UPsS1WnSHx2MCl&#10;VCptgjKkr2mqGCMelGxiMDluv1srRw4s7lJ6TnWfwCLzhvnuiPOj30CIOFZpGXDXldQ1XTxOV+ak&#10;VBTnKPMOmnHrzgri3aemT3sal+uxn7J//02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5SmNbW&#10;AAAABQEAAA8AAAAAAAAAAQAgAAAAIgAAAGRycy9kb3ducmV2LnhtbFBLAQIUABQAAAAIAIdO4kCj&#10;HHJN6QEAAJUDAAAOAAAAAAAAAAEAIAAAACUBAABkcnMvZTJvRG9jLnhtbFBLBQYAAAAABgAGAFkB&#10;AACABQAAAAA=&#10;">
                        <v:fill on="f" focussize="0,0"/>
                        <v:stroke weight="0.5pt" color="#000000" miterlimit="8" joinstyle="miter" dashstyle="1 1"/>
                        <v:imagedata o:title=""/>
                        <o:lock v:ext="edit" aspectratio="f"/>
                      </v:line>
                      <v:line id="直接连接符 128" o:spid="_x0000_s1026" o:spt="20" style="position:absolute;left:737870;top:978535;flip:x y;height:323850;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DRgfvYMAgAA0QMAAA4AAABkcnMvZTJvRG9jLnhtbK1TzY4T&#10;MQy+I/EOUe50+qO2w6jTPbQsHBaotAt3N8l0IvKnJNtpX4IXQOIGJ47ceRuWx8DJlC4sN8QcLHts&#10;f7Y/O4uLg1ZkL3yQ1tR0NBhSIgyzXJpdTd/cXD4pKQkRDAdljajpUQR6sXz8aNG5SoxtaxUXniCI&#10;CVXnatrG6KqiCKwVGsLAOmHQ2VivIaLpdwX30CG6VsV4OJwVnfXcectECPh33TvpMuM3jWDxddME&#10;EYmqKfYWs/RZbpMslguodh5cK9mpDfiHLjRIg0XPUGuIQG69/AtKS+ZtsE0cMKsL2zSSiTwDTjMa&#10;PpjmugUn8ixITnBnmsL/g2Wv9htPJMfdlTNKDGhc0t2Hr9/ff/rx7SPKuy+fyWhcJqI6FyqMX5mN&#10;T6Oyg7l2V5a9C8TYVQtmJ3LDN0eHGKOUUfyRkozgsNy2e2k5xsBttJm1Q+M1aZR0L1Ji1t4mLZVB&#10;jsihpvPJvJzjBo81fTovp5NpvzpxiIShGz0MXZPxpJzmrRZQJdSE4HyIz4XVJCk1VdIkUqGC/VWI&#10;qcv7kPTb2EupVD4MZUhX09kEIZMnWCV5cmbD77Yr5cke0mnlL4/8ICzVXENo+7hwDGsb+9a1jHj6&#10;Suqalud0qCJI9cxwEjONIQpQsaWpDy04JUrgO0ta37gyJ5YTsf2KtpYfN/4X+3g3ecLTjafD/N3O&#10;2fcvc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nFxgdYAAAAFAQAADwAAAAAAAAABACAAAAAi&#10;AAAAZHJzL2Rvd25yZXYueG1sUEsBAhQAFAAAAAgAh07iQDRgfvYMAgAA0QMAAA4AAAAAAAAAAQAg&#10;AAAAJQEAAGRycy9lMm9Eb2MueG1sUEsFBgAAAAAGAAYAWQEAAKMFAAAAAA==&#10;">
                        <v:fill on="f" focussize="0,0"/>
                        <v:stroke weight="0.5pt" color="#000000" miterlimit="8" joinstyle="miter" dashstyle="1 1" endarrow="classic"/>
                        <v:imagedata o:title=""/>
                        <o:lock v:ext="edit" aspectratio="f"/>
                      </v:line>
                      <v:line id="直接连接符 129" o:spid="_x0000_s1026" o:spt="20" style="position:absolute;left:1834515;top:969645;flip:x y;height:324485;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J9nK5sOAgAA0gMAAA4AAABkcnMvZTJvRG9jLnhtbK1TvY4T&#10;MRDukXgHyz3Z/JOssrki4aA4INId9BPbm7Xwn2xfNnkJXgCJDipKet6G4zEYe0PugA6xxcjemfnm&#10;m2/Gi4uDVmQvfJDWVHTQ61MiDLNcml1F39xcPplREiIYDsoaUdGjCPRi+fjRonWlGNrGKi48QRAT&#10;ytZVtInRlUURWCM0hJ51wqCztl5DxKvfFdxDi+haFcN+f1q01nPnLRMh4N9156TLjF/XgsXXdR1E&#10;JKqiyC1m67PdJlssF1DuPLhGshMN+AcWGqTBomeoNUQgt17+BaUl8zbYOvaY1YWta8lE7gG7GfT/&#10;6Oa6ASdyLyhOcGeZwv+DZa/2G08kx9nNnlJiQOOQ7j58/f7+049vH9HefflMBsN5Eqp1ocT4ldn4&#10;1Co7mGt3Zdm7QIxdNWB2IhO+OTrEGKSM4reUdAkOy23bl5ZjDNxGm1U71F6TWkn3IiXm09t0SmVQ&#10;I3JI9EbjyWBCybGi8+l8Op50sxOHSBj6cbgMXaPheDzLrgLKBJsgnA/xubCapENFlTRJVShhfxVi&#10;onkfkn4beymVypuhDGkrOh1N+jkhWCV5cqaw4HfblfJkD2m38pd7Rs/DsFRzDaHp4sIxrG3sqGsZ&#10;cfeV1BWdndOhjCDVM8NJzDqGKEDFhiYeWnBKlMCHlk4dcWVOMidluxltLT9u/C/5cXFyh6clT5v5&#10;8J6z75/i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cXGB1gAAAAUBAAAPAAAAAAAAAAEAIAAA&#10;ACIAAABkcnMvZG93bnJldi54bWxQSwECFAAUAAAACACHTuJAn2crmw4CAADSAwAADgAAAAAAAAAB&#10;ACAAAAAlAQAAZHJzL2Uyb0RvYy54bWxQSwUGAAAAAAYABgBZAQAApQUAAAAA&#10;">
                        <v:fill on="f" focussize="0,0"/>
                        <v:stroke weight="0.5pt" color="#000000" miterlimit="8" joinstyle="miter" dashstyle="1 1" endarrow="classic"/>
                        <v:imagedata o:title=""/>
                        <o:lock v:ext="edit" aspectratio="f"/>
                      </v:line>
                      <v:line id="直接连接符 131" o:spid="_x0000_s1026" o:spt="20" style="position:absolute;left:713740;top:2546350;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JBfhvQNAgAA0gMAAA4AAABkcnMvZTJvRG9jLnhtbK1TzY7T&#10;MBC+I/EOlu80Tbs/VdR0Dy0LhwUq7cJ9ajuJhf9ke5v2JXgBJG7siSN33oblMRg73cLCDZGDNfY3&#10;883MN5P5xU4rshU+SGtqWo7GlAjDLJemrenbm8tnM0pCBMNBWSNquheBXiyePpn3rhIT21nFhSdI&#10;YkLVu5p2MbqqKALrhIYwsk4YBBvrNUS8+rbgHnpk16qYjMdnRW89d94yEQK+rgaQLjJ/0wgW3zRN&#10;EJGommJtMZ8+n5t0Fos5VK0H10l2KAP+oQoN0mDSI9UKIpBbL/+i0pJ5G2wTR8zqwjaNZCL3gN2U&#10;4z+6ue7AidwLihPcUabw/2jZ6+3aE8lxdjMclQGNQ7r/+PX7h88/vn3C8/7LHSmnZRKqd6FC/6VZ&#10;+9Qq25lrd2XZ+0CMXXZgWpELvtk75MgRxaOQdAkO0236V5ajD9xGm1XbNV6TRkn3MgVm612yUhrU&#10;iOxqel5Oz09wgvuaTk5Pzqanh9mJXSQMcYQYYtPJdDZABVSJNlE4H+ILYTVJRk2VNElVqGB7FSI2&#10;hq4PLunZ2EupVN4MZUhf05wtIcEqyROYL77dLJUnW0i7lb+kEpI9ckvMKwjd4Bf2YWXjsHZaRtx9&#10;JXVNZ8dwqDoB/LnhJGYdQxSgYkdTHVpwSpTAHy1ZQy5lMOWDssOMNpbv1z7B6R0XJxd1WPK0mb/f&#10;s9evX3H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WhoxfWAAAABQEAAA8AAAAAAAAAAQAgAAAA&#10;IgAAAGRycy9kb3ducmV2LnhtbFBLAQIUABQAAAAIAIdO4kCQX4b0DQIAANIDAAAOAAAAAAAAAAEA&#10;IAAAACUBAABkcnMvZTJvRG9jLnhtbFBLBQYAAAAABgAGAFkBAACkBQAAAAA=&#10;">
                        <v:fill on="f" focussize="0,0"/>
                        <v:stroke weight="0.5pt" color="#000000" miterlimit="8" joinstyle="miter" dashstyle="1 1" startarrow="classic"/>
                        <v:imagedata o:title=""/>
                        <o:lock v:ext="edit" aspectratio="f"/>
                      </v:line>
                      <v:line id="直接连接符 133" o:spid="_x0000_s1026" o:spt="20" style="position:absolute;left:1789430;top:2551430;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N2deMcMAgAA0wMAAA4AAABkcnMvZTJvRG9jLnhtbK1TzY4T&#10;MQy+I/EOUe502g5duqNO99CycFig0i7c3UymE5E/JdlO+xK8ABI3OHHkztuwPAZ2WnVhuSHmYNlj&#10;+7P92Zld7IxmWxmicrbmo8GQM2mFa5Td1PztzeWTKWcxgW1AOytrvpeRX8wfP5r1vpJj1zndyMAQ&#10;xMaq9zXvUvJVUUTRSQNx4Ly06GxdMJDQDJuiCdAjutHFeDg8K3oXGh+ckDHi3+XByecZv22lSG/a&#10;NsrEdM2xt5RlyHJNspjPoNoE8J0SxzbgH7owoCwWPUEtIQG7DeovKKNEcNG1aSCcKVzbKiHzDDjN&#10;aPhgmusOvMyzIDnRn2iK/w9WvN6uAlMN7m56zpkFg0u6+/jtx4fPP79/Qnn39QsblSUR1ftYYfzC&#10;rgKNKnb22l858T4y6xYd2I3MDd/sPWKMKKP4I4WM6LHcun/lGoyB2+Qya7s2GNZq5V9SYtbekUZl&#10;kCO2Q+PZ9PxpiSvc13w8mYxIz8uTu8QEBqBLoK8cl9NJdhVQES5h+BDTC+kMI6XmWlmiFSrYXsVE&#10;fd6H0G/rLpXWGV1b1tf8rERI8kSnVUPObITNeqED2wIdV/7y0A/CqOYSYneIi/u4dOnQulEJj18r&#10;U/PpKR2qTkLz3DYsZSJjkqBTx6kPIxvOtMSXRtqhcW2PPBO1hyWtXbNfBXIT5Xg5ecLjldNp/m7n&#10;qPu3OP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GjF9YAAAAFAQAADwAAAAAAAAABACAAAAAi&#10;AAAAZHJzL2Rvd25yZXYueG1sUEsBAhQAFAAAAAgAh07iQN2deMcMAgAA0wMAAA4AAAAAAAAAAQAg&#10;AAAAJQEAAGRycy9lMm9Eb2MueG1sUEsFBgAAAAAGAAYAWQEAAKMFAAAAAA==&#10;">
                        <v:fill on="f" focussize="0,0"/>
                        <v:stroke weight="0.5pt" color="#000000" miterlimit="8" joinstyle="miter" dashstyle="1 1" startarrow="classic"/>
                        <v:imagedata o:title=""/>
                        <o:lock v:ext="edit" aspectratio="f"/>
                      </v:line>
                      <v:line id="直接连接符 134" o:spid="_x0000_s1026" o:spt="20" style="position:absolute;left:2708910;top:2560955;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BUnHoYOAgAA0wMAAA4AAABkcnMvZTJvRG9jLnhtbK1TvY4T&#10;MRDukXgHyz3ZTUJCbpXNFQkHxQGR7qCf2N6shf9k+7LJS/ACSHRHRUnP23A8BmNvyMHRIbawZnZm&#10;Pn/zzXh+vteK7IQP0pqaDgclJcIwy6XZ1vTt9cWTGSUhguGgrBE1PYhAzxePH807V4mRba3iwhME&#10;MaHqXE3bGF1VFIG1QkMYWCcMBhvrNUR0/bbgHjpE16oYleW06KznzlsmQsC/qz5IFxm/aQSLb5om&#10;iEhUTZFbzKfP5yadxWIO1daDayU70oB/YKFBGrz0BLWCCOTGy7+gtGTeBtvEAbO6sE0jmcg9YDfD&#10;8kE3Vy04kXtBcYI7yRT+Hyx7vVt7IjnO7gz1MaBxSHcfv37/cPvj2yc87758JsPx0yRU50KF+Uuz&#10;9qlVtjdX7tKy94EYu2zBbEUmfH1wiDFMFcUfJckJDq/bdK8sxxy4iTartm+8Jo2S7mUqzNa7ZKVr&#10;UCOyr+noWTk7GyLFA9qTaXk2mfTDE/tIGCZgiGFsPBrPJnmuBVQJN2E4H+ILYTVJRk2VNElWqGB3&#10;GWLieZ+Sfht7IZXKq6EM6Wo6HSNkigSrJE/B7PjtZqk82UFarvzlph+kpTtXENo+LxzCysaeupYR&#10;l19JXdPZqRyqVgB/bjiJWcgQBajY0sRDC06JEvjSktUTV+aoc5K2H9LG8sPa/9IfNyd3eNzytJq/&#10;+7n6/i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oaMX1gAAAAUBAAAPAAAAAAAAAAEAIAAA&#10;ACIAAABkcnMvZG93bnJldi54bWxQSwECFAAUAAAACACHTuJAFScehg4CAADTAwAADgAAAAAAAAAB&#10;ACAAAAAlAQAAZHJzL2Uyb0RvYy54bWxQSwUGAAAAAAYABgBZAQAApQUAAAAA&#10;">
                        <v:fill on="f" focussize="0,0"/>
                        <v:stroke weight="0.5pt" color="#000000" miterlimit="8" joinstyle="miter" dashstyle="1 1" startarrow="classic"/>
                        <v:imagedata o:title=""/>
                        <o:lock v:ext="edit" aspectratio="f"/>
                      </v:line>
                      <v:shape id="文本框 136" o:spid="_x0000_s1026" o:spt="202" type="#_x0000_t202" style="position:absolute;left:97790;top:730885;height:257175;width:1163320;" filled="f" stroked="t" coordsize="21600,21600" o:gfxdata="UEsDBAoAAAAAAIdO4kAAAAAAAAAAAAAAAAAEAAAAZHJzL1BLAwQUAAAACACHTuJANjwYmdYAAAAF&#10;AQAADwAAAGRycy9kb3ducmV2LnhtbE2PzU7DMBCE70i8g7VI3KgdKtIS4vSAWoGQqpa2QhzdeIkj&#10;4t0odn94ewwXuKw0mtHMt+Xs7DtxxCG0TBqykQKBVLNtqdGw2y5upiBCNGRNx4QavjDArLq8KE1h&#10;+USveNzERqQSCoXR4GLsCylD7dCbMOIeKXkfPHgTkxwaaQdzSuW+k7dK5dKbltKCMz0+Oqw/Nwev&#10;Ybl+WRA+TT32bvn2/rziXM1Z6+urTD2AiHiOf2H4wU/oUCWmPR/IBtFpSI/E35u8SabuQOw15Gp8&#10;D7Iq5X/66htQSwMEFAAAAAgAh07iQAG0lW83AgAANQQAAA4AAABkcnMvZTJvRG9jLnhtbK1TzY7T&#10;MBC+I/EOlu80Tf8bNV0trRYhLT/SwgO4jpNYOB5ju02WB2DfgBMX7jxXn4Ox010iuCFysOzM529m&#10;vvm8ueoaRU7COgk6p+loTInQHAqpq5x+/HDzYkWJ80wXTIEWOb0Xjl5tnz/btCYTE6hBFcISJNEu&#10;a01Oa+9NliSO16JhbgRGaAyWYBvm8WirpLCsRfZGJZPxeJG0YAtjgQvn8O++D9Jt5C9Lwf27snTC&#10;E5VTrM3H1cb1ENZku2FZZZmpJb+Uwf6hioZJjUmfqPbMM3K08i+qRnILDko/4tAkUJaSi9gDdpOO&#10;/+jmrmZGxF5QHGeeZHL/j5a/Pb23RBY4u3VKiWYNDun87eH8/ef5x1eSThdBota4DJF3BrG+ewkd&#10;wmO7ztwC/+SIhl3NdCWurYW2FqzAEtNwMxlc7XlcIDm0b6DATOzoIRJ1pW2CfqgIQfb1crnGcd3n&#10;dDkdr1bzfk6i84SH3OliOp1gnCNgMl+mywhIWPZIY6zzrwQ0JGxyatEHMQ073TofymLZIyRk1XAj&#10;lYpeUJq0OV1M5+O+QVCyCMEAc7Y67JQlJxbcFL/YI0aGsMC8Z67ucQXu+vIb6dHrSjY5XQ0vK33R&#10;KUjTi+S7Q3fR/QDFPSpmofcuvjXc1GC/UNKib3PqPh+ZFZSo1xpVX6ezWTB6PMzmyyCTHUYOwwjT&#10;HKly6inptzvfP46jsbKqMVM/Zw3XOKlSRu3CSPuqLnWjN6Okl3cUzD88R9Tv177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Y8GJnWAAAABQEAAA8AAAAAAAAAAQAgAAAAIgAAAGRycy9kb3ducmV2&#10;LnhtbFBLAQIUABQAAAAIAIdO4kABtJVvNwIAADUEAAAOAAAAAAAAAAEAIAAAACUBAABkcnMvZTJv&#10;RG9jLnhtbFBLBQYAAAAABgAGAFkBAADOBQAAAAA=&#10;">
                        <v:fill on="f" focussize="0,0"/>
                        <v:stroke weight="0.5pt" color="#000000" miterlimit="8" joinstyle="miter" dashstyle="dash"/>
                        <v:imagedata o:title=""/>
                        <o:lock v:ext="edit" aspectratio="f"/>
                        <v:textbox>
                          <w:txbxContent>
                            <w:p>
                              <w:pPr>
                                <w:spacing w:line="0" w:lineRule="atLeast"/>
                                <w:jc w:val="center"/>
                                <w:rPr>
                                  <w:rFonts w:hint="default" w:eastAsia="宋体"/>
                                  <w:sz w:val="15"/>
                                  <w:szCs w:val="15"/>
                                  <w:lang w:val="en-US" w:eastAsia="zh-CN"/>
                                </w:rPr>
                              </w:pPr>
                              <w:r>
                                <w:rPr>
                                  <w:rFonts w:hint="eastAsia"/>
                                  <w:sz w:val="15"/>
                                  <w:szCs w:val="15"/>
                                </w:rPr>
                                <w:t>扬</w:t>
                              </w:r>
                              <w:r>
                                <w:rPr>
                                  <w:sz w:val="15"/>
                                  <w:szCs w:val="15"/>
                                </w:rPr>
                                <w:t>尘</w:t>
                              </w:r>
                              <w:r>
                                <w:rPr>
                                  <w:rFonts w:hint="eastAsia"/>
                                  <w:sz w:val="15"/>
                                  <w:szCs w:val="15"/>
                                </w:rPr>
                                <w:t>、</w:t>
                              </w:r>
                              <w:r>
                                <w:rPr>
                                  <w:rFonts w:hint="eastAsia"/>
                                  <w:sz w:val="15"/>
                                  <w:szCs w:val="15"/>
                                  <w:lang w:val="en-US" w:eastAsia="zh-CN"/>
                                </w:rPr>
                                <w:t>车辆及机械尾气</w:t>
                              </w:r>
                            </w:p>
                          </w:txbxContent>
                        </v:textbox>
                      </v:shape>
                      <v:shape id="文本框 137" o:spid="_x0000_s1026" o:spt="202" type="#_x0000_t202" style="position:absolute;left:1569085;top:730885;height:236220;width:518795;" filled="f" stroked="t" coordsize="21600,21600" o:gfxdata="UEsDBAoAAAAAAIdO4kAAAAAAAAAAAAAAAAAEAAAAZHJzL1BLAwQUAAAACACHTuJANjwYmdYAAAAF&#10;AQAADwAAAGRycy9kb3ducmV2LnhtbE2PzU7DMBCE70i8g7VI3KgdKtIS4vSAWoGQqpa2QhzdeIkj&#10;4t0odn94ewwXuKw0mtHMt+Xs7DtxxCG0TBqykQKBVLNtqdGw2y5upiBCNGRNx4QavjDArLq8KE1h&#10;+USveNzERqQSCoXR4GLsCylD7dCbMOIeKXkfPHgTkxwaaQdzSuW+k7dK5dKbltKCMz0+Oqw/Nwev&#10;Ybl+WRA+TT32bvn2/rziXM1Z6+urTD2AiHiOf2H4wU/oUCWmPR/IBtFpSI/E35u8SabuQOw15Gp8&#10;D7Iq5X/66htQSwMEFAAAAAgAh07iQCWg+zU4AgAANgQAAA4AAABkcnMvZTJvRG9jLnhtbK1TzY7T&#10;MBC+I/EOlu806X8bNV0trRYhLT/SwgO4jpNYOB5ju02WB4A34MSFO8/V52DsdHcjuCFysMaZ8Tff&#10;fDOzueoaRU7COgk6p+NRSonQHAqpq5x+/HDzYkWJ80wXTIEWOb0Xjl5tnz/btCYTE6hBFcISBNEu&#10;a01Oa+9NliSO16JhbgRGaHSWYBvm8WqrpLCsRfRGJZM0XSQt2MJY4MI5/LvvnXQb8ctScP+uLJ3w&#10;ROUUufl42ngewplsNyyrLDO15Bca7B9YNExqTPoItWeekaOVf0E1kltwUPoRhyaBspRcxBqwmnH6&#10;RzV3NTMi1oLiOPMok/t/sPzt6b0lssDeraeUaNZgk87fv51//Dr//ErG02WQqDUuw8g7g7G+ewkd&#10;hsdynbkF/skRDbua6UpcWwttLViBFMfhZTJ42uO4AHJo30CBmdjRQwTqStsE/VAREtDni3W6mlNy&#10;n9PlNF2hGTslOk84+ufj1XKNbo7+yXQxmcROJix7wDHW+VcCGhKMnFochJiHnW6dD7xY9hAS0mq4&#10;kUrFFEqTNqeL6TztKwQli+AMYc5Wh52y5MTCOMUvFomeYVhA3jNX93EFWj37RnocdiWbnK6Gj5W+&#10;CBW06VXy3aFDOkG9AxT3KJmFfnhx2dCowX6hpMXBzan7fGRWUKJea5R9PZ7NwqTHy2y+RGmIHXoO&#10;Qw/THKFy6inpzZ3vt+NorKxqzNQ3WsM1tqqUUbsnVhfeOJxR0ssihekf3mPU07p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PBiZ1gAAAAUBAAAPAAAAAAAAAAEAIAAAACIAAABkcnMvZG93bnJl&#10;di54bWxQSwECFAAUAAAACACHTuJAJaD7NTgCAAA2BAAADgAAAAAAAAABACAAAAAlAQAAZHJzL2Uy&#10;b0RvYy54bWxQSwUGAAAAAAYABgBZAQAAzwUAAAAA&#10;">
                        <v:fill on="f"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噪声</w:t>
                              </w:r>
                            </w:p>
                          </w:txbxContent>
                        </v:textbox>
                      </v:shape>
                      <v:shape id="文本框 139" o:spid="_x0000_s1026" o:spt="202" type="#_x0000_t202" style="position:absolute;left:269908;top:2866390;height:276860;width:873859;" fillcolor="#FFFFFF" filled="t" stroked="t" coordsize="21600,21600" o:gfxdata="UEsDBAoAAAAAAIdO4kAAAAAAAAAAAAAAAAAEAAAAZHJzL1BLAwQUAAAACACHTuJA9hTT3tQAAAAF&#10;AQAADwAAAGRycy9kb3ducmV2LnhtbE2PQUvDQBCF74L/YRnBm92NYtrGbHoQelOKVRBvk+yYBLOz&#10;ITtpq7/e1YteBh7v8d435ebkB3WgKfaBLWQLA4q4Ca7n1sLL8/ZqBSoKssMhMFn4pAib6vysxMKF&#10;Iz/RYS+tSiUcC7TQiYyF1rHpyGNchJE4ee9h8ihJTq12Ex5TuR/0tTG59thzWuhwpPuOmo/97C28&#10;1rmf3Xb3xst89/A4o3zRLNZeXmTmDpTQSf7C8IOf0KFKTHWY2UU1WEiPyO9N3jIzt6BqC7m5WYOu&#10;Sv2fvvoGUEsDBBQAAAAIAIdO4kBD96IUPQIAAF8EAAAOAAAAZHJzL2Uyb0RvYy54bWytVM2O0zAQ&#10;viPxDpbvNOlftok2XS2tipCWH2nhAVzHaSwcj7HdJuUB4A04ceHOc+1zMHa6S7XABeGDNZMZfzPz&#10;zUwur/pWkYOwToIu6XiUUiI0h0rqXUnfv9s8W1DiPNMVU6BFSY/C0avl0yeXnSnEBBpQlbAEQbQr&#10;OlPSxntTJInjjWiZG4ERGo012JZ5VO0uqSzrEL1VySRNs6QDWxkLXDiHX9eDkS4jfl0L7t/UtROe&#10;qJJibj7eNt7bcCfLS1bsLDON5Kc02D9k0TKpMegD1Jp5RvZW/gbVSm7BQe1HHNoE6lpyEWvAasbp&#10;o2puG2ZErAXJceaBJvf/YPnrw1tLZIW9y2eUaNZik+6+frn79uPu+2cynuaBos64Aj1vDfr6/jn0&#10;6B7LdeYG+AdHNKwapnfi2lroGsEqTHEcXiZnTwccF0C23SuoMBLbe4hAfW3bwB8yQhB9kuV5iqNz&#10;RHGRZdP81CnRe8LRvriYLuY5JTw4XGSLLNoTVtzjGOv8CwEtCUJJLQ5CjMMON86HvFhx7xLCOlCy&#10;2kilomJ325Wy5MBwaDbxxFIeuSlNupJm03k6UPFXiDSeP0GEFNbMNUOoCqXgxYpWetwKJVus9Pyx&#10;0idGA4kDnb7f9qcObaE6IrcWhinHrUShAfuJkg4nvKTu455ZQYl6qbE/+Xg2CysRldn8YoKKPbds&#10;zy1Mc4QqqadkEFd+WKO9sXLXYKRhIjRcY09rGUkOzR+yOuWNUxy5P21cWJNzPXr9+i8s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2FNPe1AAAAAUBAAAPAAAAAAAAAAEAIAAAACIAAABkcnMvZG93&#10;bnJldi54bWxQSwECFAAUAAAACACHTuJAQ/eiFD0CAABfBAAADgAAAAAAAAABACAAAAAjAQAAZHJz&#10;L2Uyb0RvYy54bWxQSwUGAAAAAAYABgBZAQAA0gUAAAAA&#10;">
                        <v:fill on="t"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建筑垃圾、弃土</w:t>
                              </w:r>
                            </w:p>
                          </w:txbxContent>
                        </v:textbox>
                      </v:shape>
                      <v:shape id="文本框 141" o:spid="_x0000_s1026" o:spt="202" type="#_x0000_t202" style="position:absolute;left:1494790;top:2884170;height:255270;width:581025;" fillcolor="#FFFFFF" filled="t" stroked="t" coordsize="21600,21600" o:gfxdata="UEsDBAoAAAAAAIdO4kAAAAAAAAAAAAAAAAAEAAAAZHJzL1BLAwQUAAAACACHTuJA9hTT3tQAAAAF&#10;AQAADwAAAGRycy9kb3ducmV2LnhtbE2PQUvDQBCF74L/YRnBm92NYtrGbHoQelOKVRBvk+yYBLOz&#10;ITtpq7/e1YteBh7v8d435ebkB3WgKfaBLWQLA4q4Ca7n1sLL8/ZqBSoKssMhMFn4pAib6vysxMKF&#10;Iz/RYS+tSiUcC7TQiYyF1rHpyGNchJE4ee9h8ihJTq12Ex5TuR/0tTG59thzWuhwpPuOmo/97C28&#10;1rmf3Xb3xst89/A4o3zRLNZeXmTmDpTQSf7C8IOf0KFKTHWY2UU1WEiPyO9N3jIzt6BqC7m5WYOu&#10;Sv2fvvoGUEsDBBQAAAAIAIdO4kDlCGl9PgIAAGAEAAAOAAAAZHJzL2Uyb0RvYy54bWytVM2O0zAQ&#10;viPxDpbvNElJd9uo6WppVYS0/EgLD+A6TmPheIztNikPwL4BJy7cea4+B2Onu5S/CyIHy9MZf/PN&#10;NzOdX/WtInthnQRd0myUUiI0h0rqbUnfvV0/mVLiPNMVU6BFSQ/C0avF40fzzhRiDA2oSliCINoV&#10;nSlp470pksTxRrTMjcAIjc4abMs8mnabVJZ1iN6qZJymF0kHtjIWuHAOf10NTrqI+HUtuH9d1054&#10;okqK3Hw8bTw34UwWc1ZsLTON5Cca7B9YtExqTPoAtWKekZ2Vv0G1kltwUPsRhzaBupZcxBqwmiz9&#10;pZrbhhkRa0FxnHmQyf0/WP5q/8YSWWHvZhNKNGuxScfPd8cv345fP5Esz4JEnXEFRt4ajPX9M+gx&#10;PJbrzA3w945oWDZMb8W1tdA1glVIMb5Mzp4OOC6AbLqXUGEmtvMQgfratkE/VIQE9HyWX86wYYeS&#10;jqfTPLs8tUr0nnAMmEyzdIyEeQiYTMaDP2HFPZCxzj8X0JJwKanFSYiJ2P7GeSwJQ+9DQl4HSlZr&#10;qVQ07HazVJbsGU7NOn5BBXzyU5jSpCvpxdNJOmjxV4g0fn+CCBRWzDVDqgpvw0S20uNaKNmWdHr+&#10;WGmkESQNKg56+n7Tn1q0geqA4loYxhzXEi8N2I+UdDjiJXUfdswKStQLjQ2aZXkediIa+eRyjIY9&#10;92zOPUxzhCqpp2S4Lv2wRztj5bbBTMNIaLjGptYyihyoDqxOvHGMo5CnlQt7cm7HqB9/DI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hTT3tQAAAAFAQAADwAAAAAAAAABACAAAAAiAAAAZHJzL2Rv&#10;d25yZXYueG1sUEsBAhQAFAAAAAgAh07iQOUIaX0+AgAAYAQAAA4AAAAAAAAAAQAgAAAAIwEAAGRy&#10;cy9lMm9Eb2MueG1sUEsFBgAAAAAGAAYAWQEAANMFAAAAAA==&#10;">
                        <v:fill on="t"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施工废水</w:t>
                              </w:r>
                            </w:p>
                          </w:txbxContent>
                        </v:textbox>
                      </v:shape>
                      <v:shape id="文本框 142" o:spid="_x0000_s1026" o:spt="202" type="#_x0000_t202" style="position:absolute;left:2447925;top:2887345;height:266700;width:581660;" fillcolor="#FFFFFF" filled="t" stroked="t" coordsize="21600,21600" o:gfxdata="UEsDBAoAAAAAAIdO4kAAAAAAAAAAAAAAAAAEAAAAZHJzL1BLAwQUAAAACACHTuJA9hTT3tQAAAAF&#10;AQAADwAAAGRycy9kb3ducmV2LnhtbE2PQUvDQBCF74L/YRnBm92NYtrGbHoQelOKVRBvk+yYBLOz&#10;ITtpq7/e1YteBh7v8d435ebkB3WgKfaBLWQLA4q4Ca7n1sLL8/ZqBSoKssMhMFn4pAib6vysxMKF&#10;Iz/RYS+tSiUcC7TQiYyF1rHpyGNchJE4ee9h8ihJTq12Ex5TuR/0tTG59thzWuhwpPuOmo/97C28&#10;1rmf3Xb3xst89/A4o3zRLNZeXmTmDpTQSf7C8IOf0KFKTHWY2UU1WEiPyO9N3jIzt6BqC7m5WYOu&#10;Sv2fvvoGUEsDBBQAAAAIAIdO4kAaSEuuPwIAAGAEAAAOAAAAZHJzL2Uyb0RvYy54bWytVM2O0zAQ&#10;viPxDpbvNGk3TbtR09XSqghp+ZEWHsB1nMbC8RjbbVIeAN6AExfuPNc+B2Onu1QLXBA5WDP1+JuZ&#10;75vp4qpvFTkI6yToko5HKSVCc6ik3pX0/bvNszklzjNdMQValPQoHL1aPn2y6EwhJtCAqoQlCKJd&#10;0ZmSNt6bIkkcb0TL3AiM0HhZg22ZR9fuksqyDtFblUzSNE86sJWxwIVz+Ot6uKTLiF/Xgvs3de2E&#10;J6qkWJuPp43nNpzJcsGKnWWmkfxUBvuHKlomNSZ9gFozz8jeyt+gWsktOKj9iEObQF1LLmIP2M04&#10;fdTNbcOMiL0gOc480OT+Hyx/fXhriaxQu8ucEs1aFOnu65e7bz/uvn8m42wSKOqMKzDy1mCs759D&#10;j+GxXWdugH9wRMOqYXonrq2FrhGswhLH4WVy9nTAcQFk272CCjOxvYcI1Ne2DfwhIwTRJ1k2u5xM&#10;KTmiPZ/PLrLpIJXoPeEYMJ2P8xwF5SEgz2dplDJhxT2Qsc6/ENCSYJTU4iTEROxw43wojBX3ISGv&#10;AyWrjVQqOna3XSlLDgynZhO/2MujMKVJV9L8YpoOXPwVIo3fnyBCCWvmmiFVhdbQZis9roWSbUnn&#10;54+VPlEaWBz49P22P0m0heqI5FoYxhzXEo0G7CdKOhzxkrqPe2YFJeqlRoEux1kWdiI62XQ2Qcee&#10;32zPb5jmCFVST8lgrvywR3tj5a7BTMNIaLhGUWsZSQ7qD1Wd6sYxjtyfVi7sybkfo379M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YU097UAAAABQEAAA8AAAAAAAAAAQAgAAAAIgAAAGRycy9k&#10;b3ducmV2LnhtbFBLAQIUABQAAAAIAIdO4kAaSEuuPwIAAGAEAAAOAAAAAAAAAAEAIAAAACMBAABk&#10;cnMvZTJvRG9jLnhtbFBLBQYAAAAABgAGAFkBAADUBQAAAAA=&#10;">
                        <v:fill on="t" focussize="0,0"/>
                        <v:stroke weight="0.5pt" color="#000000" miterlimit="8" joinstyle="miter" dashstyle="dash"/>
                        <v:imagedata o:title=""/>
                        <o:lock v:ext="edit" aspectratio="f"/>
                        <v:textbox>
                          <w:txbxContent>
                            <w:p>
                              <w:pPr>
                                <w:spacing w:before="24" w:beforeLines="10" w:line="0" w:lineRule="atLeast"/>
                                <w:jc w:val="center"/>
                                <w:rPr>
                                  <w:sz w:val="15"/>
                                  <w:szCs w:val="15"/>
                                </w:rPr>
                              </w:pPr>
                              <w:r>
                                <w:rPr>
                                  <w:rFonts w:hint="eastAsia"/>
                                  <w:sz w:val="15"/>
                                  <w:szCs w:val="15"/>
                                </w:rPr>
                                <w:t>生活污水</w:t>
                              </w:r>
                            </w:p>
                          </w:txbxContent>
                        </v:textbox>
                      </v:shape>
                      <v:line id="直接连接符 143" o:spid="_x0000_s1026" o:spt="20" style="position:absolute;left:704850;top:3150870;flip:x y;height:324485;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I2OCKIMAgAA0gMAAA4AAABkcnMvZTJvRG9jLnhtbK1TzW4T&#10;QQy+I/EOo7mTzV+bsMqmh4TCoUCkFu7O7Gx2xPxpZppNXoIXQOJWThy58zaUx8CeRCmFG2IPlr22&#10;P9ufPbOLndFsK0NUzlZ80OtzJq1wtbKbir+7uXw25SwmsDVoZ2XF9zLyi/nTJ7POl3LoWqdrGRiC&#10;2Fh2vuJtSr4siihaaSD2nJcWnY0LBhKaYVPUATpEN7oY9vvnRedC7YMTMkb8uzw4+TzjN40U6W3T&#10;RJmYrjj2lrIMWa5JFvMZlJsAvlXi2Ab8QxcGlMWiJ6glJGC3Qf0FZZQILrom9YQzhWsaJWSeAacZ&#10;9P+Y5roFL/MsSE70J5ri/4MVb7arwFSNu3s+4cyCwSXdf/r24+Pdz++fUd5//cIG4xER1flYYvzC&#10;rgKNKnb22l858SEy6xYt2I3MDd/sPWIMKKN4lEJG9Fhu3b12NcbAbXKZtV0TDGu08q8oMWvvSaMy&#10;yBHbVXzSH0/PcIP7io8GZ/3p5Lg7uUtMoB9dgnzDMcbl2lASLEH4ENNL6QwjpeJaWWIVSthexURt&#10;PoTQb+suldb5MrRlXcXPR1iZPNFpVZMzG2GzXujAtkC3lb9j3UdhVHMJsT3ExX1cukRxUBqV8Pa1&#10;MhWfntKhbCXUL2zNUuYxJgk6tZz6MLLmTEt8aKQdGtf2SDMxe9jR2tX7VSA3MY6Hkyc8Hjld5u92&#10;jnp4iv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GjF9YAAAAFAQAADwAAAAAAAAABACAAAAAi&#10;AAAAZHJzL2Rvd25yZXYueG1sUEsBAhQAFAAAAAgAh07iQI2OCKIMAgAA0gMAAA4AAAAAAAAAAQAg&#10;AAAAJQEAAGRycy9lMm9Eb2MueG1sUEsFBgAAAAAGAAYAWQEAAKMFAAAAAA==&#10;">
                        <v:fill on="f" focussize="0,0"/>
                        <v:stroke weight="0.5pt" color="#000000" miterlimit="8" joinstyle="miter" dashstyle="1 1" startarrow="classic"/>
                        <v:imagedata o:title=""/>
                        <o:lock v:ext="edit" aspectratio="f"/>
                      </v:line>
                      <v:line id="直接连接符 145" o:spid="_x0000_s1026" o:spt="20" style="position:absolute;left:1789430;top:3154045;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J4FYAoMAgAA0wMAAA4AAABkcnMvZTJvRG9jLnhtbK1TzY4T&#10;MQy+I/EOUe50pn9Ld9TpHloWDgtU2oW7m2Q6EflTku20L8ELIHGDE0fuvA3LY+BkSheWG2IOlj22&#10;P9ufnfnFXiuyEz5Ia2o6HJSUCMMsl2Zb0zc3l09mlIQIhoOyRtT0IAK9WDx+NO9cJUa2tYoLTxDE&#10;hKpzNW1jdFVRBNYKDWFgnTDobKzXENH024J76BBdq2JUlmdFZz133jIRAv5d9U66yPhNI1h83TRB&#10;RKJqir3FLH2WmySLxRyqrQfXSnZsA/6hCw3SYNET1AoikFsv/4LSknkbbBMHzOrCNo1kIs+A0wzL&#10;B9Nct+BEngXJCe5EU/h/sOzVbu2J5Li7c1yVAY1Luvvw9fv7Tz++fUR59+UzGU6miajOhQrjl2bt&#10;06hsb67dlWXvAjF22YLZitzwzcEhxjBlFH+kJCM4LLfpXlqOMXAbbWZt33hNGiXdi5SYtbdJS2WQ&#10;I7JH4+nsfDLGFR5qOh5OJ2XfE1RiHwnDAHSx5BuNZ9O81wKqhJswnA/xubCaJKWmSppEK1Swuwox&#10;9Xkfkn4beymVyqehDOlqejZGyOQJVkmenNnw281SebKDdFz5y0M/CEs1VxDaPi4cwsrG/u60jHj8&#10;Suqazk7pULUC+DPDScxEhihAxZamPrTglCiBLy1pfePKHHlO1PZL2lh+WPtf/OPl5AmPV55O83c7&#10;Z9+/xc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GjF9YAAAAFAQAADwAAAAAAAAABACAAAAAi&#10;AAAAZHJzL2Rvd25yZXYueG1sUEsBAhQAFAAAAAgAh07iQJ4FYAoMAgAA0wMAAA4AAAAAAAAAAQAg&#10;AAAAJQEAAGRycy9lMm9Eb2MueG1sUEsFBgAAAAAGAAYAWQEAAKMFAAAAAA==&#10;">
                        <v:fill on="f" focussize="0,0"/>
                        <v:stroke weight="0.5pt" color="#000000" miterlimit="8" joinstyle="miter" dashstyle="1 1" startarrow="classic"/>
                        <v:imagedata o:title=""/>
                        <o:lock v:ext="edit" aspectratio="f"/>
                      </v:line>
                      <v:shape id="文本框 135" o:spid="_x0000_s1026" o:spt="202" type="#_x0000_t202" style="position:absolute;left:88265;top:3442970;height:325120;width:128841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A26/+eCAIAANUDAAAOAAAAZHJzL2Uyb0RvYy54bWytU8uO0zAU&#10;3SPxD5b3NE0mnWmjpqNhRoOQhoc08AGu4zQWia+5dpuUD4A/YMWGPd/V7+Da6QwFdoiN5cfxuecc&#10;Xy8vh65lO4VOgyl5OplypoyESptNyd+/u30258x5YSrRglEl3yvHL1dPnyx7W6gMGmgrhYxIjCt6&#10;W/LGe1skiZON6oSbgFWGDmvATnha4iapUPTE3rVJNp2eJz1gZRGkco52b8ZDvor8da2kf1PXTnnW&#10;lpy0+ThiHNdhTFZLUWxQ2EbLowzxDyo6oQ0VfaS6EV6wLeq/qDotERzUfiKhS6CutVTRA7lJp3+4&#10;uW+EVdELhePsY0zu/9HK17u3yHRFb7dYcGZER490+Prl8O3H4ftnlp7NQkS9dQUh7y1h/fAcBoJH&#10;u87egfzgmIHrRpiNukKEvlGiIolpuJmcXB15XCBZ96+gokpi6yESDTV2IT9KhBH7fJ6dzzjbl/ws&#10;z7PFxfGh1OCZDMWz+TxPCSADIpulWQQkonjgsej8CwUdC5OSIzVCrCN2d84HXaJ4gISyBm5128Zm&#10;aM1vGwQMO9FHkD6a8MN6OOayhmpPjhDG3qK/QJMG8BNnPfVVyd3HrUDFWfvSUCqLNM9DI8ZFPrsg&#10;5QxPT9anJ8JIoiq552ycXvuxebcW9aahSuM7GLiiJGsdrYXIR1VH3dQ70fGxz0Nznq4j6tdvX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8Ey9QAAAAFAQAADwAAAAAAAAABACAAAAAiAAAAZHJz&#10;L2Rvd25yZXYueG1sUEsBAhQAFAAAAAgAh07iQDbr/54IAgAA1QMAAA4AAAAAAAAAAQAgAAAAIwEA&#10;AGRycy9lMm9Eb2MueG1sUEsFBgAAAAAGAAYAWQEAAJ0FAAAAAA==&#10;">
                        <v:fill on="f" focussize="0,0"/>
                        <v:stroke on="f"/>
                        <v:imagedata o:title=""/>
                        <o:lock v:ext="edit" aspectratio="f"/>
                        <v:textbox>
                          <w:txbxContent>
                            <w:p>
                              <w:pPr>
                                <w:spacing w:line="0" w:lineRule="atLeast"/>
                                <w:jc w:val="both"/>
                                <w:rPr>
                                  <w:rFonts w:hint="default" w:eastAsia="宋体"/>
                                  <w:sz w:val="15"/>
                                  <w:szCs w:val="15"/>
                                  <w:lang w:val="en-US" w:eastAsia="zh-CN"/>
                                </w:rPr>
                              </w:pPr>
                              <w:r>
                                <w:rPr>
                                  <w:rFonts w:hint="eastAsia"/>
                                  <w:sz w:val="15"/>
                                  <w:szCs w:val="15"/>
                                  <w:lang w:val="en-US" w:eastAsia="zh-CN"/>
                                </w:rPr>
                                <w:t>弃土用于绿化及回填，不外排，建筑垃圾回收或外售</w:t>
                              </w:r>
                            </w:p>
                          </w:txbxContent>
                        </v:textbox>
                      </v:shape>
                      <v:line id="直接连接符 146" o:spid="_x0000_s1026" o:spt="20" style="position:absolute;left:2718435;top:3159125;flip:x y;height:323850;width:0;" filled="f" stroked="t" coordsize="21600,21600" o:gfxdata="UEsDBAoAAAAAAIdO4kAAAAAAAAAAAAAAAAAEAAAAZHJzL1BLAwQUAAAACACHTuJAtaGjF9YAAAAF&#10;AQAADwAAAGRycy9kb3ducmV2LnhtbE2PwU7DMBBE70j9B2uRuFHbLS0ljVMh1IgLCFH4ADfeJhHx&#10;OsROW/6ehQtcVhrNaOZtvjn7ThxxiG0gA3qqQCBVwbVUG3h/K69XIGKy5GwXCA18YYRNMbnIbebC&#10;iV7xuEu14BKKmTXQpNRnUsaqQW/jNPRI7B3C4G1iOdTSDfbE5b6TM6WW0tuWeKGxPT40WH3sRm/g&#10;5mVebh/LhS7vP3X/vBqruJVPxlxdarUGkfCc/sLwg8/oUDDTPozkougM8CPp97J3q9UCxN7AUs3v&#10;QBa5/E9ffANQSwMEFAAAAAgAh07iQHczBWUOAgAA0wMAAA4AAABkcnMvZTJvRG9jLnhtbK1TvY4T&#10;MRDukXgHyz3ZbHIJYZXNFQkHxQGR7qB3bG/Wwn+yfdnkJXgBJLqjoqTnbTgegxlvyMHRIbYYeXZm&#10;vvnm83h+vjea7GSIytmaloMhJdJyJ5Td1vTt9cWTGSUxMSuYdlbW9CAjPV88fjTvfCVHrnVayEAA&#10;xMaq8zVtU/JVUUTeSsPiwHlpIdi4YFgCN2wLEVgH6EYXo+FwWnQuCB8clzHC31UfpIuM3zSSpzdN&#10;E2UiuqbALWUbst2gLRZzVm0D863iRxrsH1gYpiw0PUGtWGLkJqi/oIziwUXXpAF3pnBNo7jMM8A0&#10;5fDBNFct8zLPAuJEf5Ip/j9Y/nq3DkSJmoKalFhm4JLuPn79/uH2x7dPYO++fCbl2RSF6nysIH9p&#10;1wFH5Xt75S8dfx+JdcuW2a3MhK8PHjBKrCj+KEEnemi36V45ATnsJrms2r4JhjRa+ZdYmE/v8IRt&#10;QCOyB3pPy9nZeELJoabjcvKsHE36y5P7RDgkAHuOsdF4Nsn3WrAKcRHDh5heSGcIHmqqlUVZWcV2&#10;lzEhz/sU/G3dhdI6r4a2pKvpdAyQGIlOK4HB7ITtZqkD2TFcrvzloR+kYc8Vi22fFw9x5VJP3agE&#10;y6+VqensVM6qVjLx3AqSspAxSaZTS5GHkYISLeGl4aknru1RZ5S2v6SNE4d1+KU/bE6e8LjluJq/&#10;+7n6/i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oaMX1gAAAAUBAAAPAAAAAAAAAAEAIAAA&#10;ACIAAABkcnMvZG93bnJldi54bWxQSwECFAAUAAAACACHTuJAdzMFZQ4CAADTAwAADgAAAAAAAAAB&#10;ACAAAAAlAQAAZHJzL2Uyb0RvYy54bWxQSwUGAAAAAAYABgBZAQAApQUAAAAA&#10;">
                        <v:fill on="f" focussize="0,0"/>
                        <v:stroke weight="0.5pt" color="#000000" miterlimit="8" joinstyle="miter" dashstyle="1 1" startarrow="classic"/>
                        <v:imagedata o:title=""/>
                        <o:lock v:ext="edit" aspectratio="f"/>
                      </v:line>
                      <v:shape id="文本框 148" o:spid="_x0000_s1026" o:spt="202" type="#_x0000_t202" style="position:absolute;left:1354455;top:3459480;height:354965;width:87185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DeuvFlCAIAANYDAAAOAAAAZHJzL2Uyb0RvYy54bWytU82O0zAQ&#10;viPxDpbvNE032W2jpqtlV4uQlh9p4QFcx2ksEo8Zu03KA8AbcOLCnefqczB2ukuBG+Ji2Z7xN/N9&#10;83l5OXQt2yl0GkzJ08mUM2UkVNpsSv7+3e2zOWfOC1OJFowq+V45frl6+mTZ20LNoIG2UsgIxLii&#10;tyVvvLdFkjjZqE64CVhlKFgDdsLTETdJhaIn9K5NZtPpedIDVhZBKufo9mYM8lXEr2sl/Zu6dsqz&#10;tuTUm48rxnUd1mS1FMUGhW20PLYh/qGLTmhDRR+hboQXbIv6L6hOSwQHtZ9I6BKoay1V5EBs0ukf&#10;bO4bYVXkQuI4+yiT+3+w8vXuLTJdlZzqc2ZER0M6fP1y+Pbj8P0zS7N5kKi3rqDMe0u5fngOA406&#10;0nX2DuQHxwxcN8Js1BUi9I0SFbWYhpfJydMRxwWQdf8KKqokth4i0FBjF/QjRVhAP8uzLM8525f8&#10;LMsX2fw4KjV4JilhfpHOQ1yGhDxbnOexmigegCw6/0JBx8Km5EhOiIXE7s750JgoHlJCXQO3um2j&#10;G1rz2wUlhptIJPQ+svDDejgKs4ZqT5QQRnPRZ6BNA/iJs56MVXL3cStQcda+NCTLIs2y4MR4yPKL&#10;GR3wNLI+jQgjCarknrNxe+1H924t6k1DlcZBGLgiKWsdqQXNx66OfZN5IuOj0YM7T88x69d3X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8Ey9QAAAAFAQAADwAAAAAAAAABACAAAAAiAAAAZHJz&#10;L2Rvd25yZXYueG1sUEsBAhQAFAAAAAgAh07iQN668WUIAgAA1gMAAA4AAAAAAAAAAQAgAAAAIwEA&#10;AGRycy9lMm9Eb2MueG1sUEsFBgAAAAAGAAYAWQEAAJ0FAAAAAA==&#10;">
                        <v:fill on="f" focussize="0,0"/>
                        <v:stroke on="f"/>
                        <v:imagedata o:title=""/>
                        <o:lock v:ext="edit" aspectratio="f"/>
                        <v:textbox>
                          <w:txbxContent>
                            <w:p>
                              <w:pPr>
                                <w:spacing w:line="0" w:lineRule="atLeast"/>
                                <w:jc w:val="center"/>
                                <w:rPr>
                                  <w:rFonts w:hint="eastAsia" w:eastAsia="宋体"/>
                                  <w:sz w:val="15"/>
                                  <w:szCs w:val="15"/>
                                  <w:lang w:eastAsia="zh-CN"/>
                                </w:rPr>
                              </w:pPr>
                              <w:r>
                                <w:rPr>
                                  <w:rFonts w:hint="eastAsia"/>
                                  <w:sz w:val="15"/>
                                  <w:szCs w:val="15"/>
                                </w:rPr>
                                <w:t>沉淀</w:t>
                              </w:r>
                              <w:r>
                                <w:rPr>
                                  <w:sz w:val="15"/>
                                  <w:szCs w:val="15"/>
                                </w:rPr>
                                <w:t>池处理后</w:t>
                              </w:r>
                              <w:r>
                                <w:rPr>
                                  <w:rFonts w:hint="eastAsia"/>
                                  <w:sz w:val="15"/>
                                  <w:szCs w:val="15"/>
                                </w:rPr>
                                <w:t>用于场地洒水</w:t>
                              </w:r>
                              <w:r>
                                <w:rPr>
                                  <w:rFonts w:hint="eastAsia"/>
                                  <w:sz w:val="15"/>
                                  <w:szCs w:val="15"/>
                                  <w:lang w:val="en-US" w:eastAsia="zh-CN"/>
                                </w:rPr>
                                <w:t>降尘</w:t>
                              </w:r>
                            </w:p>
                          </w:txbxContent>
                        </v:textbox>
                      </v:shape>
                      <v:shape id="文本框 149" o:spid="_x0000_s1026" o:spt="202" type="#_x0000_t202" style="position:absolute;left:2235835;top:3469640;height:227965;width:103060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D04ZCDDAIAANcDAAAOAAAAZHJzL2Uyb0RvYy54bWytU82O0zAQ&#10;viPxDpbvNGn6s9uo6WrZ1SKkBVZaeADXcRqLxGPGbpPyAPAGnLhw3+fqczB2ukuBG+Ji2Z7xN/N9&#10;83l50bcN2yl0GkzBx6OUM2UklNpsCv7h/c2Lc86cF6YUDRhV8L1y/GL1/Nmys7nKoIamVMgIxLi8&#10;swWvvbd5kjhZq1a4EVhlKFgBtsLTETdJiaIj9LZJsjSdJx1gaRGkco5ur4cgX0X8qlLSv6sqpzxr&#10;Ck69+bhiXNdhTVZLkW9Q2FrLYxviH7pohTZU9AnqWnjBtqj/gmq1RHBQ+ZGENoGq0lJFDsRmnP7B&#10;5r4WVkUuJI6zTzK5/wcr3+7ukOmy4FmacWZES0M6fPt6+P5w+PGFjaeLIFFnXU6Z95Zyff8Sehp1&#10;pOvsLciPjhm4qoXZqEtE6GolSmpxHF4mJ08HHBdA1t0bKKmS2HqIQH2FbdCPFGGEnmWT2flkxtm+&#10;4JPpfDGfHkeles9kKJ9O0nlKCZIysuxsMZ/FciJ/RLLo/CsFLQubgiNZIVYSu1vnQ2cif0wJhQ3c&#10;6KaJdmjMbxeUGG4ik9D8QMP36/6ozBrKPXFCGNxFv4E2NeBnzjpyVsHdp61AxVnz2pAui/GU2DAf&#10;D9PZWUYHPI2sTyPCSIIquOds2F75wb5bi3pTU6VhEgYuSctKR2pB9KGrY9/knsj46PRgz9NzzPr1&#10;H1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D/BMvUAAAABQEAAA8AAAAAAAAAAQAgAAAAIgAA&#10;AGRycy9kb3ducmV2LnhtbFBLAQIUABQAAAAIAIdO4kD04ZCDDAIAANcDAAAOAAAAAAAAAAEAIAAA&#10;ACMBAABkcnMvZTJvRG9jLnhtbFBLBQYAAAAABgAGAFkBAAChBQAAAAA=&#10;">
                        <v:fill on="f" focussize="0,0"/>
                        <v:stroke on="f"/>
                        <v:imagedata o:title=""/>
                        <o:lock v:ext="edit" aspectratio="f"/>
                        <v:textbox>
                          <w:txbxContent>
                            <w:p>
                              <w:pPr>
                                <w:spacing w:line="0" w:lineRule="atLeast"/>
                                <w:jc w:val="center"/>
                                <w:rPr>
                                  <w:rFonts w:hint="default" w:eastAsia="宋体"/>
                                  <w:sz w:val="15"/>
                                  <w:szCs w:val="15"/>
                                  <w:lang w:val="en-US" w:eastAsia="zh-CN"/>
                                </w:rPr>
                              </w:pPr>
                              <w:r>
                                <w:rPr>
                                  <w:rFonts w:hint="eastAsia"/>
                                  <w:sz w:val="15"/>
                                  <w:szCs w:val="15"/>
                                  <w:lang w:val="en-US" w:eastAsia="zh-CN"/>
                                </w:rPr>
                                <w:t>园区污水管网</w:t>
                              </w:r>
                            </w:p>
                          </w:txbxContent>
                        </v:textbox>
                      </v:shape>
                      <v:line id="直接连接符 152" o:spid="_x0000_s1026" o:spt="20" style="position:absolute;left:737870;top:382270;flip:x y;height:324485;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Opcq7sNAgAA0QMAAA4AAABkcnMvZTJvRG9jLnhtbK1TzW4T&#10;MRC+I/EOlu9kk03TRKtsekgoHApUauE+8XqzFv6Tx80mL8ELIHGDE0fuvA3lMfA4UUrhhtjDaLwz&#10;8803n8fzi53RbCsDKmdrPhoMOZNWuEbZTc3f3l4+m3GGEWwD2llZ871EfrF4+mTe+0qWrnO6kYEl&#10;EItV72vexeirokDRSQM4cF7aFGxdMBDTMWyKJkCf0I0uyuHwvOhdaHxwQiKmv6tDkC8yfttKEd+0&#10;LcrIdM0Tt5htyHZNtljModoE8J0SRxrwDywMKJuanqBWEIHdBfUXlFEiOHRtHAhnCte2Ssg8Q5pm&#10;NPxjmpsOvMyzJHHQn2TC/wcrXm+vA1NNzcvhmDMLJl3S/cdvPz58/vn9U7L3X7+w0aQkoXqPVcpf&#10;2utAo4qdvfFXTrxHZt2yA7uRmfDt3ieMEVUUj0rogD61W/evXJNy4C66rNquDYa1WvmXVJi9d+RR&#10;m6QR29V8Op7OpukG9zUfz8oyufnq5C4ykcIpIihUnp3NJrk1VIRKCD5gfCGdYeTUXCtLokIF2yuM&#10;xPIhhX5bd6m0zujasr7m5+PJMBeg06qhIKVh2KyXOrAt0Grl79j3URr1XAF2hzzc48rFA3WjYlp9&#10;rUzNZ6dyqCIo/dw2LGYZMUrQsePEw8iGMy3TOyPvQFzbo8ok7OGK1q7ZXwcKk+Bpb/KExx2nxfz9&#10;nLMeXuL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pxcYHWAAAABQEAAA8AAAAAAAAAAQAgAAAA&#10;IgAAAGRycy9kb3ducmV2LnhtbFBLAQIUABQAAAAIAIdO4kDqXKu7DQIAANEDAAAOAAAAAAAAAAEA&#10;IAAAACUBAABkcnMvZTJvRG9jLnhtbFBLBQYAAAAABgAGAFkBAACkBQAAAAA=&#10;">
                        <v:fill on="f" focussize="0,0"/>
                        <v:stroke weight="0.5pt" color="#000000" miterlimit="8" joinstyle="miter" dashstyle="1 1" endarrow="classic"/>
                        <v:imagedata o:title=""/>
                        <o:lock v:ext="edit" aspectratio="f"/>
                      </v:line>
                      <v:line id="直接连接符 153" o:spid="_x0000_s1026" o:spt="20" style="position:absolute;left:1824355;top:394335;flip:x y;height:323850;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Or0nRgNAgAA0gMAAA4AAABkcnMvZTJvRG9jLnhtbK1TzY4T&#10;MQy+I/EOUe502k67KqNO99CycFhgpV24u5lMJyJ/SrKd9iV4ASRucOLInbdheQzstHRhuSHmYNlj&#10;+7P92Zmf74xmWxmicrbmo8GQM2mFa5Td1PzNzcWTGWcxgW1AOytrvpeRny8eP5r3vpJj1zndyMAQ&#10;xMaq9zXvUvJVUUTRSQNx4Ly06GxdMJDQDJuiCdAjutHFeDg8K3oXGh+ckDHi39XByRcZv22lSK/b&#10;NsrEdM2xt5RlyHJNsljModoE8J0SxzbgH7owoCwWPUGtIAG7DeovKKNEcNG1aSCcKVzbKiHzDDjN&#10;aPhgmusOvMyzIDnRn2iK/w9WvNpeBaaamo+HE84sGFzS3Yev399/+vHtI8q7L5/ZaFoSUb2PFcYv&#10;7VWgUcXOXvtLJ95FZt2yA7uRueGbvUeMEWUUf6SQET2WW/cvXYMxcJtcZm3XBsNarfwLSszaW9Ko&#10;DHLEdmjMxpNyOuVsX/Py6aQsp4fdyV1iAv24XEGucTmb5rUWUBEsQfgQ03PpDCOl5lpZYhUq2F7G&#10;RG3eh9Bv6y6U1vkytGV9zc9KhCRPdFo15MxG2KyXOrAt0G3lL8/8IIxqriB2h7i4jyuXDq0blfD2&#10;tTI1n53SoUqg9DPbsJR5jEmCTh2nPoxsONMSHxpph8a1PdJMzB52tHbN/ir8oh8PJ094PHK6zN/t&#10;nH3/FB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pxcYHWAAAABQEAAA8AAAAAAAAAAQAgAAAA&#10;IgAAAGRycy9kb3ducmV2LnhtbFBLAQIUABQAAAAIAIdO4kDq9J0YDQIAANIDAAAOAAAAAAAAAAEA&#10;IAAAACUBAABkcnMvZTJvRG9jLnhtbFBLBQYAAAAABgAGAFkBAACkBQAAAAA=&#10;">
                        <v:fill on="f" focussize="0,0"/>
                        <v:stroke weight="0.5pt" color="#000000" miterlimit="8" joinstyle="miter" dashstyle="1 1" endarrow="classic"/>
                        <v:imagedata o:title=""/>
                        <o:lock v:ext="edit" aspectratio="f"/>
                      </v:line>
                      <v:line id="直接连接符 157" o:spid="_x0000_s1026" o:spt="20" style="position:absolute;left:2771140;top:973455;flip:x y;height:324485;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AGdZm8QAgAA0gMAAA4AAABkcnMvZTJvRG9jLnhtbK1TzY7T&#10;MBC+I/EOlu80SX+2JWq6h5aFwwKVduHuOk5j4T95vE37ErwAEjc4ceTO2+zuYzB2SneBGyKHkZ2Z&#10;+eabb8bz871WZCc8SGsqWgxySoThtpZmW9F31xfPZpRAYKZmyhpR0YMAer54+mTeuVIMbWtVLTxB&#10;EANl5yrahuDKLAPeCs1gYJ0w6Gys1yzg1W+z2rMO0bXKhnl+lnXW185bLgDw76p30kXCbxrBw9um&#10;ARGIqihyC8n6ZDfRZos5K7eeuVbyIw32Dyw0kwaLnqBWLDBy4+VfUFpyb8E2YcCtzmzTSC5SD9hN&#10;kf/RzVXLnEi9oDjgTjLB/4Plb3ZrT2Rd0WE+pcQwjUO6+/T99uOX+x+f0d59+0qKyTQK1TkoMX5p&#10;1j62yvfmyl1a/gGIscuWma1IhK8PDjGKmJH9lhIv4LDcpntta4xhN8Em1faN16RR0r2Kien0Pp5i&#10;GdSI7JHedFoUYxzhoaLPp6PxZNLPTuwD4ehHD0fXaDgez5IrY2WEjRDOQ3gprCbxUFElTVSVlWx3&#10;CSHSfAiJv429kEqlzVCGdBU9G03ylABWyTo6Yxj47WapPNmxuFvpSz2j53FYrLli0PZxcICVDT11&#10;LQPuvpK6orNTOisDk+qFqUlIOkIQTIWWRh5a1JQogQ8tnnriyhxljsr2M9rY+rD2v+THxUkdHpc8&#10;bubje8p+eIq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xcYHWAAAABQEAAA8AAAAAAAAAAQAg&#10;AAAAIgAAAGRycy9kb3ducmV2LnhtbFBLAQIUABQAAAAIAIdO4kABnWZvEAIAANIDAAAOAAAAAAAA&#10;AAEAIAAAACUBAABkcnMvZTJvRG9jLnhtbFBLBQYAAAAABgAGAFkBAACnBQAAAAA=&#10;">
                        <v:fill on="f" focussize="0,0"/>
                        <v:stroke weight="0.5pt" color="#000000" miterlimit="8" joinstyle="miter" dashstyle="1 1" endarrow="classic"/>
                        <v:imagedata o:title=""/>
                        <o:lock v:ext="edit" aspectratio="f"/>
                      </v:line>
                      <v:shape id="文本框 158" o:spid="_x0000_s1026" o:spt="202" type="#_x0000_t202" style="position:absolute;left:2446655;top:724535;height:248920;width:669925;" filled="f" stroked="t" coordsize="21600,21600" o:gfxdata="UEsDBAoAAAAAAIdO4kAAAAAAAAAAAAAAAAAEAAAAZHJzL1BLAwQUAAAACACHTuJANjwYmdYAAAAF&#10;AQAADwAAAGRycy9kb3ducmV2LnhtbE2PzU7DMBCE70i8g7VI3KgdKtIS4vSAWoGQqpa2QhzdeIkj&#10;4t0odn94ewwXuKw0mtHMt+Xs7DtxxCG0TBqykQKBVLNtqdGw2y5upiBCNGRNx4QavjDArLq8KE1h&#10;+USveNzERqQSCoXR4GLsCylD7dCbMOIeKXkfPHgTkxwaaQdzSuW+k7dK5dKbltKCMz0+Oqw/Nwev&#10;Ybl+WRA+TT32bvn2/rziXM1Z6+urTD2AiHiOf2H4wU/oUCWmPR/IBtFpSI/E35u8SabuQOw15Gp8&#10;D7Iq5X/66htQSwMEFAAAAAgAh07iQH3wxUY6AgAANgQAAA4AAABkcnMvZTJvRG9jLnhtbK1TzY7T&#10;MBC+I/EOlu80bTbptlHT1dJqEdLyIy08gOM4jYXjMbbbpDwA+wacuHDnufY5GDvdpYIbIgfLzjf+&#10;Zuabz6uroVPkIKyToEs6m0wpEZpDLfWupB8/3LxYUOI80zVToEVJj8LRq/XzZ6veFCKFFlQtLEES&#10;7YrelLT13hRJ4ngrOuYmYIRGsAHbMY9Hu0tqy3pk71SSTqfzpAdbGwtcOId/tyNI15G/aQT375rG&#10;CU9USbE2H1cb1yqsyXrFip1lppX8VAb7hyo6JjUmfaLaMs/I3sq/qDrJLTho/IRDl0DTSC5iD9jN&#10;bPpHN3ctMyL2guI48yST+3+0/O3hvSWyLmk6xVFp1uGQHr7dP3z/+fDjK5nliyBRb1yBkXcGY/3w&#10;EgYcdWzXmVvgnxzRsGmZ3olra6FvBauxxFm4mZxdHXlcIKn6N1BjJrb3EImGxnZBP1SEIHuaZfN5&#10;nlNyLOllmuUX+TgpMXjCEZ/Pl8sUYY54mi2WaZxkwopHHmOdfyWgI2FTUotGiHnY4db5UBcrHkNC&#10;Wg03UqloBqVJjwku8unYIShZBzCEOburNsqSAwt2il9sEpHzsMC8Za4d42rcjdV30qPZlexKuji/&#10;rPRJqKDNqJIfquEkfAX1ESWzMJoXHxtuWrBfKOnRuCV1n/fMCkrUa42yL2dZFpweD1l+idIQe45U&#10;5wjTHKlK6ikZtxs/vo69sXLXYqZx0BqucVSNjNqFmY5VnepGc0ZJTw8puP/8HKN+P/f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8GJnWAAAABQEAAA8AAAAAAAAAAQAgAAAAIgAAAGRycy9kb3du&#10;cmV2LnhtbFBLAQIUABQAAAAIAIdO4kB98MVGOgIAADYEAAAOAAAAAAAAAAEAIAAAACUBAABkcnMv&#10;ZTJvRG9jLnhtbFBLBQYAAAAABgAGAFkBAADRBQAAAAA=&#10;">
                        <v:fill on="f" focussize="0,0"/>
                        <v:stroke weight="0.5pt" color="#000000" miterlimit="8" joinstyle="miter" dashstyle="dash"/>
                        <v:imagedata o:title=""/>
                        <o:lock v:ext="edit" aspectratio="f"/>
                        <v:textbox>
                          <w:txbxContent>
                            <w:p>
                              <w:pPr>
                                <w:spacing w:line="0" w:lineRule="atLeast"/>
                                <w:jc w:val="center"/>
                                <w:rPr>
                                  <w:sz w:val="15"/>
                                  <w:szCs w:val="15"/>
                                </w:rPr>
                              </w:pPr>
                              <w:r>
                                <w:rPr>
                                  <w:rFonts w:hint="eastAsia"/>
                                  <w:sz w:val="15"/>
                                  <w:szCs w:val="15"/>
                                </w:rPr>
                                <w:t>生</w:t>
                              </w:r>
                              <w:r>
                                <w:rPr>
                                  <w:sz w:val="15"/>
                                  <w:szCs w:val="15"/>
                                </w:rPr>
                                <w:t>活垃圾</w:t>
                              </w:r>
                            </w:p>
                          </w:txbxContent>
                        </v:textbox>
                      </v:shape>
                      <v:line id="直接连接符 159" o:spid="_x0000_s1026" o:spt="20" style="position:absolute;left:2761615;top:464185;flip:x y;height:215900;width:0;" filled="f" stroked="t" coordsize="21600,21600" o:gfxdata="UEsDBAoAAAAAAIdO4kAAAAAAAAAAAAAAAAAEAAAAZHJzL1BLAwQUAAAACACHTuJAinFxgdYAAAAF&#10;AQAADwAAAGRycy9kb3ducmV2LnhtbE2PwU7DMBBE70j8g7WVuFE7INo0jdMDVVUkuND2ws2Jt0nU&#10;eB3ibVP+HsMFLiuNZjTzNl9dXScuOITWk4ZkqkAgVd62VGs47Df3KYjAhqzpPKGGLwywKm5vcpNZ&#10;P9I7XnZci1hCITMaGuY+kzJUDToTpr5Hit7RD85wlEMt7WDGWO46+aDUTDrTUlxoTI/PDVan3dlp&#10;2L+mbfky324PnHwuxrJ+W3+kQeu7SaKWIBiv/BeGH/yIDkVkKv2ZbBCdhvgI/97ozRP1BKLUMFOP&#10;C5BFLv/TF99QSwMEFAAAAAgAh07iQFrgeWEQAgAA0gMAAA4AAABkcnMvZTJvRG9jLnhtbK1TzW4T&#10;MRC+I/EOlu90d0MT0lU2PSQUDgUitXCf2N6shf9ku9nkJXgBJG7lxJE7b0N5DMbekBa4IfYwsndm&#10;vvnmm/HsfKcV2QofpDUNrU5KSoRhlkuzaejb64snU0pCBMNBWSMauheBns8fP5r1rhYj21nFhScI&#10;YkLdu4Z2Mbq6KALrhIZwYp0w6Gyt1xDx6jcF99AjulbFqCwnRW89d94yEQL+XQ5OOs/4bStYfNO2&#10;QUSiGorcYrY+23WyxXwG9caD6yQ70IB/YKFBGix6hFpCBHLj5V9QWjJvg23jCbO6sG0rmcg9YDdV&#10;+Uc3Vx04kXtBcYI7yhT+Hyx7vV15InlDR+UZJQY0Dunu49fvH25/fPuE9u7LZ1KNz5JQvQs1xi/M&#10;yqdW2c5cuUvL3gdi7KIDsxGZ8PXeIUaVMorfUtIlOCy37l9ZjjFwE21Wbdd6TVol3cuUmE/v0imV&#10;QY3IDuk9m1STakzJvqGnk9NqOh5mJ3aRMPTjcBm6Rsi1zGMtoE6wCcL5EF8Iq0k6NFRJk1SFGraX&#10;ISaa9yHpt7EXUqm8GcqQvqGTp+MyJwSrJE/OFBb8Zr1Qnmwh7Vb+cs/oeRiWai4hdENc2IeljQN1&#10;LSPuvpK6odNjOtQRpHpuOIlZxxAFqNjRxEMLTokS+NDSaSCuzEHmpOwwo7Xl+5X/JT8uTu7wsORp&#10;Mx/ec/b9U5z/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xcYHWAAAABQEAAA8AAAAAAAAAAQAg&#10;AAAAIgAAAGRycy9kb3ducmV2LnhtbFBLAQIUABQAAAAIAIdO4kBa4HlhEAIAANIDAAAOAAAAAAAA&#10;AAEAIAAAACUBAABkcnMvZTJvRG9jLnhtbFBLBQYAAAAABgAGAFkBAACnBQAAAAA=&#10;">
                        <v:fill on="f" focussize="0,0"/>
                        <v:stroke weight="0.5pt" color="#000000" miterlimit="8" joinstyle="miter" dashstyle="1 1" endarrow="classic"/>
                        <v:imagedata o:title=""/>
                        <o:lock v:ext="edit" aspectratio="f"/>
                      </v:line>
                      <v:shape id="文本框 160" o:spid="_x0000_s1026" o:spt="202" type="#_x0000_t202" style="position:absolute;left:2136140;top:258445;height:241935;width:120586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ANdwPyCQIAANYDAAAOAAAAZHJzL2Uyb0RvYy54bWytU82O0zAQ&#10;viPxDpbvNE02Ld2o6WrZ1SKk5UdaeADXcRqLxGPGbpPyAPAGnLhw57n6HIyd7m6BG+JijT2Tb77v&#10;m8nyYuhatlPoNJiSp5MpZ8pIqLTZlPzD+5tnC86cF6YSLRhV8r1y/GL19Mmyt4XKoIG2UsgIxLii&#10;tyVvvLdFkjjZqE64CVhlKFkDdsLTFTdJhaIn9K5Nsul0nvSAlUWQyjl6vR6TfBXx61pJ/7aunfKs&#10;LTlx8/HEeK7DmayWotigsI2WRxriH1h0Qhtq+gB1LbxgW9R/QXVaIjio/URCl0Bda6miBlKTTv9Q&#10;c9cIq6IWMsfZB5vc/4OVb3bvkOmq5FlK/hjR0ZAO374evv88/PjC0nm0qLeuoMo7S7V+eAEDjTrK&#10;dfYW5EfHDFw1wmzUJSL0jRIVUUyDucnJp2EornABZN2/hoo6ia2HCDTU2AX/yBFG6Fl6Nk9zIrSn&#10;eLbI89k4KTV4JkP3bDpbzGecyVCQp+dnsSARxT2QRedfKuhYCEqOtAmxkdjdOh+IieK+JPQ1cKPb&#10;Nm5Da357oMLwEoUE7qMKP6wHqg6C1lDtSRLCuFz0M1DQAH7mrKfFKrn7tBWoOGtfGbLlPM2DMB8v&#10;+ex5Rhc8zaxPM8JIgiq552wMr/y4vVuLetNQp3EQBi7JylpHaY+sjrxpeaLi46KH7Ty9x6rH33H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BMvUAAAABQEAAA8AAAAAAAAAAQAgAAAAIgAAAGRy&#10;cy9kb3ducmV2LnhtbFBLAQIUABQAAAAIAIdO4kANdwPyCQIAANYDAAAOAAAAAAAAAAEAIAAAACMB&#10;AABkcnMvZTJvRG9jLnhtbFBLBQYAAAAABgAGAFkBAACeBQAAAAA=&#10;">
                        <v:fill on="f" focussize="0,0"/>
                        <v:stroke on="f"/>
                        <v:imagedata o:title=""/>
                        <o:lock v:ext="edit" aspectratio="f"/>
                        <v:textbox>
                          <w:txbxContent>
                            <w:p>
                              <w:pPr>
                                <w:spacing w:line="0" w:lineRule="atLeast"/>
                                <w:jc w:val="center"/>
                                <w:rPr>
                                  <w:rFonts w:hint="eastAsia" w:eastAsia="宋体"/>
                                  <w:sz w:val="15"/>
                                  <w:szCs w:val="15"/>
                                  <w:lang w:val="en-US" w:eastAsia="zh-CN"/>
                                </w:rPr>
                              </w:pPr>
                              <w:r>
                                <w:rPr>
                                  <w:rFonts w:hint="eastAsia"/>
                                  <w:sz w:val="15"/>
                                  <w:szCs w:val="15"/>
                                </w:rPr>
                                <w:t>交由环卫</w:t>
                              </w:r>
                              <w:r>
                                <w:rPr>
                                  <w:rFonts w:hint="eastAsia"/>
                                  <w:sz w:val="15"/>
                                  <w:szCs w:val="15"/>
                                  <w:lang w:val="en-US" w:eastAsia="zh-CN"/>
                                </w:rPr>
                                <w:t>部门清运</w:t>
                              </w:r>
                            </w:p>
                          </w:txbxContent>
                        </v:textbox>
                      </v:shape>
                      <v:shape id="文本框 160" o:spid="_x0000_s1026" o:spt="202" type="#_x0000_t202" style="position:absolute;left:179705;top:179705;height:241935;width:120586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CK0SNOBAIAANUDAAAOAAAAZHJzL2Uyb0RvYy54bWytU0uO1DAQ&#10;3SNxB8t7Oh/6Mx11ejTMaBDS8JEGDuA4TicicZmyu5PmAHADVmzYc64+B2Wnp6eBHWJjlV2VV+9V&#10;vawuh65lO4W2AZ3zZBJzprSEstGbnH94f/vsgjPrhC5FC1rlfK8sv1w/fbLqTaZSqKEtFTIC0Tbr&#10;Tc5r50wWRVbWqhN2AkZpSlaAnXB0xU1UougJvWujNI7nUQ9YGgSprKXXmzHJ1wG/qpR0b6vKKsfa&#10;nBM3F04MZ+HPaL0S2QaFqRt5pCH+gUUnGk1NT1A3wgm2xeYvqK6RCBYqN5HQRVBVjVRBA6lJ4j/U&#10;3NfCqKCFhmPNaUz2/8HKN7t3yJoy52mScKZFR0s6fPt6+P7z8OMLS+ZhRL2xGVXeG6p1wwsYaNVB&#10;rjV3ID9apuG6FnqjrhChr5UoiWLihxudfeqXYjPrQYr+NZTUSWwdBKChws7PjybCPPpiuYhnnO1P&#10;YViUGhyTPp3Gs4s55SUVpNNk+XwWmonsAcegdS8VdMwHOUcyQugjdnfWeV4ieyjxbTXcNm0berT6&#10;twcq9C9Bh6c+inBDMVC111NAuSdFCKO36F+goAb8zFlPvsq5/bQVqDhrX2mayjKZTr0Rw2U6W6R0&#10;wfNMcZ4RWhJUzh1nY3jtRvNuDTabmjqNe9BwRZOsmiDtkdWRN3knKD763Jvz/B6qHv/G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wTL1AAAAAUBAAAPAAAAAAAAAAEAIAAAACIAAABkcnMvZG93&#10;bnJldi54bWxQSwECFAAUAAAACACHTuJAitEjTgQCAADVAwAADgAAAAAAAAABACAAAAAjAQAAZHJz&#10;L2Uyb0RvYy54bWxQSwUGAAAAAAYABgBZAQAAmQUAAAAA&#10;">
                        <v:fill on="f" focussize="0,0"/>
                        <v:stroke on="f"/>
                        <v:imagedata o:title=""/>
                        <o:lock v:ext="edit" aspectratio="f"/>
                        <v:textbo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洒水降尘、自然扩散等</w:t>
                              </w:r>
                            </w:p>
                          </w:txbxContent>
                        </v:textbox>
                      </v:shape>
                      <v:shape id="文本框 160" o:spid="_x0000_s1026" o:spt="202" type="#_x0000_t202" style="position:absolute;left:1526540;top:196850;height:241935;width:662305;" filled="f" stroked="f" coordsize="21600,21600" o:gfxdata="UEsDBAoAAAAAAIdO4kAAAAAAAAAAAAAAAAAEAAAAZHJzL1BLAwQUAAAACACHTuJAsP8Ey9QAAAAF&#10;AQAADwAAAGRycy9kb3ducmV2LnhtbE2PwU7DMBBE70j8g7VI3KgdoC0NcXoAcQVRoBK3bbxNIuJ1&#10;FLtN+HsWLuWy0mhGM2+L9eQ7daQhtoEtZDMDirgKruXawvvb09UdqJiQHXaBycI3RViX52cF5i6M&#10;/ErHTaqVlHDM0UKTUp9rHauGPMZZ6InF24fBYxI51NoNOEq57/S1MQvtsWVZaLCnh4aqr83BW/h4&#10;3n9ub81L/ejn/Rgmo9mvtLWXF5m5B5VoSqcw/OILOpTCtAsHdlF1FuSR9HfFW2ZmDmpnYWFuVqDL&#10;Qv+nL38AUEsDBBQAAAAIAIdO4kBQ1cJVCQIAANUDAAAOAAAAZHJzL2Uyb0RvYy54bWytU82O0zAQ&#10;viPxDpbvNE22Cduo6WrZ1SKk5UdaeADHcZqIxGPGbpPyAPAGnLhw57n6HIyd7m6BG+JijT2Tb75v&#10;5svqYuw7tlNoW9AFj2dzzpSWULV6U/AP72+enXNmndCV6ECrgu+V5Rfrp09Wg8lVAg10lUJGINrm&#10;gyl445zJo8jKRvXCzsAoTckasBeOrriJKhQDofddlMznWTQAVgZBKmvp9XpK8nXAr2sl3du6tsqx&#10;ruDEzYUTw1n6M1qvRL5BYZpWHmmIf2DRi1ZT0weoa+EE22L7F1TfSgQLtZtJ6COo61aqoIHUxPM/&#10;1Nw1wqighYZjzcOY7P+DlW9275C1VcGTOOFMi56WdPj29fD95+HHFxZnYUSDsTlV3hmqdeMLGGnV&#10;Qa41tyA/WqbhqhF6oy4RYWiUqIhi7IcbnXzql2Jz60HK4TVU1ElsHQSgscbez48mwjx6mmTpgha2&#10;p3iZnafHTanRMUn5LEvO5ilnkvLJIl6epaGZyO9xDFr3UkHPfFBwJCOEPmJ3a53nJfL7Et9Ww03b&#10;dcEMnf7tgQr9S9DhqU8i3FiOVO31lFDtSRHC5C36FyhoAD9zNpCvCm4/bQUqzrpXmqayjBdelwuX&#10;Rfo8oQueZsrTjNCSoAruOJvCKzeZd2uw3TTUadqDhkuaZN0GaY+sjrzJO0Hx0efenKf3UPX4N6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BMvUAAAABQEAAA8AAAAAAAAAAQAgAAAAIgAAAGRy&#10;cy9kb3ducmV2LnhtbFBLAQIUABQAAAAIAIdO4kBQ1cJVCQIAANUDAAAOAAAAAAAAAAEAIAAAACMB&#10;AABkcnMvZTJvRG9jLnhtbFBLBQYAAAAABgAGAFkBAACeBQAAAAA=&#10;">
                        <v:fill on="f" focussize="0,0"/>
                        <v:stroke on="f"/>
                        <v:imagedata o:title=""/>
                        <o:lock v:ext="edit" aspectratio="f"/>
                        <v:textbox>
                          <w:txbxContent>
                            <w:p>
                              <w:pPr>
                                <w:spacing w:line="0" w:lineRule="atLeast"/>
                                <w:jc w:val="center"/>
                                <w:rPr>
                                  <w:rFonts w:hint="default" w:eastAsia="宋体"/>
                                  <w:sz w:val="15"/>
                                  <w:szCs w:val="15"/>
                                  <w:lang w:val="en-US" w:eastAsia="zh-CN"/>
                                </w:rPr>
                              </w:pPr>
                              <w:r>
                                <w:rPr>
                                  <w:rFonts w:hint="eastAsia" w:eastAsia="宋体"/>
                                  <w:sz w:val="15"/>
                                  <w:szCs w:val="15"/>
                                  <w:lang w:val="en-US" w:eastAsia="zh-CN"/>
                                </w:rPr>
                                <w:t>达标排放</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2-2</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本项目</w:t>
            </w:r>
            <w:r>
              <w:rPr>
                <w:rFonts w:hint="default" w:ascii="Times New Roman" w:hAnsi="Times New Roman" w:eastAsia="宋体" w:cs="Times New Roman"/>
                <w:b/>
                <w:bCs/>
                <w:color w:val="auto"/>
                <w:sz w:val="21"/>
                <w:szCs w:val="21"/>
              </w:rPr>
              <w:t>施工期流程及产污情况图</w:t>
            </w:r>
          </w:p>
          <w:p>
            <w:pPr>
              <w:numPr>
                <w:ilvl w:val="0"/>
                <w:numId w:val="0"/>
              </w:numPr>
              <w:spacing w:line="360" w:lineRule="auto"/>
              <w:ind w:left="480" w:leftChars="0"/>
              <w:rPr>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bCs/>
                <w:color w:val="auto"/>
                <w:sz w:val="24"/>
              </w:rPr>
              <w:t>基础工程施工</w:t>
            </w:r>
          </w:p>
          <w:p>
            <w:pPr>
              <w:spacing w:line="360" w:lineRule="auto"/>
              <w:ind w:firstLine="480" w:firstLineChars="200"/>
              <w:rPr>
                <w:bCs/>
                <w:color w:val="auto"/>
                <w:sz w:val="24"/>
              </w:rPr>
            </w:pPr>
            <w:r>
              <w:rPr>
                <w:bCs/>
                <w:color w:val="auto"/>
                <w:sz w:val="24"/>
              </w:rPr>
              <w:t>在基础工程施工阶段，主要包括场地开挖、平整等，根据现场实际情况结合设计要求先对场地进行清理，土方开挖主要采用机械开挖，挖出表土用于厂区内低洼出填埋。土方开挖必须与管道敷设密切配合，不出现重复挖、填的现象。并合理安排施工计划，使土方开挖与管道敷设保持一致，避免沟槽开挖后长时间暴露，防止受雨水及地表水的侵蚀。</w:t>
            </w:r>
          </w:p>
          <w:p>
            <w:pPr>
              <w:spacing w:line="360" w:lineRule="auto"/>
              <w:ind w:firstLine="480" w:firstLineChars="200"/>
              <w:rPr>
                <w:bCs/>
                <w:color w:val="auto"/>
                <w:sz w:val="24"/>
              </w:rPr>
            </w:pPr>
            <w:r>
              <w:rPr>
                <w:bCs/>
                <w:color w:val="auto"/>
                <w:sz w:val="24"/>
              </w:rPr>
              <w:t>工程场地平整主要是根据设计标高和建筑施工对场地的要求，对场地进行回填拟采用机械化施工为主、人工为辅。本项目场地平整回填施工中，运输车辆运土，推土机推土，然后采用碾压机分层进行碾压，工艺合理，施工便捷，步骤紧凑，速度较快，堆填、平整、碾压步骤合理、连贯，避开了植被相对良好的区域。</w:t>
            </w:r>
          </w:p>
          <w:p>
            <w:pPr>
              <w:spacing w:line="360" w:lineRule="auto"/>
              <w:ind w:firstLine="480" w:firstLineChars="200"/>
              <w:rPr>
                <w:bCs/>
                <w:color w:val="auto"/>
                <w:sz w:val="24"/>
                <w:u w:val="single"/>
              </w:rPr>
            </w:pPr>
            <w:r>
              <w:rPr>
                <w:bCs/>
                <w:color w:val="auto"/>
                <w:sz w:val="24"/>
                <w:u w:val="single"/>
              </w:rPr>
              <w:t>产生的污染主要有挖掘机、装载机、运输车辆等运行时产生的噪声</w:t>
            </w:r>
            <w:r>
              <w:rPr>
                <w:rFonts w:hint="eastAsia"/>
                <w:bCs/>
                <w:color w:val="auto"/>
                <w:sz w:val="24"/>
                <w:u w:val="single"/>
                <w:lang w:val="en-US" w:eastAsia="zh-CN"/>
              </w:rPr>
              <w:t>和尾气</w:t>
            </w:r>
            <w:r>
              <w:rPr>
                <w:bCs/>
                <w:color w:val="auto"/>
                <w:sz w:val="24"/>
                <w:u w:val="single"/>
              </w:rPr>
              <w:t>，以及挖方、填方施工扬尘，同时还有施工设备冲洗水</w:t>
            </w:r>
            <w:r>
              <w:rPr>
                <w:rFonts w:hint="eastAsia"/>
                <w:bCs/>
                <w:color w:val="auto"/>
                <w:sz w:val="24"/>
                <w:u w:val="single"/>
                <w:lang w:eastAsia="zh-CN"/>
              </w:rPr>
              <w:t>（</w:t>
            </w:r>
            <w:r>
              <w:rPr>
                <w:bCs/>
                <w:color w:val="auto"/>
                <w:sz w:val="24"/>
                <w:u w:val="single"/>
              </w:rPr>
              <w:t>经沉淀后回用</w:t>
            </w:r>
            <w:r>
              <w:rPr>
                <w:rFonts w:hint="eastAsia"/>
                <w:bCs/>
                <w:color w:val="auto"/>
                <w:sz w:val="24"/>
                <w:u w:val="single"/>
                <w:lang w:eastAsia="zh-CN"/>
              </w:rPr>
              <w:t>）</w:t>
            </w:r>
            <w:r>
              <w:rPr>
                <w:bCs/>
                <w:color w:val="auto"/>
                <w:sz w:val="24"/>
                <w:u w:val="single"/>
              </w:rPr>
              <w:t>及少量生活废水。</w:t>
            </w:r>
          </w:p>
          <w:p>
            <w:pPr>
              <w:numPr>
                <w:ilvl w:val="0"/>
                <w:numId w:val="0"/>
              </w:numPr>
              <w:spacing w:line="360" w:lineRule="auto"/>
              <w:ind w:left="480" w:leftChars="0"/>
              <w:rPr>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bCs/>
                <w:color w:val="auto"/>
                <w:sz w:val="24"/>
              </w:rPr>
              <w:t>主体工程施工</w:t>
            </w:r>
          </w:p>
          <w:p>
            <w:pPr>
              <w:spacing w:line="360" w:lineRule="auto"/>
              <w:ind w:firstLine="480" w:firstLineChars="200"/>
              <w:rPr>
                <w:bCs/>
                <w:color w:val="auto"/>
                <w:sz w:val="24"/>
              </w:rPr>
            </w:pPr>
            <w:r>
              <w:rPr>
                <w:bCs/>
                <w:color w:val="auto"/>
                <w:sz w:val="24"/>
              </w:rPr>
              <w:t>在主体建筑物工程施工过程中将产生混凝土输送泵、混凝土振捣棒、卷扬机等施工机械的运行噪声，施工及运输过程中的扬尘，施工设备冲洗水（经沉淀后回用）及少量生活废水</w:t>
            </w:r>
            <w:r>
              <w:rPr>
                <w:rFonts w:hint="eastAsia"/>
                <w:bCs/>
                <w:color w:val="auto"/>
                <w:sz w:val="24"/>
                <w:lang w:val="en-US" w:eastAsia="zh-CN"/>
              </w:rPr>
              <w:t>等</w:t>
            </w:r>
            <w:r>
              <w:rPr>
                <w:bCs/>
                <w:color w:val="auto"/>
                <w:sz w:val="24"/>
              </w:rPr>
              <w:t>。</w:t>
            </w:r>
          </w:p>
          <w:p>
            <w:pPr>
              <w:spacing w:line="360" w:lineRule="auto"/>
              <w:ind w:firstLine="480" w:firstLineChars="200"/>
              <w:rPr>
                <w:bCs/>
                <w:color w:val="auto"/>
                <w:sz w:val="24"/>
                <w:u w:val="single"/>
              </w:rPr>
            </w:pPr>
            <w:r>
              <w:rPr>
                <w:bCs/>
                <w:color w:val="auto"/>
                <w:sz w:val="24"/>
                <w:u w:val="single"/>
              </w:rPr>
              <w:t>产生的污染主要为施工废水、生活</w:t>
            </w:r>
            <w:r>
              <w:rPr>
                <w:rFonts w:hint="eastAsia"/>
                <w:bCs/>
                <w:color w:val="auto"/>
                <w:sz w:val="24"/>
                <w:u w:val="single"/>
                <w:lang w:val="en-US" w:eastAsia="zh-CN"/>
              </w:rPr>
              <w:t>垃圾和生活</w:t>
            </w:r>
            <w:r>
              <w:rPr>
                <w:bCs/>
                <w:color w:val="auto"/>
                <w:sz w:val="24"/>
                <w:u w:val="single"/>
              </w:rPr>
              <w:t>污水</w:t>
            </w:r>
            <w:r>
              <w:rPr>
                <w:rFonts w:hint="eastAsia"/>
                <w:bCs/>
                <w:color w:val="auto"/>
                <w:sz w:val="24"/>
                <w:u w:val="single"/>
                <w:lang w:eastAsia="zh-CN"/>
              </w:rPr>
              <w:t>、</w:t>
            </w:r>
            <w:r>
              <w:rPr>
                <w:rFonts w:hint="eastAsia"/>
                <w:bCs/>
                <w:color w:val="auto"/>
                <w:sz w:val="24"/>
                <w:u w:val="single"/>
                <w:lang w:val="en-US" w:eastAsia="zh-CN"/>
              </w:rPr>
              <w:t>车辆及施工设备噪声和尾气、少量弃土</w:t>
            </w:r>
            <w:r>
              <w:rPr>
                <w:bCs/>
                <w:color w:val="auto"/>
                <w:sz w:val="24"/>
                <w:u w:val="single"/>
              </w:rPr>
              <w:t>。</w:t>
            </w:r>
          </w:p>
          <w:p>
            <w:pPr>
              <w:spacing w:line="360" w:lineRule="auto"/>
              <w:ind w:firstLine="480" w:firstLineChars="200"/>
              <w:rPr>
                <w:bCs/>
                <w:color w:val="auto"/>
                <w:sz w:val="24"/>
              </w:rPr>
            </w:pPr>
            <w:r>
              <w:rPr>
                <w:rFonts w:hint="eastAsia"/>
                <w:bCs/>
                <w:color w:val="auto"/>
                <w:sz w:val="24"/>
                <w:lang w:val="en-US" w:eastAsia="zh-CN"/>
              </w:rPr>
              <w:t>（3）设备</w:t>
            </w:r>
            <w:r>
              <w:rPr>
                <w:bCs/>
                <w:color w:val="auto"/>
                <w:sz w:val="24"/>
              </w:rPr>
              <w:t>安装</w:t>
            </w:r>
            <w:r>
              <w:rPr>
                <w:rFonts w:hint="eastAsia"/>
                <w:bCs/>
                <w:color w:val="auto"/>
                <w:sz w:val="24"/>
                <w:lang w:eastAsia="zh-CN"/>
              </w:rPr>
              <w:t>、</w:t>
            </w:r>
            <w:r>
              <w:rPr>
                <w:rFonts w:hint="eastAsia"/>
                <w:bCs/>
                <w:color w:val="auto"/>
                <w:sz w:val="24"/>
                <w:lang w:val="en-US" w:eastAsia="zh-CN"/>
              </w:rPr>
              <w:t>调试</w:t>
            </w:r>
            <w:r>
              <w:rPr>
                <w:bCs/>
                <w:color w:val="auto"/>
                <w:sz w:val="24"/>
              </w:rPr>
              <w:t>施工</w:t>
            </w:r>
          </w:p>
          <w:p>
            <w:pPr>
              <w:spacing w:line="360" w:lineRule="auto"/>
              <w:ind w:firstLine="480" w:firstLineChars="200"/>
              <w:rPr>
                <w:bCs/>
                <w:color w:val="auto"/>
                <w:sz w:val="24"/>
              </w:rPr>
            </w:pPr>
            <w:r>
              <w:rPr>
                <w:bCs/>
                <w:color w:val="auto"/>
                <w:sz w:val="24"/>
              </w:rPr>
              <w:t>在建筑物装修和设备安装施工过程中将产噪声及少量建筑垃圾等，装修施工人员产生少量</w:t>
            </w:r>
            <w:r>
              <w:rPr>
                <w:rFonts w:hint="eastAsia"/>
                <w:bCs/>
                <w:color w:val="auto"/>
                <w:sz w:val="24"/>
                <w:lang w:val="en-US" w:eastAsia="zh-CN"/>
              </w:rPr>
              <w:t>生活垃圾和</w:t>
            </w:r>
            <w:r>
              <w:rPr>
                <w:bCs/>
                <w:color w:val="auto"/>
                <w:sz w:val="24"/>
              </w:rPr>
              <w:t>生活废水。</w:t>
            </w:r>
          </w:p>
          <w:p>
            <w:pPr>
              <w:spacing w:line="360" w:lineRule="auto"/>
              <w:ind w:firstLine="482" w:firstLineChars="200"/>
              <w:rPr>
                <w:rFonts w:hint="default" w:eastAsia="宋体"/>
                <w:b/>
                <w:bCs w:val="0"/>
                <w:color w:val="auto"/>
                <w:sz w:val="24"/>
                <w:lang w:val="en-US" w:eastAsia="zh-CN"/>
              </w:rPr>
            </w:pPr>
            <w:r>
              <w:rPr>
                <w:rFonts w:hint="eastAsia"/>
                <w:b/>
                <w:bCs w:val="0"/>
                <w:color w:val="auto"/>
                <w:sz w:val="24"/>
                <w:lang w:val="en-US" w:eastAsia="zh-CN"/>
              </w:rPr>
              <w:t>2、管道工程施工工艺流程</w:t>
            </w:r>
          </w:p>
          <w:p>
            <w:pPr>
              <w:pStyle w:val="7"/>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both"/>
              <w:textAlignment w:val="baseline"/>
              <w:rPr>
                <w:rFonts w:hint="default"/>
                <w:b/>
                <w:bCs/>
                <w:color w:val="auto"/>
                <w:sz w:val="24"/>
                <w:szCs w:val="24"/>
                <w:highlight w:val="none"/>
                <w:lang w:val="en-US" w:eastAsia="zh-CN"/>
              </w:rPr>
            </w:pPr>
            <w:r>
              <w:rPr>
                <w:rFonts w:hint="eastAsia"/>
                <w:b w:val="0"/>
                <w:bCs w:val="0"/>
                <w:color w:val="auto"/>
                <w:sz w:val="24"/>
                <w:szCs w:val="24"/>
                <w:highlight w:val="none"/>
                <w:lang w:val="en-US" w:eastAsia="zh-CN"/>
              </w:rPr>
              <w:t>项目管网工程施工工艺流程如下所示：</w:t>
            </w:r>
          </w:p>
          <w:p>
            <w:pPr>
              <w:pStyle w:val="7"/>
              <w:ind w:left="0" w:leftChars="0" w:firstLine="0" w:firstLineChars="0"/>
              <w:jc w:val="center"/>
              <w:rPr>
                <w:color w:val="auto"/>
              </w:rPr>
            </w:pPr>
            <w:r>
              <w:rPr>
                <w:color w:val="auto"/>
              </w:rPr>
              <w:object>
                <v:shape id="_x0000_i1025" o:spt="75" type="#_x0000_t75" style="height:154.35pt;width:408.25pt;" o:ole="t" filled="f" o:preferrelative="t" stroked="f" coordsize="21600,21600">
                  <v:path/>
                  <v:fill on="f" focussize="0,0"/>
                  <v:stroke on="f"/>
                  <v:imagedata r:id="rId15" cropright="8489f" o:title=""/>
                  <o:lock v:ext="edit" aspectratio="f"/>
                  <w10:wrap type="none"/>
                  <w10:anchorlock/>
                </v:shape>
                <o:OLEObject Type="Embed" ProgID="Visio.Drawing.11" ShapeID="_x0000_i1025" DrawAspect="Content" ObjectID="_1468075725" r:id="rId14">
                  <o:LockedField>false</o:LockedField>
                </o:OLEObject>
              </w:object>
            </w:r>
          </w:p>
          <w:p>
            <w:pPr>
              <w:pStyle w:val="7"/>
              <w:ind w:left="0" w:leftChars="0" w:firstLine="0" w:firstLineChars="0"/>
              <w:jc w:val="center"/>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图2-1  管道工程施工工艺流程图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32"/>
                <w:highlight w:val="none"/>
                <w:lang w:eastAsia="zh-CN"/>
              </w:rPr>
              <w:t>（</w:t>
            </w:r>
            <w:r>
              <w:rPr>
                <w:rFonts w:hint="eastAsia"/>
                <w:color w:val="auto"/>
                <w:sz w:val="24"/>
                <w:szCs w:val="32"/>
                <w:highlight w:val="none"/>
                <w:lang w:val="en-US" w:eastAsia="zh-CN"/>
              </w:rPr>
              <w:t>1</w:t>
            </w:r>
            <w:r>
              <w:rPr>
                <w:rFonts w:hint="eastAsia"/>
                <w:color w:val="auto"/>
                <w:sz w:val="24"/>
                <w:szCs w:val="32"/>
                <w:highlight w:val="none"/>
                <w:lang w:eastAsia="zh-CN"/>
              </w:rPr>
              <w:t>）</w:t>
            </w:r>
            <w:r>
              <w:rPr>
                <w:rFonts w:hint="eastAsia"/>
                <w:color w:val="auto"/>
                <w:sz w:val="24"/>
                <w:szCs w:val="32"/>
                <w:highlight w:val="none"/>
              </w:rPr>
              <w:t>测量放线：根据施工图纸对管线路线进行测量放线，并进行施工准备。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32"/>
                <w:highlight w:val="none"/>
                <w:lang w:eastAsia="zh-CN"/>
              </w:rPr>
              <w:t>（</w:t>
            </w:r>
            <w:r>
              <w:rPr>
                <w:rFonts w:hint="eastAsia"/>
                <w:color w:val="auto"/>
                <w:sz w:val="24"/>
                <w:szCs w:val="32"/>
                <w:highlight w:val="none"/>
                <w:lang w:val="en-US" w:eastAsia="zh-CN"/>
              </w:rPr>
              <w:t>2</w:t>
            </w:r>
            <w:r>
              <w:rPr>
                <w:rFonts w:hint="eastAsia"/>
                <w:color w:val="auto"/>
                <w:sz w:val="24"/>
                <w:szCs w:val="32"/>
                <w:highlight w:val="none"/>
                <w:lang w:eastAsia="zh-CN"/>
              </w:rPr>
              <w:t>）</w:t>
            </w:r>
            <w:r>
              <w:rPr>
                <w:rFonts w:hint="eastAsia"/>
                <w:color w:val="auto"/>
                <w:sz w:val="24"/>
                <w:szCs w:val="32"/>
                <w:highlight w:val="none"/>
                <w:lang w:val="en-US" w:eastAsia="zh-CN"/>
              </w:rPr>
              <w:t>路面/沟槽开挖：</w:t>
            </w:r>
            <w:r>
              <w:rPr>
                <w:rFonts w:hint="eastAsia"/>
                <w:color w:val="auto"/>
                <w:sz w:val="24"/>
                <w:szCs w:val="32"/>
                <w:highlight w:val="none"/>
              </w:rPr>
              <w:t>项目</w:t>
            </w:r>
            <w:r>
              <w:rPr>
                <w:rFonts w:hint="eastAsia"/>
                <w:color w:val="auto"/>
                <w:sz w:val="24"/>
                <w:szCs w:val="32"/>
                <w:highlight w:val="none"/>
                <w:lang w:val="en-US" w:eastAsia="zh-CN"/>
              </w:rPr>
              <w:t>管道</w:t>
            </w:r>
            <w:r>
              <w:rPr>
                <w:rFonts w:hint="eastAsia"/>
                <w:color w:val="auto"/>
                <w:sz w:val="24"/>
                <w:szCs w:val="32"/>
                <w:highlight w:val="none"/>
              </w:rPr>
              <w:t>采用</w:t>
            </w:r>
            <w:r>
              <w:rPr>
                <w:rFonts w:hint="default" w:ascii="Times New Roman" w:hAnsi="Times New Roman" w:cs="Times New Roman"/>
                <w:color w:val="auto"/>
                <w:sz w:val="24"/>
                <w:szCs w:val="24"/>
                <w:highlight w:val="none"/>
                <w:lang w:eastAsia="zh-CN"/>
              </w:rPr>
              <w:t>PE聚乙烯/PE钢丝骨架</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球墨、钢筋砼管道</w:t>
            </w:r>
            <w:r>
              <w:rPr>
                <w:rFonts w:hint="eastAsia"/>
                <w:color w:val="auto"/>
                <w:sz w:val="24"/>
                <w:szCs w:val="32"/>
                <w:highlight w:val="none"/>
              </w:rPr>
              <w:t>，</w:t>
            </w:r>
            <w:r>
              <w:rPr>
                <w:rFonts w:hint="eastAsia"/>
                <w:color w:val="auto"/>
                <w:sz w:val="24"/>
                <w:szCs w:val="32"/>
                <w:highlight w:val="none"/>
                <w:lang w:val="en-US" w:eastAsia="zh-CN"/>
              </w:rPr>
              <w:t>涉及穿越公路段采用破碎头挖掘机进行路面拆除，涉及一般荒地进行直接开挖，</w:t>
            </w:r>
            <w:r>
              <w:rPr>
                <w:rFonts w:hint="eastAsia"/>
                <w:color w:val="auto"/>
                <w:sz w:val="24"/>
                <w:szCs w:val="32"/>
                <w:highlight w:val="none"/>
              </w:rPr>
              <w:t>沟槽土方开挖</w:t>
            </w:r>
            <w:r>
              <w:rPr>
                <w:rFonts w:hint="eastAsia"/>
                <w:color w:val="auto"/>
                <w:sz w:val="24"/>
                <w:szCs w:val="32"/>
                <w:highlight w:val="none"/>
                <w:lang w:val="en-US" w:eastAsia="zh-CN"/>
              </w:rPr>
              <w:t>后的</w:t>
            </w:r>
            <w:r>
              <w:rPr>
                <w:rFonts w:hint="eastAsia"/>
                <w:color w:val="auto"/>
                <w:sz w:val="24"/>
                <w:szCs w:val="32"/>
                <w:highlight w:val="none"/>
              </w:rPr>
              <w:t>土方堆积在沟槽一侧。沟侧弃土不能堆填太高，以免造成沟槽边坡失稳。</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管道沟槽的开挖底宽应满足《给水排水管道施工及验收规范》（</w:t>
            </w:r>
            <w:r>
              <w:rPr>
                <w:rFonts w:hint="eastAsia"/>
                <w:color w:val="auto"/>
                <w:sz w:val="24"/>
                <w:szCs w:val="24"/>
                <w:highlight w:val="none"/>
                <w:lang w:val="en-US" w:eastAsia="zh-CN"/>
              </w:rPr>
              <w:t>GB</w:t>
            </w:r>
            <w:r>
              <w:rPr>
                <w:rFonts w:hint="eastAsia"/>
                <w:color w:val="auto"/>
                <w:sz w:val="24"/>
                <w:szCs w:val="24"/>
                <w:highlight w:val="none"/>
                <w:lang w:eastAsia="zh-CN"/>
              </w:rPr>
              <w:t>50268）有关要求，以利于管道敷设、接头连接操作的要求，管沟底部宽度以能方便安装为度，尺寸确定为：柔性接口管道口径≤500mm时，底宽由管径加0.6米。</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yellow"/>
                <w:lang w:eastAsia="zh-CN"/>
              </w:rPr>
            </w:pPr>
            <w:r>
              <w:rPr>
                <w:rFonts w:hint="eastAsia"/>
                <w:color w:val="auto"/>
                <w:sz w:val="24"/>
                <w:szCs w:val="24"/>
                <w:highlight w:val="none"/>
                <w:lang w:eastAsia="zh-CN"/>
              </w:rPr>
              <w:t>管沟开挖边坡按临时边坡考虑，结合本地区的地质情况，普通地段按老黄土，在坡顶无荷载时，土质边坡为1：0.1。岩石地层边坡亦采用1：0.1。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32"/>
                <w:highlight w:val="none"/>
                <w:lang w:eastAsia="zh-CN"/>
              </w:rPr>
              <w:t>（</w:t>
            </w:r>
            <w:r>
              <w:rPr>
                <w:rFonts w:hint="eastAsia"/>
                <w:color w:val="auto"/>
                <w:sz w:val="24"/>
                <w:szCs w:val="32"/>
                <w:highlight w:val="none"/>
                <w:lang w:val="en-US" w:eastAsia="zh-CN"/>
              </w:rPr>
              <w:t>3</w:t>
            </w:r>
            <w:r>
              <w:rPr>
                <w:rFonts w:hint="eastAsia"/>
                <w:color w:val="auto"/>
                <w:sz w:val="24"/>
                <w:szCs w:val="32"/>
                <w:highlight w:val="none"/>
                <w:lang w:eastAsia="zh-CN"/>
              </w:rPr>
              <w:t>）</w:t>
            </w:r>
            <w:r>
              <w:rPr>
                <w:rFonts w:hint="eastAsia"/>
                <w:color w:val="auto"/>
                <w:sz w:val="24"/>
                <w:szCs w:val="32"/>
                <w:highlight w:val="none"/>
              </w:rPr>
              <w:t>管道敷设：管道敷设应在沟底标高和管道基础质量检查合格后进行，在敷设管道前要对管材、管件等重新做一次外观检查，发现有问题的管材、管件均不得采用；开挖管槽时，要求沟槽底部平整，密实，无尖锐物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lang w:eastAsia="zh-CN"/>
              </w:rPr>
            </w:pPr>
            <w:r>
              <w:rPr>
                <w:rFonts w:hint="eastAsia"/>
                <w:color w:val="auto"/>
                <w:sz w:val="24"/>
                <w:szCs w:val="24"/>
                <w:highlight w:val="none"/>
                <w:lang w:eastAsia="zh-CN"/>
              </w:rPr>
              <w:t>本工程管道敷设尽可能沿地表布置，对无交通要求的区域，即非机动车道敷设的管段，管顶覆土0.8～1.1米，在机动车道下敷设，管顶覆土1～1.2米，在横穿道路时，宜适当加大管道埋深，并做铪保护层。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32"/>
                <w:highlight w:val="none"/>
                <w:lang w:eastAsia="zh-CN"/>
              </w:rPr>
              <w:t>（</w:t>
            </w:r>
            <w:r>
              <w:rPr>
                <w:rFonts w:hint="eastAsia"/>
                <w:color w:val="auto"/>
                <w:sz w:val="24"/>
                <w:szCs w:val="32"/>
                <w:highlight w:val="none"/>
                <w:lang w:val="en-US" w:eastAsia="zh-CN"/>
              </w:rPr>
              <w:t>4</w:t>
            </w:r>
            <w:r>
              <w:rPr>
                <w:rFonts w:hint="eastAsia"/>
                <w:color w:val="auto"/>
                <w:sz w:val="24"/>
                <w:szCs w:val="32"/>
                <w:highlight w:val="none"/>
                <w:lang w:eastAsia="zh-CN"/>
              </w:rPr>
              <w:t>）</w:t>
            </w:r>
            <w:r>
              <w:rPr>
                <w:rFonts w:hint="eastAsia"/>
                <w:color w:val="auto"/>
                <w:sz w:val="24"/>
                <w:szCs w:val="32"/>
                <w:highlight w:val="none"/>
              </w:rPr>
              <w:t>闭水试验：管道灌水应从下游缓慢灌入。灌入时，在试验管段的上游管顶及管段中的突起点应设排气阀；对系统缓慢升压至工作压力后，停止加压，稳压两小时。当压降达到0.02Mpa时，对管道进行补水以维持内压。检查管道及所有的接头、附配件等是否有渗漏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32"/>
                <w:highlight w:val="none"/>
                <w:lang w:eastAsia="zh-CN"/>
              </w:rPr>
              <w:t>（</w:t>
            </w:r>
            <w:r>
              <w:rPr>
                <w:rFonts w:hint="eastAsia"/>
                <w:color w:val="auto"/>
                <w:sz w:val="24"/>
                <w:szCs w:val="32"/>
                <w:highlight w:val="none"/>
                <w:lang w:val="en-US" w:eastAsia="zh-CN"/>
              </w:rPr>
              <w:t>5</w:t>
            </w:r>
            <w:r>
              <w:rPr>
                <w:rFonts w:hint="eastAsia"/>
                <w:color w:val="auto"/>
                <w:sz w:val="24"/>
                <w:szCs w:val="32"/>
                <w:highlight w:val="none"/>
                <w:lang w:eastAsia="zh-CN"/>
              </w:rPr>
              <w:t>）</w:t>
            </w:r>
            <w:r>
              <w:rPr>
                <w:rFonts w:hint="eastAsia"/>
                <w:color w:val="auto"/>
                <w:sz w:val="24"/>
                <w:szCs w:val="32"/>
                <w:highlight w:val="none"/>
              </w:rPr>
              <w:t>沟槽土方回填：管线闭水试验合格后，即可回填沟槽土方。填土应从场地最低处开始，有坑应先填，再水平分层整片回填碾压（或夯实）。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32"/>
                <w:highlight w:val="none"/>
              </w:rPr>
            </w:pPr>
            <w:r>
              <w:rPr>
                <w:rFonts w:hint="eastAsia"/>
                <w:color w:val="auto"/>
                <w:sz w:val="24"/>
                <w:szCs w:val="32"/>
                <w:highlight w:val="none"/>
                <w:lang w:eastAsia="zh-CN"/>
              </w:rPr>
              <w:t>（</w:t>
            </w:r>
            <w:r>
              <w:rPr>
                <w:rFonts w:hint="eastAsia"/>
                <w:color w:val="auto"/>
                <w:sz w:val="24"/>
                <w:szCs w:val="32"/>
                <w:highlight w:val="none"/>
                <w:lang w:val="en-US" w:eastAsia="zh-CN"/>
              </w:rPr>
              <w:t>6</w:t>
            </w:r>
            <w:r>
              <w:rPr>
                <w:rFonts w:hint="eastAsia"/>
                <w:color w:val="auto"/>
                <w:sz w:val="24"/>
                <w:szCs w:val="32"/>
                <w:highlight w:val="none"/>
                <w:lang w:eastAsia="zh-CN"/>
              </w:rPr>
              <w:t>）</w:t>
            </w:r>
            <w:r>
              <w:rPr>
                <w:rFonts w:hint="eastAsia"/>
                <w:color w:val="auto"/>
                <w:sz w:val="24"/>
                <w:szCs w:val="32"/>
                <w:highlight w:val="none"/>
                <w:lang w:val="en-US" w:eastAsia="zh-CN"/>
              </w:rPr>
              <w:t>路面恢复：</w:t>
            </w:r>
            <w:r>
              <w:rPr>
                <w:color w:val="auto"/>
                <w:sz w:val="24"/>
                <w:szCs w:val="32"/>
                <w:highlight w:val="none"/>
              </w:rPr>
              <w:t>管道闭水试验合格，各道工序验收完成后，沟槽应及时回填。</w:t>
            </w:r>
          </w:p>
          <w:p>
            <w:pPr>
              <w:pageBreakBefore w:val="0"/>
              <w:widowControl w:val="0"/>
              <w:shd w:val="clear"/>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在管道铺设完毕后应尽快回填，回填土中不应含有砾石及其它杂硬物体。</w:t>
            </w:r>
          </w:p>
          <w:p>
            <w:pPr>
              <w:pageBreakBefore w:val="0"/>
              <w:widowControl w:val="0"/>
              <w:shd w:val="clear"/>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管槽回填分二次进行，第一次，用砂土或符合要求的原土回填管道的两肋，捣实后再回填第二层，第二次，在管道试压合格后再大面积回填，回填时要分层夯实。管道敷设在岩石地段时，需铺设20cm-25cm厚中、粗砂垫层，遇有超挖或穿越软弱基础时，采用碎石回填，铺设20cm厚中、粗砂垫层。管道穿越一般公路均采用开槽埋管方式通过，埋管施工完工后，再按同等级公路标准恢复。</w:t>
            </w:r>
          </w:p>
          <w:p>
            <w:pPr>
              <w:pageBreakBefore w:val="0"/>
              <w:widowControl w:val="0"/>
              <w:shd w:val="clear"/>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管道在垂直和水平方向转弯处、分叉处、管道末端挡板处，以及管径截面变化处设置混凝土支墩进行保护。</w:t>
            </w:r>
          </w:p>
          <w:p>
            <w:pPr>
              <w:pageBreakBefore w:val="0"/>
              <w:widowControl w:val="0"/>
              <w:kinsoku/>
              <w:wordWrap/>
              <w:overflowPunct/>
              <w:topLinePunct w:val="0"/>
              <w:autoSpaceDE/>
              <w:autoSpaceDN/>
              <w:bidi w:val="0"/>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7</w:t>
            </w:r>
            <w:r>
              <w:rPr>
                <w:rFonts w:hint="eastAsia"/>
                <w:color w:val="auto"/>
                <w:sz w:val="24"/>
                <w:szCs w:val="24"/>
                <w:highlight w:val="none"/>
                <w:lang w:eastAsia="zh-CN"/>
              </w:rPr>
              <w:t>）</w:t>
            </w:r>
            <w:r>
              <w:rPr>
                <w:rFonts w:hint="eastAsia"/>
                <w:color w:val="auto"/>
                <w:sz w:val="24"/>
                <w:szCs w:val="24"/>
                <w:highlight w:val="none"/>
                <w:lang w:val="en-US" w:eastAsia="zh-CN"/>
              </w:rPr>
              <w:t>附属设施</w:t>
            </w:r>
          </w:p>
          <w:p>
            <w:pPr>
              <w:pageBreakBefore w:val="0"/>
              <w:widowControl w:val="0"/>
              <w:kinsoku/>
              <w:wordWrap/>
              <w:overflowPunct/>
              <w:topLinePunct w:val="0"/>
              <w:autoSpaceDE/>
              <w:autoSpaceDN/>
              <w:bidi w:val="0"/>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①排气阀</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在输水管道隆起点、水平管道过长段，设置自动排（进）气阀门，以防通水时发生气堵，并在管道检修放空或产生水锤时进入空气，保证排水畅通，避免出现负压。</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在本工程中，决定采用dn100mm快速排气阀， 共设置排气阀2个，在管道隆起点上设置。排气阀安装时，采用丁字管连接在干管上。排气阀安装在管道外，采用哈夫节明装。</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②</w:t>
            </w:r>
            <w:r>
              <w:rPr>
                <w:rFonts w:hint="eastAsia"/>
                <w:color w:val="auto"/>
                <w:sz w:val="24"/>
                <w:szCs w:val="24"/>
                <w:highlight w:val="none"/>
                <w:lang w:eastAsia="zh-CN"/>
              </w:rPr>
              <w:t>泄水阀</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为排除管道中的沉淀物，减少水质污染或放空管道进行检修，在管线低凹处及阀门间管段的低处设置泄水阀井，根据工程的需要设置泄水阀，视地形情况，将水直接就近排入雨水管或河道内。泄水阀及排水管的直径按规定的放空时间计算确定，本工程中泄水阀的直径确定为dn315mm。</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③</w:t>
            </w:r>
            <w:r>
              <w:rPr>
                <w:rFonts w:hint="eastAsia"/>
                <w:color w:val="auto"/>
                <w:sz w:val="24"/>
                <w:szCs w:val="24"/>
                <w:highlight w:val="none"/>
                <w:lang w:eastAsia="zh-CN"/>
              </w:rPr>
              <w:t>闸阀</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根据地形条件、管线转变角度较大处、管径断面变化处以及接出支管处等，均按规范要求设置闸阀3个，闸阀采用DN500蝶形闸阀。</w:t>
            </w:r>
          </w:p>
          <w:p>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④</w:t>
            </w:r>
            <w:r>
              <w:rPr>
                <w:rFonts w:hint="eastAsia"/>
                <w:color w:val="auto"/>
                <w:sz w:val="24"/>
                <w:szCs w:val="24"/>
                <w:highlight w:val="none"/>
                <w:lang w:eastAsia="zh-CN"/>
              </w:rPr>
              <w:t>管道接口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24"/>
                <w:highlight w:val="none"/>
                <w:lang w:eastAsia="zh-CN"/>
              </w:rPr>
              <w:t>管网中管材均采用</w:t>
            </w:r>
            <w:r>
              <w:rPr>
                <w:rFonts w:hint="default" w:ascii="Times New Roman" w:hAnsi="Times New Roman" w:cs="Times New Roman"/>
                <w:color w:val="auto"/>
                <w:sz w:val="24"/>
                <w:szCs w:val="24"/>
                <w:highlight w:val="none"/>
                <w:lang w:eastAsia="zh-CN"/>
              </w:rPr>
              <w:t>PE聚乙烯/PE钢丝骨架</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球墨、钢筋砼管道</w:t>
            </w:r>
            <w:r>
              <w:rPr>
                <w:rFonts w:hint="eastAsia"/>
                <w:color w:val="auto"/>
                <w:sz w:val="24"/>
                <w:szCs w:val="24"/>
                <w:highlight w:val="none"/>
                <w:lang w:eastAsia="zh-CN"/>
              </w:rPr>
              <w:t>，连接方式采用柔性热熔连接。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rFonts w:hint="eastAsia"/>
                <w:color w:val="auto"/>
                <w:sz w:val="24"/>
                <w:szCs w:val="32"/>
                <w:highlight w:val="none"/>
              </w:rPr>
              <w:t>产污环节：管网施工过程产污环节主要为施工基础开挖过程扬尘、施工人员生活污水、</w:t>
            </w:r>
            <w:r>
              <w:rPr>
                <w:rFonts w:hint="eastAsia"/>
                <w:color w:val="auto"/>
                <w:sz w:val="24"/>
                <w:szCs w:val="32"/>
                <w:highlight w:val="none"/>
                <w:lang w:val="en-US" w:eastAsia="zh-CN"/>
              </w:rPr>
              <w:t>施工机械和车辆冲洗废水、</w:t>
            </w:r>
            <w:r>
              <w:rPr>
                <w:rFonts w:hint="eastAsia"/>
                <w:color w:val="auto"/>
                <w:sz w:val="24"/>
                <w:szCs w:val="32"/>
                <w:highlight w:val="none"/>
              </w:rPr>
              <w:t>管网试压废水</w:t>
            </w:r>
            <w:r>
              <w:rPr>
                <w:rFonts w:hint="eastAsia"/>
                <w:color w:val="auto"/>
                <w:sz w:val="24"/>
                <w:szCs w:val="32"/>
                <w:highlight w:val="none"/>
                <w:lang w:eastAsia="zh-CN"/>
              </w:rPr>
              <w:t>、</w:t>
            </w:r>
            <w:r>
              <w:rPr>
                <w:rFonts w:hint="eastAsia"/>
                <w:color w:val="auto"/>
                <w:sz w:val="24"/>
                <w:szCs w:val="32"/>
                <w:highlight w:val="none"/>
              </w:rPr>
              <w:t>施工过程噪声</w:t>
            </w:r>
            <w:r>
              <w:rPr>
                <w:rFonts w:hint="eastAsia"/>
                <w:color w:val="auto"/>
                <w:sz w:val="24"/>
                <w:szCs w:val="32"/>
                <w:highlight w:val="none"/>
                <w:lang w:eastAsia="zh-CN"/>
              </w:rPr>
              <w:t>、</w:t>
            </w:r>
            <w:r>
              <w:rPr>
                <w:rFonts w:hint="eastAsia"/>
                <w:color w:val="auto"/>
                <w:sz w:val="24"/>
                <w:szCs w:val="32"/>
                <w:highlight w:val="none"/>
                <w:lang w:val="en-US" w:eastAsia="zh-CN"/>
              </w:rPr>
              <w:t>生活垃圾</w:t>
            </w:r>
            <w:r>
              <w:rPr>
                <w:rFonts w:hint="eastAsia"/>
                <w:color w:val="auto"/>
                <w:sz w:val="24"/>
                <w:szCs w:val="32"/>
                <w:highlight w:val="none"/>
              </w:rPr>
              <w:t>和多余的弃土及建筑垃圾等。</w:t>
            </w:r>
          </w:p>
          <w:p>
            <w:pPr>
              <w:numPr>
                <w:ilvl w:val="0"/>
                <w:numId w:val="7"/>
              </w:numPr>
              <w:adjustRightInd w:val="0"/>
              <w:snapToGrid w:val="0"/>
              <w:spacing w:line="360" w:lineRule="auto"/>
              <w:rPr>
                <w:b/>
                <w:color w:val="auto"/>
                <w:sz w:val="24"/>
              </w:rPr>
            </w:pPr>
            <w:r>
              <w:rPr>
                <w:b/>
                <w:color w:val="auto"/>
                <w:sz w:val="24"/>
              </w:rPr>
              <w:t>营运期工艺流程和产排污环节</w:t>
            </w:r>
          </w:p>
          <w:p>
            <w:pPr>
              <w:spacing w:line="360" w:lineRule="auto"/>
              <w:ind w:firstLine="480" w:firstLineChars="200"/>
              <w:rPr>
                <w:rFonts w:hint="eastAsia" w:ascii="Times New Roman" w:hAnsi="Times New Roman" w:eastAsia="宋体" w:cs="Times New Roman"/>
                <w:bCs/>
                <w:color w:val="auto"/>
                <w:sz w:val="24"/>
                <w:lang w:val="en-US" w:eastAsia="zh-CN"/>
              </w:rPr>
            </w:pPr>
            <w:bookmarkStart w:id="15" w:name="_Toc21037"/>
            <w:bookmarkStart w:id="16" w:name="_Toc17123"/>
            <w:bookmarkStart w:id="17" w:name="_Toc21866"/>
            <w:bookmarkStart w:id="18" w:name="_Toc10629"/>
            <w:bookmarkStart w:id="19" w:name="_Toc3861"/>
            <w:bookmarkStart w:id="20" w:name="_Toc3286"/>
            <w:bookmarkStart w:id="21" w:name="_Toc24853"/>
            <w:bookmarkStart w:id="22" w:name="_Toc30970"/>
            <w:bookmarkStart w:id="23" w:name="_Toc21732"/>
            <w:bookmarkStart w:id="24" w:name="_Toc26275"/>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rPr>
              <w:t>工艺方案</w:t>
            </w:r>
            <w:bookmarkEnd w:id="15"/>
            <w:bookmarkEnd w:id="16"/>
            <w:bookmarkEnd w:id="17"/>
            <w:bookmarkEnd w:id="18"/>
            <w:bookmarkEnd w:id="19"/>
            <w:bookmarkEnd w:id="20"/>
            <w:bookmarkEnd w:id="21"/>
            <w:bookmarkEnd w:id="22"/>
            <w:bookmarkEnd w:id="23"/>
            <w:bookmarkEnd w:id="24"/>
            <w:r>
              <w:rPr>
                <w:rFonts w:hint="eastAsia" w:ascii="Times New Roman" w:hAnsi="Times New Roman" w:eastAsia="宋体" w:cs="Times New Roman"/>
                <w:bCs/>
                <w:color w:val="auto"/>
                <w:sz w:val="24"/>
                <w:lang w:val="en-US" w:eastAsia="zh-CN"/>
              </w:rPr>
              <w:t>比选</w:t>
            </w:r>
          </w:p>
          <w:p>
            <w:pPr>
              <w:pStyle w:val="74"/>
              <w:keepNext w:val="0"/>
              <w:keepLines w:val="0"/>
              <w:pageBreakBefore w:val="0"/>
              <w:widowControl w:val="0"/>
              <w:kinsoku/>
              <w:wordWrap/>
              <w:overflowPunct w:val="0"/>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napToGrid/>
                <w:color w:val="auto"/>
                <w:spacing w:val="0"/>
                <w:w w:val="100"/>
                <w:kern w:val="21"/>
                <w:position w:val="0"/>
                <w:lang w:val="en-US" w:eastAsia="zh-CN"/>
              </w:rPr>
            </w:pP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hAnsi="Times New Roman" w:eastAsia="宋体" w:cs="Times New Roman"/>
                <w:snapToGrid/>
                <w:color w:val="auto"/>
                <w:spacing w:val="0"/>
                <w:w w:val="100"/>
                <w:kern w:val="21"/>
                <w:position w:val="0"/>
                <w:lang w:val="en-US" w:eastAsia="zh-CN"/>
              </w:rPr>
              <w:t>1</w:t>
            </w: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hAnsi="Times New Roman" w:eastAsia="宋体" w:cs="Times New Roman"/>
                <w:snapToGrid/>
                <w:color w:val="auto"/>
                <w:spacing w:val="0"/>
                <w:w w:val="100"/>
                <w:kern w:val="21"/>
                <w:position w:val="0"/>
                <w:lang w:val="en-US" w:eastAsia="zh-CN"/>
              </w:rPr>
              <w:t>乌木滩水库水质情况</w:t>
            </w:r>
          </w:p>
          <w:p>
            <w:pPr>
              <w:pStyle w:val="74"/>
              <w:keepNext w:val="0"/>
              <w:keepLines w:val="0"/>
              <w:pageBreakBefore w:val="0"/>
              <w:widowControl w:val="0"/>
              <w:kinsoku/>
              <w:wordWrap/>
              <w:overflowPunct w:val="0"/>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eastAsia="宋体" w:cs="Times New Roman"/>
                <w:color w:val="auto"/>
                <w:sz w:val="24"/>
                <w:lang w:val="en-US" w:eastAsia="zh-CN"/>
              </w:rPr>
            </w:pPr>
            <w:r>
              <w:rPr>
                <w:rFonts w:hint="eastAsia" w:cs="Times New Roman"/>
                <w:color w:val="auto"/>
                <w:sz w:val="24"/>
                <w:szCs w:val="24"/>
                <w:lang w:val="en-US" w:eastAsia="zh-CN" w:bidi="ar"/>
              </w:rPr>
              <w:t>根据达州市生态环境局委托四川省达州生态环境监测中心站、成都市华测检测技术有限公司对</w:t>
            </w:r>
            <w:r>
              <w:rPr>
                <w:rFonts w:hint="eastAsia" w:ascii="Times New Roman" w:hAnsi="Times New Roman" w:cs="Times New Roman"/>
                <w:color w:val="auto"/>
                <w:sz w:val="24"/>
                <w:szCs w:val="24"/>
                <w:lang w:val="en-US" w:eastAsia="zh-CN" w:bidi="ar"/>
              </w:rPr>
              <w:t>乌木滩水库水质的</w:t>
            </w:r>
            <w:r>
              <w:rPr>
                <w:rFonts w:hint="eastAsia" w:cs="Times New Roman"/>
                <w:color w:val="auto"/>
                <w:sz w:val="24"/>
                <w:szCs w:val="24"/>
                <w:lang w:val="en-US" w:eastAsia="zh-CN" w:bidi="ar"/>
              </w:rPr>
              <w:t>监测数据。</w:t>
            </w:r>
            <w:r>
              <w:rPr>
                <w:rFonts w:hint="eastAsia" w:ascii="Times New Roman" w:cs="Times New Roman"/>
                <w:snapToGrid/>
                <w:color w:val="auto"/>
                <w:spacing w:val="0"/>
                <w:w w:val="100"/>
                <w:kern w:val="21"/>
                <w:position w:val="0"/>
                <w:lang w:val="en-US" w:eastAsia="zh-CN"/>
              </w:rPr>
              <w:t>2023年1月15日乌木滩</w:t>
            </w:r>
            <w:r>
              <w:rPr>
                <w:rFonts w:hint="eastAsia" w:ascii="Times New Roman" w:hAnsi="Times New Roman" w:eastAsia="宋体" w:cs="Times New Roman"/>
                <w:snapToGrid/>
                <w:color w:val="auto"/>
                <w:spacing w:val="0"/>
                <w:w w:val="100"/>
                <w:kern w:val="21"/>
                <w:position w:val="0"/>
                <w:lang w:val="en-US" w:eastAsia="zh-CN"/>
              </w:rPr>
              <w:t>水库</w:t>
            </w:r>
            <w:r>
              <w:rPr>
                <w:rFonts w:hint="eastAsia" w:ascii="Times New Roman" w:cs="Times New Roman"/>
                <w:snapToGrid/>
                <w:color w:val="auto"/>
                <w:spacing w:val="0"/>
                <w:w w:val="100"/>
                <w:kern w:val="21"/>
                <w:position w:val="0"/>
                <w:lang w:val="en-US" w:eastAsia="zh-CN"/>
              </w:rPr>
              <w:t>水质</w:t>
            </w:r>
            <w:r>
              <w:rPr>
                <w:rFonts w:hint="eastAsia" w:ascii="Times New Roman" w:hAnsi="Times New Roman" w:eastAsia="宋体" w:cs="Times New Roman"/>
                <w:snapToGrid/>
                <w:color w:val="auto"/>
                <w:spacing w:val="0"/>
                <w:w w:val="100"/>
                <w:kern w:val="21"/>
                <w:position w:val="0"/>
                <w:lang w:eastAsia="zh-CN"/>
              </w:rPr>
              <w:t>不能满足《</w:t>
            </w:r>
            <w:r>
              <w:rPr>
                <w:rFonts w:hint="eastAsia" w:ascii="Times New Roman" w:hAnsi="Times New Roman" w:eastAsia="宋体" w:cs="Times New Roman"/>
                <w:snapToGrid/>
                <w:color w:val="auto"/>
                <w:spacing w:val="0"/>
                <w:w w:val="100"/>
                <w:kern w:val="21"/>
                <w:position w:val="0"/>
              </w:rPr>
              <w:t>地</w:t>
            </w:r>
            <w:r>
              <w:rPr>
                <w:rFonts w:hint="eastAsia" w:ascii="Times New Roman" w:hAnsi="Times New Roman" w:eastAsia="宋体" w:cs="Times New Roman"/>
                <w:snapToGrid/>
                <w:color w:val="auto"/>
                <w:spacing w:val="0"/>
                <w:w w:val="100"/>
                <w:kern w:val="21"/>
                <w:position w:val="0"/>
                <w:lang w:eastAsia="zh-CN"/>
              </w:rPr>
              <w:t>表</w:t>
            </w:r>
            <w:r>
              <w:rPr>
                <w:rFonts w:hint="eastAsia" w:ascii="Times New Roman" w:hAnsi="Times New Roman" w:eastAsia="宋体" w:cs="Times New Roman"/>
                <w:snapToGrid/>
                <w:color w:val="auto"/>
                <w:spacing w:val="0"/>
                <w:w w:val="100"/>
                <w:kern w:val="21"/>
                <w:position w:val="0"/>
              </w:rPr>
              <w:t>水</w:t>
            </w:r>
            <w:r>
              <w:rPr>
                <w:rFonts w:hint="eastAsia" w:ascii="Times New Roman" w:hAnsi="Times New Roman" w:eastAsia="宋体" w:cs="Times New Roman"/>
                <w:snapToGrid/>
                <w:color w:val="auto"/>
                <w:spacing w:val="0"/>
                <w:w w:val="100"/>
                <w:kern w:val="21"/>
                <w:position w:val="0"/>
                <w:lang w:eastAsia="zh-CN"/>
              </w:rPr>
              <w:t>环境</w:t>
            </w:r>
            <w:r>
              <w:rPr>
                <w:rFonts w:hint="eastAsia" w:ascii="Times New Roman" w:hAnsi="Times New Roman" w:eastAsia="宋体" w:cs="Times New Roman"/>
                <w:snapToGrid/>
                <w:color w:val="auto"/>
                <w:spacing w:val="0"/>
                <w:w w:val="100"/>
                <w:kern w:val="21"/>
                <w:position w:val="0"/>
              </w:rPr>
              <w:t>质量标准》（GB</w:t>
            </w:r>
            <w:r>
              <w:rPr>
                <w:rFonts w:hint="eastAsia" w:ascii="Times New Roman" w:hAnsi="Times New Roman" w:eastAsia="宋体" w:cs="Times New Roman"/>
                <w:snapToGrid/>
                <w:color w:val="auto"/>
                <w:spacing w:val="0"/>
                <w:w w:val="100"/>
                <w:kern w:val="21"/>
                <w:position w:val="0"/>
                <w:lang w:val="en-US" w:eastAsia="zh-CN"/>
              </w:rPr>
              <w:t>3838</w:t>
            </w:r>
            <w:r>
              <w:rPr>
                <w:rFonts w:hint="eastAsia" w:ascii="Times New Roman" w:hAnsi="Times New Roman" w:eastAsia="宋体" w:cs="Times New Roman"/>
                <w:snapToGrid/>
                <w:color w:val="auto"/>
                <w:spacing w:val="0"/>
                <w:w w:val="100"/>
                <w:kern w:val="21"/>
                <w:position w:val="0"/>
              </w:rPr>
              <w:t>-20</w:t>
            </w:r>
            <w:r>
              <w:rPr>
                <w:rFonts w:hint="eastAsia" w:ascii="Times New Roman" w:hAnsi="Times New Roman" w:eastAsia="宋体" w:cs="Times New Roman"/>
                <w:snapToGrid/>
                <w:color w:val="auto"/>
                <w:spacing w:val="0"/>
                <w:w w:val="100"/>
                <w:kern w:val="21"/>
                <w:position w:val="0"/>
                <w:lang w:val="en-US" w:eastAsia="zh-CN"/>
              </w:rPr>
              <w:t>02</w:t>
            </w:r>
            <w:r>
              <w:rPr>
                <w:rFonts w:hint="eastAsia" w:ascii="Times New Roman" w:hAnsi="Times New Roman" w:eastAsia="宋体" w:cs="Times New Roman"/>
                <w:snapToGrid/>
                <w:color w:val="auto"/>
                <w:spacing w:val="0"/>
                <w:w w:val="100"/>
                <w:kern w:val="21"/>
                <w:position w:val="0"/>
              </w:rPr>
              <w:t>）Ⅲ类水质标准</w:t>
            </w: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cs="Times New Roman"/>
                <w:snapToGrid/>
                <w:color w:val="auto"/>
                <w:spacing w:val="0"/>
                <w:w w:val="100"/>
                <w:kern w:val="21"/>
                <w:position w:val="0"/>
                <w:lang w:val="en-US" w:eastAsia="zh-CN"/>
              </w:rPr>
              <w:t>其中超标因子包括氨氮、总氮（参考指标）、总磷、硫酸盐、锰，超标倍数分别为锰超标2.82倍、氨氮超标0.8倍、总磷超标0.2倍、硫酸盐超标0.184倍；参考指标总氮超标0.84倍，超标原因主要要是</w:t>
            </w:r>
            <w:r>
              <w:rPr>
                <w:rFonts w:hint="eastAsia" w:ascii="Times New Roman" w:hAnsi="Times New Roman" w:eastAsia="宋体" w:cs="Times New Roman"/>
                <w:color w:val="auto"/>
                <w:sz w:val="24"/>
                <w:lang w:val="en-US" w:eastAsia="zh-CN"/>
              </w:rPr>
              <w:t>大竹县遭遇了罕见旱情，乌木滩水库因水位降低、气温骤变等原因，库底沉积物上扬，</w:t>
            </w:r>
            <w:r>
              <w:rPr>
                <w:rFonts w:hint="eastAsia" w:ascii="Times New Roman" w:eastAsia="宋体" w:cs="Times New Roman"/>
                <w:color w:val="auto"/>
                <w:sz w:val="24"/>
                <w:lang w:val="en-US" w:eastAsia="zh-CN"/>
              </w:rPr>
              <w:t>库区</w:t>
            </w:r>
            <w:r>
              <w:rPr>
                <w:rFonts w:hint="eastAsia" w:ascii="Times New Roman" w:hAnsi="Times New Roman" w:eastAsia="宋体" w:cs="Times New Roman"/>
                <w:color w:val="auto"/>
                <w:sz w:val="24"/>
                <w:lang w:val="en-US" w:eastAsia="zh-CN"/>
              </w:rPr>
              <w:t>水质受到影响</w:t>
            </w:r>
            <w:r>
              <w:rPr>
                <w:rFonts w:hint="eastAsia" w:asci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zh-CN"/>
              </w:rPr>
            </w:pPr>
            <w:r>
              <w:rPr>
                <w:rFonts w:hint="eastAsia"/>
                <w:color w:val="auto"/>
                <w:sz w:val="24"/>
                <w:szCs w:val="24"/>
                <w:lang w:val="en-US" w:eastAsia="zh-CN"/>
              </w:rPr>
              <w:t>参考</w:t>
            </w:r>
            <w:r>
              <w:rPr>
                <w:rFonts w:hint="eastAsia"/>
                <w:color w:val="auto"/>
                <w:sz w:val="24"/>
                <w:szCs w:val="24"/>
                <w:lang w:val="zh-CN"/>
              </w:rPr>
              <w:t>《生活饮用水卫生标准》（GB5749-2006）是国家颁布的标准，它规定了城乡集中式生活饮用水的水源水质指标。对于符合《地面表水环境质量标准》（GB3838-2002）Ⅰ</w:t>
            </w:r>
            <w:r>
              <w:rPr>
                <w:rFonts w:hint="eastAsia"/>
                <w:color w:val="auto"/>
                <w:sz w:val="24"/>
                <w:szCs w:val="24"/>
                <w:lang w:val="en-US" w:eastAsia="zh-CN"/>
              </w:rPr>
              <w:t>类</w:t>
            </w:r>
            <w:r>
              <w:rPr>
                <w:rFonts w:hint="eastAsia"/>
                <w:color w:val="auto"/>
                <w:sz w:val="24"/>
                <w:szCs w:val="24"/>
                <w:lang w:val="zh-CN"/>
              </w:rPr>
              <w:t>水质指标的原水，水质良好，只需进行消毒处理或只作简易净化处理后就可作为生活饮用水；对于符合《地面表水环境质量标准》（GB3838-2002）中Ⅱ</w:t>
            </w:r>
            <w:r>
              <w:rPr>
                <w:rFonts w:hint="eastAsia"/>
                <w:color w:val="auto"/>
                <w:sz w:val="24"/>
                <w:szCs w:val="24"/>
                <w:lang w:val="en-US" w:eastAsia="zh-CN"/>
              </w:rPr>
              <w:t>类</w:t>
            </w:r>
            <w:r>
              <w:rPr>
                <w:rFonts w:hint="eastAsia"/>
                <w:color w:val="auto"/>
                <w:sz w:val="24"/>
                <w:szCs w:val="24"/>
                <w:lang w:val="zh-CN"/>
              </w:rPr>
              <w:t>水质指标的原水则需经过常规净化处理（如絮凝沉淀、过滤、消毒）后，就能满足《生活饮用水卫生标准》的要求，作为生活饮用水。对于</w:t>
            </w:r>
            <w:r>
              <w:rPr>
                <w:rFonts w:hint="eastAsia"/>
                <w:color w:val="auto"/>
                <w:sz w:val="24"/>
                <w:szCs w:val="24"/>
                <w:lang w:val="en-US" w:eastAsia="zh-CN"/>
              </w:rPr>
              <w:t>不</w:t>
            </w:r>
            <w:r>
              <w:rPr>
                <w:rFonts w:hint="eastAsia"/>
                <w:color w:val="auto"/>
                <w:sz w:val="24"/>
                <w:szCs w:val="24"/>
                <w:lang w:val="zh-CN"/>
              </w:rPr>
              <w:t>符合《地面表水环境质量标准》（GB3838-2002）中Ⅲ</w:t>
            </w:r>
            <w:r>
              <w:rPr>
                <w:rFonts w:hint="eastAsia"/>
                <w:color w:val="auto"/>
                <w:sz w:val="24"/>
                <w:szCs w:val="24"/>
                <w:lang w:val="en-US" w:eastAsia="zh-CN"/>
              </w:rPr>
              <w:t>类</w:t>
            </w:r>
            <w:r>
              <w:rPr>
                <w:rFonts w:hint="eastAsia"/>
                <w:color w:val="auto"/>
                <w:sz w:val="24"/>
                <w:szCs w:val="24"/>
                <w:lang w:val="zh-CN"/>
              </w:rPr>
              <w:t>水质指标</w:t>
            </w:r>
            <w:r>
              <w:rPr>
                <w:rFonts w:hint="eastAsia"/>
                <w:color w:val="auto"/>
                <w:sz w:val="24"/>
                <w:szCs w:val="24"/>
                <w:lang w:val="en-US" w:eastAsia="zh-CN"/>
              </w:rPr>
              <w:t>需进行预处理后</w:t>
            </w:r>
            <w:r>
              <w:rPr>
                <w:rFonts w:hint="eastAsia"/>
                <w:color w:val="auto"/>
                <w:sz w:val="24"/>
                <w:szCs w:val="24"/>
                <w:lang w:val="zh-CN"/>
              </w:rPr>
              <w:t>，作为生活饮用水。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zh-CN"/>
              </w:rPr>
            </w:pPr>
            <w:r>
              <w:rPr>
                <w:rFonts w:hint="eastAsia"/>
                <w:color w:val="auto"/>
                <w:sz w:val="24"/>
                <w:szCs w:val="24"/>
              </w:rPr>
              <w:t>本工程为取水水源</w:t>
            </w:r>
            <w:r>
              <w:rPr>
                <w:rFonts w:hint="eastAsia"/>
                <w:color w:val="auto"/>
                <w:sz w:val="24"/>
                <w:szCs w:val="24"/>
                <w:lang w:val="en-US" w:eastAsia="zh-CN"/>
              </w:rPr>
              <w:t>未</w:t>
            </w:r>
            <w:r>
              <w:rPr>
                <w:rFonts w:hint="eastAsia"/>
                <w:color w:val="auto"/>
                <w:sz w:val="24"/>
                <w:szCs w:val="24"/>
              </w:rPr>
              <w:t>改变</w:t>
            </w:r>
            <w:r>
              <w:rPr>
                <w:rFonts w:hint="eastAsia"/>
                <w:color w:val="auto"/>
                <w:sz w:val="24"/>
                <w:szCs w:val="24"/>
                <w:lang w:val="zh-CN"/>
              </w:rPr>
              <w:t>，</w:t>
            </w:r>
            <w:r>
              <w:rPr>
                <w:rFonts w:hint="eastAsia" w:ascii="宋体" w:hAnsi="宋体" w:eastAsia="宋体" w:cs="宋体"/>
                <w:b/>
                <w:bCs/>
                <w:i w:val="0"/>
                <w:iCs w:val="0"/>
                <w:color w:val="auto"/>
                <w:kern w:val="0"/>
                <w:sz w:val="24"/>
                <w:szCs w:val="24"/>
                <w:highlight w:val="none"/>
                <w:u w:val="none"/>
                <w:lang w:val="en-US" w:eastAsia="zh-CN" w:bidi="ar"/>
              </w:rPr>
              <w:t>锰、氨氮、总氮等超标</w:t>
            </w:r>
            <w:r>
              <w:rPr>
                <w:rFonts w:hint="eastAsia" w:ascii="宋体" w:hAnsi="宋体" w:cs="宋体"/>
                <w:color w:val="auto"/>
                <w:sz w:val="24"/>
                <w:szCs w:val="24"/>
                <w:lang w:val="en-US" w:eastAsia="zh-CN"/>
              </w:rPr>
              <w:t>需处理后</w:t>
            </w:r>
            <w:r>
              <w:rPr>
                <w:rFonts w:hint="eastAsia" w:ascii="宋体" w:hAnsi="宋体" w:cs="宋体"/>
                <w:color w:val="auto"/>
                <w:sz w:val="24"/>
                <w:szCs w:val="24"/>
                <w:lang w:val="zh-CN" w:eastAsia="zh-CN"/>
              </w:rPr>
              <w:t>符</w:t>
            </w:r>
            <w:r>
              <w:rPr>
                <w:rFonts w:hint="eastAsia"/>
                <w:color w:val="auto"/>
                <w:sz w:val="24"/>
                <w:szCs w:val="24"/>
                <w:lang w:val="zh-CN"/>
              </w:rPr>
              <w:t>合</w:t>
            </w:r>
            <w:r>
              <w:rPr>
                <w:rFonts w:hint="eastAsia"/>
                <w:color w:val="auto"/>
                <w:sz w:val="24"/>
                <w:szCs w:val="24"/>
                <w:lang w:val="en-US" w:eastAsia="zh-CN"/>
              </w:rPr>
              <w:t>饮用水源</w:t>
            </w:r>
            <w:r>
              <w:rPr>
                <w:rFonts w:hint="eastAsia"/>
                <w:color w:val="auto"/>
                <w:sz w:val="24"/>
                <w:szCs w:val="24"/>
                <w:lang w:val="zh-CN"/>
              </w:rPr>
              <w:t>标准</w:t>
            </w:r>
            <w:r>
              <w:rPr>
                <w:rFonts w:hint="eastAsia"/>
                <w:color w:val="auto"/>
                <w:sz w:val="24"/>
                <w:szCs w:val="24"/>
                <w:lang w:val="en-US" w:eastAsia="zh-CN"/>
              </w:rPr>
              <w:t>进入东柳水厂进一步处理达到</w:t>
            </w:r>
            <w:r>
              <w:rPr>
                <w:rFonts w:hint="eastAsia"/>
                <w:color w:val="auto"/>
                <w:sz w:val="24"/>
                <w:szCs w:val="24"/>
                <w:lang w:val="zh-CN"/>
              </w:rPr>
              <w:t>《生活饮用水卫生标准》（GB5749-2006）</w:t>
            </w:r>
            <w:r>
              <w:rPr>
                <w:rFonts w:hint="eastAsia"/>
                <w:color w:val="auto"/>
                <w:sz w:val="24"/>
                <w:szCs w:val="24"/>
                <w:lang w:val="en-US" w:eastAsia="zh-CN"/>
              </w:rPr>
              <w:t>标准后向居民供水</w:t>
            </w:r>
            <w:r>
              <w:rPr>
                <w:rFonts w:hint="eastAsia"/>
                <w:color w:val="auto"/>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25" w:name="_Toc7005"/>
            <w:bookmarkStart w:id="26" w:name="_Toc2814"/>
            <w:r>
              <w:rPr>
                <w:rFonts w:hint="eastAsia" w:ascii="Times New Roman" w:hAnsi="Times New Roman" w:eastAsia="宋体" w:cs="Times New Roman"/>
                <w:color w:val="auto"/>
                <w:sz w:val="24"/>
                <w:szCs w:val="24"/>
                <w:lang w:val="en-US" w:eastAsia="zh-CN"/>
              </w:rPr>
              <w:t>（2）净化工艺</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乌木滩水库原水深度处理工程</w:t>
            </w:r>
            <w:r>
              <w:rPr>
                <w:rFonts w:hint="default" w:ascii="Times New Roman" w:hAnsi="Times New Roman" w:eastAsia="宋体" w:cs="Times New Roman"/>
                <w:color w:val="auto"/>
                <w:sz w:val="24"/>
                <w:szCs w:val="24"/>
                <w:lang w:val="en-US" w:eastAsia="zh-CN"/>
              </w:rPr>
              <w:t>处理工艺为</w:t>
            </w:r>
            <w:r>
              <w:rPr>
                <w:rFonts w:hint="eastAsia" w:ascii="Times New Roman" w:hAnsi="Times New Roman" w:eastAsia="宋体" w:cs="Times New Roman"/>
                <w:color w:val="auto"/>
                <w:sz w:val="24"/>
                <w:szCs w:val="24"/>
                <w:lang w:val="en-US" w:eastAsia="zh-CN"/>
              </w:rPr>
              <w:t>：“曝气生物反应池</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絮凝沉淀池</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虹吸反硝化滤池”</w:t>
            </w:r>
            <w:r>
              <w:rPr>
                <w:rFonts w:hint="eastAsia" w:cs="Times New Roman"/>
                <w:color w:val="auto"/>
                <w:sz w:val="24"/>
                <w:szCs w:val="24"/>
                <w:lang w:val="en-US" w:eastAsia="zh-CN"/>
              </w:rPr>
              <w:t>，工程一体化设备已</w:t>
            </w:r>
            <w:r>
              <w:rPr>
                <w:rFonts w:hint="eastAsia" w:ascii="Times New Roman" w:hAnsi="Times New Roman" w:eastAsia="宋体" w:cs="Times New Roman"/>
                <w:color w:val="auto"/>
                <w:sz w:val="24"/>
                <w:lang w:val="en-US" w:eastAsia="zh-CN"/>
              </w:rPr>
              <w:t>由大竹县宜美生态环保工程有限公司</w:t>
            </w:r>
            <w:r>
              <w:rPr>
                <w:rFonts w:hint="eastAsia" w:cs="Times New Roman"/>
                <w:color w:val="auto"/>
                <w:sz w:val="24"/>
                <w:lang w:val="en-US" w:eastAsia="zh-CN"/>
              </w:rPr>
              <w:t>建设完毕</w:t>
            </w:r>
            <w:r>
              <w:rPr>
                <w:rFonts w:hint="eastAsia" w:ascii="Times New Roman" w:hAnsi="Times New Roman" w:eastAsia="宋体" w:cs="Times New Roman"/>
                <w:color w:val="auto"/>
                <w:sz w:val="24"/>
                <w:lang w:val="en-US" w:eastAsia="zh-CN"/>
              </w:rPr>
              <w:t>，</w:t>
            </w:r>
            <w:r>
              <w:rPr>
                <w:rFonts w:hint="eastAsia"/>
                <w:color w:val="auto"/>
                <w:sz w:val="24"/>
                <w:szCs w:val="24"/>
                <w:lang w:val="en-US" w:eastAsia="zh-CN"/>
              </w:rPr>
              <w:t>本项目不涉及取水工程，</w:t>
            </w:r>
            <w:r>
              <w:rPr>
                <w:rFonts w:hint="eastAsia" w:cs="Times New Roman"/>
                <w:color w:val="auto"/>
                <w:sz w:val="24"/>
                <w:lang w:val="en-US" w:eastAsia="zh-CN"/>
              </w:rPr>
              <w:t>项目</w:t>
            </w:r>
            <w:r>
              <w:rPr>
                <w:rFonts w:hint="eastAsia" w:ascii="Times New Roman" w:hAnsi="Times New Roman" w:eastAsia="宋体" w:cs="Times New Roman"/>
                <w:color w:val="auto"/>
                <w:sz w:val="24"/>
                <w:szCs w:val="24"/>
                <w:lang w:val="en-US" w:eastAsia="zh-CN"/>
              </w:rPr>
              <w:t>具体工艺流程</w:t>
            </w:r>
            <w:r>
              <w:rPr>
                <w:rFonts w:hint="eastAsia" w:cs="Times New Roman"/>
                <w:color w:val="auto"/>
                <w:sz w:val="24"/>
                <w:szCs w:val="24"/>
                <w:lang w:val="en-US" w:eastAsia="zh-CN"/>
              </w:rPr>
              <w:t>简述</w:t>
            </w:r>
            <w:r>
              <w:rPr>
                <w:rFonts w:hint="eastAsia" w:ascii="Times New Roman" w:hAnsi="Times New Roman" w:eastAsia="宋体" w:cs="Times New Roman"/>
                <w:color w:val="auto"/>
                <w:sz w:val="24"/>
                <w:szCs w:val="24"/>
                <w:lang w:val="en-US" w:eastAsia="zh-CN"/>
              </w:rPr>
              <w:t>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lang w:eastAsia="zh-CN"/>
              </w:rPr>
              <w:t>乌木滩水库水源</w:t>
            </w:r>
            <w:r>
              <w:rPr>
                <w:rFonts w:hint="eastAsia"/>
                <w:color w:val="auto"/>
                <w:sz w:val="24"/>
                <w:szCs w:val="24"/>
                <w:lang w:val="en-US" w:eastAsia="zh-CN"/>
              </w:rPr>
              <w:t>经提升至东柳水厂本次从原水厂进水管进入，自流进入本次新建生物曝气反应池，经投加生物酶促进剂、生物酶强化剂鼓风机曝气经投加菌种生长、繁殖利用降解COD、BOD、氨氮等，出水进入混凝反应池，</w:t>
            </w:r>
            <w:r>
              <w:rPr>
                <w:rFonts w:hint="eastAsia"/>
                <w:color w:val="auto"/>
                <w:sz w:val="24"/>
                <w:szCs w:val="24"/>
              </w:rPr>
              <w:t>为有效保证Fe</w:t>
            </w:r>
            <w:r>
              <w:rPr>
                <w:rFonts w:hint="eastAsia"/>
                <w:color w:val="auto"/>
                <w:sz w:val="24"/>
                <w:szCs w:val="24"/>
                <w:vertAlign w:val="superscript"/>
              </w:rPr>
              <w:t>2+</w:t>
            </w:r>
            <w:r>
              <w:rPr>
                <w:rFonts w:hint="eastAsia"/>
                <w:color w:val="auto"/>
                <w:sz w:val="24"/>
                <w:szCs w:val="24"/>
                <w:lang w:eastAsia="zh-CN"/>
              </w:rPr>
              <w:t>、</w:t>
            </w:r>
            <w:r>
              <w:rPr>
                <w:rFonts w:hint="eastAsia"/>
                <w:color w:val="auto"/>
                <w:sz w:val="24"/>
                <w:szCs w:val="24"/>
              </w:rPr>
              <w:t>Mn</w:t>
            </w:r>
            <w:r>
              <w:rPr>
                <w:rFonts w:hint="eastAsia"/>
                <w:color w:val="auto"/>
                <w:sz w:val="24"/>
                <w:szCs w:val="24"/>
                <w:vertAlign w:val="superscript"/>
              </w:rPr>
              <w:t>2+</w:t>
            </w:r>
            <w:r>
              <w:rPr>
                <w:rFonts w:hint="eastAsia"/>
                <w:color w:val="auto"/>
                <w:sz w:val="24"/>
                <w:szCs w:val="24"/>
              </w:rPr>
              <w:t>氧化反应，工艺设计投加</w:t>
            </w:r>
            <w:r>
              <w:rPr>
                <w:rFonts w:hint="eastAsia"/>
                <w:color w:val="auto"/>
                <w:sz w:val="24"/>
                <w:szCs w:val="24"/>
                <w:lang w:val="en-US" w:eastAsia="zh-CN"/>
              </w:rPr>
              <w:t>双氧水</w:t>
            </w:r>
            <w:r>
              <w:rPr>
                <w:rFonts w:hint="eastAsia"/>
                <w:color w:val="auto"/>
                <w:sz w:val="24"/>
                <w:szCs w:val="24"/>
                <w:vertAlign w:val="baseline"/>
                <w:lang w:eastAsia="zh-CN"/>
              </w:rPr>
              <w:t>、</w:t>
            </w:r>
            <w:r>
              <w:rPr>
                <w:rFonts w:hint="eastAsia"/>
                <w:color w:val="auto"/>
                <w:sz w:val="24"/>
                <w:szCs w:val="24"/>
                <w:vertAlign w:val="baseline"/>
                <w:lang w:val="en-US" w:eastAsia="zh-CN"/>
              </w:rPr>
              <w:t>次氯酸钠溶液</w:t>
            </w:r>
            <w:r>
              <w:rPr>
                <w:rFonts w:hint="eastAsia"/>
                <w:color w:val="auto"/>
                <w:sz w:val="24"/>
                <w:szCs w:val="24"/>
              </w:rPr>
              <w:t>，加快氧化还原反应，提高Fe</w:t>
            </w:r>
            <w:r>
              <w:rPr>
                <w:rFonts w:hint="eastAsia"/>
                <w:color w:val="auto"/>
                <w:sz w:val="24"/>
                <w:szCs w:val="24"/>
                <w:vertAlign w:val="superscript"/>
              </w:rPr>
              <w:t>2+</w:t>
            </w:r>
            <w:r>
              <w:rPr>
                <w:rFonts w:hint="eastAsia"/>
                <w:color w:val="auto"/>
                <w:sz w:val="24"/>
                <w:szCs w:val="24"/>
                <w:lang w:eastAsia="zh-CN"/>
              </w:rPr>
              <w:t>、</w:t>
            </w:r>
            <w:r>
              <w:rPr>
                <w:rFonts w:hint="eastAsia"/>
                <w:color w:val="auto"/>
                <w:sz w:val="24"/>
                <w:szCs w:val="24"/>
              </w:rPr>
              <w:t>Mn</w:t>
            </w:r>
            <w:r>
              <w:rPr>
                <w:rFonts w:hint="eastAsia"/>
                <w:color w:val="auto"/>
                <w:sz w:val="24"/>
                <w:szCs w:val="24"/>
                <w:vertAlign w:val="superscript"/>
              </w:rPr>
              <w:t>2+</w:t>
            </w:r>
            <w:r>
              <w:rPr>
                <w:rFonts w:hint="eastAsia"/>
                <w:color w:val="auto"/>
                <w:sz w:val="24"/>
                <w:szCs w:val="24"/>
              </w:rPr>
              <w:t>离的去除率，</w:t>
            </w:r>
            <w:r>
              <w:rPr>
                <w:rFonts w:hint="eastAsia"/>
                <w:color w:val="auto"/>
                <w:sz w:val="24"/>
                <w:szCs w:val="24"/>
                <w:lang w:val="en-US" w:eastAsia="zh-CN"/>
              </w:rPr>
              <w:t>投加PAM经搅拌器混合反应形成絮体后混合液进入虹吸反硝化滤池进行过滤截留絮体去除锰离子，利用滤料附着反硝化细菌降解硝态氮生成氮气排除系统进而去除总氮</w:t>
            </w:r>
            <w:r>
              <w:rPr>
                <w:rFonts w:hint="eastAsia"/>
                <w:color w:val="auto"/>
                <w:sz w:val="24"/>
                <w:szCs w:val="24"/>
              </w:rPr>
              <w:t>，出水达排放标准</w:t>
            </w:r>
            <w:r>
              <w:rPr>
                <w:rFonts w:hint="eastAsia"/>
                <w:color w:val="auto"/>
                <w:sz w:val="24"/>
                <w:szCs w:val="24"/>
                <w:lang w:val="en-US" w:eastAsia="zh-CN"/>
              </w:rPr>
              <w:t>后进入清水外排池利用泵将处理合格的水源输送道东柳水厂进一步处理后并严格消毒后向居民供水</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17632" behindDoc="0" locked="0" layoutInCell="1" allowOverlap="1">
                      <wp:simplePos x="0" y="0"/>
                      <wp:positionH relativeFrom="column">
                        <wp:posOffset>1836420</wp:posOffset>
                      </wp:positionH>
                      <wp:positionV relativeFrom="paragraph">
                        <wp:posOffset>87630</wp:posOffset>
                      </wp:positionV>
                      <wp:extent cx="1609725" cy="305435"/>
                      <wp:effectExtent l="4445" t="4445" r="11430" b="7620"/>
                      <wp:wrapNone/>
                      <wp:docPr id="124" name="矩形 124"/>
                      <wp:cNvGraphicFramePr/>
                      <a:graphic xmlns:a="http://schemas.openxmlformats.org/drawingml/2006/main">
                        <a:graphicData uri="http://schemas.microsoft.com/office/word/2010/wordprocessingShape">
                          <wps:wsp>
                            <wps:cNvSpPr/>
                            <wps:spPr>
                              <a:xfrm>
                                <a:off x="0" y="0"/>
                                <a:ext cx="1609725" cy="305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lang w:val="en-US"/>
                                    </w:rPr>
                                  </w:pPr>
                                  <w:r>
                                    <w:rPr>
                                      <w:rFonts w:hint="eastAsia"/>
                                      <w:lang w:val="en-US" w:eastAsia="zh-CN"/>
                                    </w:rPr>
                                    <w:t>东柳水厂原输水管道</w:t>
                                  </w:r>
                                </w:p>
                              </w:txbxContent>
                            </wps:txbx>
                            <wps:bodyPr upright="1"/>
                          </wps:wsp>
                        </a:graphicData>
                      </a:graphic>
                    </wp:anchor>
                  </w:drawing>
                </mc:Choice>
                <mc:Fallback>
                  <w:pict>
                    <v:rect id="_x0000_s1026" o:spid="_x0000_s1026" o:spt="1" style="position:absolute;left:0pt;margin-left:144.6pt;margin-top:6.9pt;height:24.05pt;width:126.75pt;z-index:251717632;mso-width-relative:page;mso-height-relative:page;" fillcolor="#FFFFFF" filled="t" stroked="t" coordsize="21600,21600" o:gfxdata="UEsDBAoAAAAAAIdO4kAAAAAAAAAAAAAAAAAEAAAAZHJzL1BLAwQUAAAACACHTuJACdc7rtgAAAAJ&#10;AQAADwAAAGRycy9kb3ducmV2LnhtbE2PMU/DMBCFdyT+g3VIbNSOC6VJ43QAFYmxTRc2Jz6SlNiO&#10;YqcN/HqOqYyn9+nd9/LtbHt2xjF03ilIFgIYutqbzjUKjuXuYQ0sRO2M7r1DBd8YYFvc3uQ6M/7i&#10;9ng+xIZRiQuZVtDGOGSch7pFq8PCD+go+/Sj1ZHOseFm1Bcqtz2XQqy41Z2jD60e8KXF+uswWQVV&#10;J4/6Z1++CZvulvF9Lk/Tx6tS93eJ2ACLOMcrDH/6pA4FOVV+ciawXoFcp5JQCpY0gYCnR/kMrFKw&#10;SlLgRc7/Lyh+AVBLAwQUAAAACACHTuJAT8g5ZOgBAADfAwAADgAAAGRycy9lMm9Eb2MueG1srVPN&#10;bhMxEL4j8Q6W73Q3aVPoKpseCOGCoFLLA0xs764l/2nsZjdPg8SNh+BxEK/B2AlpCxwQYg/eGc/4&#10;8zffjJfXkzVspzBq71o+O6s5U054qV3f8o93mxevOIsJnATjnWr5XkV+vXr+bDmGRs394I1UyAjE&#10;xWYMLR9SCk1VRTEoC/HMB+Uo2Hm0kMjFvpIII6FbU83r+rIaPcqAXqgYaXd9CPJVwe86JdKHrosq&#10;MdNy4pbKimXd5rVaLaHpEcKgxZEG/AMLC9rRpSeoNSRg96h/g7JaoI++S2fC28p3nRaq1EDVzOpf&#10;qrkdIKhSC4kTw0mm+P9gxfvdDTItqXfzC84cWGrS909fvn39zPIO6TOG2FDabbjBoxfJzMVOHdr8&#10;pzLYVDTdnzRVU2KCNmeX9dXL+YIzQbHzenFxvsig1cPpgDG9Vd6ybLQcqWdFSti9i+mQ+jMlXxa9&#10;0XKjjSkO9tvXBtkOqL+b8h3Rn6QZx8aWXy0KD6Ax6wwkomQDFR5dX+57ciI+Bq7L9yfgTGwNcTgQ&#10;KAg5DRqrk8JiDQrkGydZ2geS1tEr4JmMVZIzo+jRZKtkJtDmbzJJO+NIwtyYQyuylabtRDDZ3Hq5&#10;p67eB9T9QJLOCvUcoSkq2h8nPo/pY7+APrzL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1zuu&#10;2AAAAAkBAAAPAAAAAAAAAAEAIAAAACIAAABkcnMvZG93bnJldi54bWxQSwECFAAUAAAACACHTuJA&#10;T8g5ZOgBAADfAwAADgAAAAAAAAABACAAAAAnAQAAZHJzL2Uyb0RvYy54bWxQSwUGAAAAAAYABgBZ&#10;AQAAgQUAAAAA&#10;">
                      <v:fill on="t" focussize="0,0"/>
                      <v:stroke color="#000000" joinstyle="miter"/>
                      <v:imagedata o:title=""/>
                      <o:lock v:ext="edit" aspectratio="f"/>
                      <v:textbox>
                        <w:txbxContent>
                          <w:p>
                            <w:pPr>
                              <w:ind w:left="0" w:leftChars="0" w:firstLine="0" w:firstLineChars="0"/>
                              <w:jc w:val="center"/>
                              <w:rPr>
                                <w:rFonts w:hint="default"/>
                                <w:lang w:val="en-US"/>
                              </w:rPr>
                            </w:pPr>
                            <w:r>
                              <w:rPr>
                                <w:rFonts w:hint="eastAsia"/>
                                <w:lang w:val="en-US" w:eastAsia="zh-CN"/>
                              </w:rPr>
                              <w:t>东柳水厂原输水管道</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18656" behindDoc="0" locked="0" layoutInCell="1" allowOverlap="1">
                      <wp:simplePos x="0" y="0"/>
                      <wp:positionH relativeFrom="column">
                        <wp:posOffset>2556510</wp:posOffset>
                      </wp:positionH>
                      <wp:positionV relativeFrom="paragraph">
                        <wp:posOffset>104775</wp:posOffset>
                      </wp:positionV>
                      <wp:extent cx="170815" cy="388620"/>
                      <wp:effectExtent l="10795" t="4445" r="21590" b="13335"/>
                      <wp:wrapNone/>
                      <wp:docPr id="1" name="下箭头 1"/>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1.3pt;margin-top:8.25pt;height:30.6pt;width:13.45pt;z-index:251718656;mso-width-relative:page;mso-height-relative:page;" fillcolor="#FFFFFF" filled="t" stroked="t" coordsize="21600,21600" o:gfxdata="UEsDBAoAAAAAAIdO4kAAAAAAAAAAAAAAAAAEAAAAZHJzL1BLAwQUAAAACACHTuJAlzQKdNsAAAAJ&#10;AQAADwAAAGRycy9kb3ducmV2LnhtbE2PsU7DMBCGdyTewTokNmonKgkNcSoo6kLVgaYD3dzYTSLi&#10;cxS7bcLTc0yw3en/9N93+XK0HbuYwbcOJUQzAcxg5XSLtYR9uX54AuaDQq06h0bCZDwsi9ubXGXa&#10;XfHDXHahZlSCPlMSmhD6jHNfNcYqP3O9QcpObrAq0DrUXA/qSuW247EQCbeqRbrQqN6sGlN97c5W&#10;wgsvy27//r2N3taH19PnZhqnzUrK+7tIPAMLZgx/MPzqkzoU5HR0Z9SedRLmIk4IpSB5BEbAPF7Q&#10;cJSQpinwIuf/Pyh+AFBLAwQUAAAACACHTuJAiNh3OwoCAAAoBAAADgAAAGRycy9lMm9Eb2MueG1s&#10;rVNLjhMxEN0jcQfLe9KdoGRClM4IEcIGwUgDB6j4023kn2xPOjkD12ALKxYcaBDXoOw0mQQ2CNEL&#10;d9kuP7/3qry83htNdiJE5WxDx6OaEmGZ48q2DX3/bvNkTklMYDloZ0VDDyLS69XjR8veL8TEdU5z&#10;EQiC2LjofUO7lPyiqiLrhIE4cl5Y3JQuGEg4DW3FA/SIbnQ1qetZ1bvAfXBMxIir6+MmXRV8KQVL&#10;b6WMIhHdUOSWyhjKuM1jtVrCog3gO8UGGvAPLAwoi5eeoNaQgNwF9QeUUSy46GQaMWcqJ6ViomhA&#10;NeP6NzW3HXhRtKA50Z9siv8Plr3Z3QSiONaOEgsGS3T/7eOPL5+/f/pKxtme3scFZt36mzDMIoZZ&#10;614Gk/+oguyLpYeTpWKfCMPF8VU9H08pYbj1dD6fTYrl1cNhH2J6JZwhOWgod719HoLri5uwex1T&#10;sZUP5IB/QKLSaKzSDjSZ1vgNVTzLmVzkzOZXVzkHrx0QMfp1cYaPTiu+UVqXSWi3L3QgCN/QTfmG&#10;wxdp2pK+oc+mk6wOsHWlhoSh8WhmtG0RcHEingNn3kfmyOUiLRNbQ+yOBMrWUaBRSYTSsJ0A/tJy&#10;kg4eC2bxZdFMxghOiRb4EHNUMhMo/TeZSEJbdChX+1jfHG0dP2B73Pmg2g6rUxqi5GA7Fj+Hp5P7&#10;/XxekB4e+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zQKdNsAAAAJAQAADwAAAAAAAAABACAA&#10;AAAiAAAAZHJzL2Rvd25yZXYueG1sUEsBAhQAFAAAAAgAh07iQIjYdzsKAgAAKAQAAA4AAAAAAAAA&#10;AQAgAAAAKgEAAGRycy9lMm9Eb2MueG1sUEsFBgAAAAAGAAYAWQEAAKYFA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16608" behindDoc="0" locked="0" layoutInCell="1" allowOverlap="1">
                      <wp:simplePos x="0" y="0"/>
                      <wp:positionH relativeFrom="column">
                        <wp:posOffset>2620645</wp:posOffset>
                      </wp:positionH>
                      <wp:positionV relativeFrom="paragraph">
                        <wp:posOffset>125730</wp:posOffset>
                      </wp:positionV>
                      <wp:extent cx="875030" cy="299085"/>
                      <wp:effectExtent l="0" t="0" r="1270" b="5715"/>
                      <wp:wrapNone/>
                      <wp:docPr id="131" name="矩形 131"/>
                      <wp:cNvGraphicFramePr/>
                      <a:graphic xmlns:a="http://schemas.openxmlformats.org/drawingml/2006/main">
                        <a:graphicData uri="http://schemas.microsoft.com/office/word/2010/wordprocessingShape">
                          <wps:wsp>
                            <wps:cNvSpPr/>
                            <wps:spPr>
                              <a:xfrm>
                                <a:off x="0" y="0"/>
                                <a:ext cx="875030" cy="299085"/>
                              </a:xfrm>
                              <a:prstGeom prst="rect">
                                <a:avLst/>
                              </a:prstGeom>
                              <a:solidFill>
                                <a:srgbClr val="FFFFFF"/>
                              </a:solidFill>
                              <a:ln>
                                <a:noFill/>
                              </a:ln>
                            </wps:spPr>
                            <wps:txbx>
                              <w:txbxContent>
                                <w:p>
                                  <w:pPr>
                                    <w:ind w:left="0" w:leftChars="0" w:firstLine="0" w:firstLineChars="0"/>
                                    <w:rPr>
                                      <w:rFonts w:hint="default" w:ascii="Times New Roman" w:hAnsi="Times New Roman" w:cs="Times New Roman"/>
                                      <w:lang w:val="en-US"/>
                                    </w:rPr>
                                  </w:pPr>
                                  <w:r>
                                    <w:rPr>
                                      <w:rFonts w:hint="default" w:ascii="Times New Roman" w:hAnsi="Times New Roman" w:cs="Times New Roman"/>
                                      <w:lang w:val="en-US" w:eastAsia="zh-CN"/>
                                    </w:rPr>
                                    <w:t>4万m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xbxContent>
                            </wps:txbx>
                            <wps:bodyPr upright="1"/>
                          </wps:wsp>
                        </a:graphicData>
                      </a:graphic>
                    </wp:anchor>
                  </w:drawing>
                </mc:Choice>
                <mc:Fallback>
                  <w:pict>
                    <v:rect id="_x0000_s1026" o:spid="_x0000_s1026" o:spt="1" style="position:absolute;left:0pt;margin-left:206.35pt;margin-top:9.9pt;height:23.55pt;width:68.9pt;z-index:251716608;mso-width-relative:page;mso-height-relative:page;" fillcolor="#FFFFFF" filled="t" stroked="f" coordsize="21600,21600" o:gfxdata="UEsDBAoAAAAAAIdO4kAAAAAAAAAAAAAAAAAEAAAAZHJzL1BLAwQUAAAACACHTuJAAH6A29cAAAAJ&#10;AQAADwAAAGRycy9kb3ducmV2LnhtbE2PMU/DMBCFdyT+g3VIbNROaQIJcTogdaIMtEis19hNIuJz&#10;iJ02/PseEx1P79O775Xr2fXiZMfQedKQLBQIS7U3HTUaPvebh2cQISIZ7D1ZDb82wLq6vSmxMP5M&#10;H/a0i43gEgoFamhjHAopQ91ah2HhB0ucHf3oMPI5NtKMeOZy18ulUpl02BF/aHGwr62tv3eT04DZ&#10;yvy8Hx+3+7cpw7yZ1Sb9Ulrf3yXqBUS0c/yH4U+f1aFip4OfyATRa1glyydGOch5AgNpqlIQBw1Z&#10;loOsSnm9oLoAUEsDBBQAAAAIAIdO4kCLRflzmgEAAB8DAAAOAAAAZHJzL2Uyb0RvYy54bWytUktu&#10;2zAQ3QfIHQjuY8oOkjiC5SwSOJsiDZD0ADRFSgT4w5Cx5NMU6K6H6HGCXqNDWnX62QXRYjQ/Ps57&#10;w9XNaA3ZSYjau4bOZxUl0gnfatc19Mvz5mxJSUzctdx4Jxu6l5HerE9PVkOo5cL33rQSCIK4WA+h&#10;oX1KoWYsil5aHmc+SIdF5cHyhCF0rAU+ILo1bFFVl2zw0AbwQsaI2btDka4LvlJSpM9KRZmIaSjO&#10;loqFYrfZsvWK1x3w0GsxjcHfMYXl2uGlR6g7njh5Af0flNUCfPQqzYS3zCulhSwckM28+ofNU8+D&#10;LFxQnBiOMsWPgxUPu0cgusXdnc8pcdzikn5+/f764xvJGdRnCLHGtqfwCFMU0c1kRwU2/5EGGYum&#10;+6OmckxEYHJ5dVGdo/ICS4vr62p5kTHZ2+EAMd1Lb0l2Ggq4sqIk332K6dD6uyXfFb3R7UYbUwLo&#10;trcGyI7jejflm9D/ajMuNzufjx0Qc4ZlYgcq2Uvjdpz4bX27R1VeAuiux5mKDKUdt1CGn15MXvOf&#10;cQF9e9f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B+gNvXAAAACQEAAA8AAAAAAAAAAQAgAAAA&#10;IgAAAGRycy9kb3ducmV2LnhtbFBLAQIUABQAAAAIAIdO4kCLRflzmgEAAB8DAAAOAAAAAAAAAAEA&#10;IAAAACYBAABkcnMvZTJvRG9jLnhtbFBLBQYAAAAABgAGAFkBAAAyBQAAAAA=&#10;">
                      <v:fill on="t" focussize="0,0"/>
                      <v:stroke on="f"/>
                      <v:imagedata o:title=""/>
                      <o:lock v:ext="edit" aspectratio="f"/>
                      <v:textbox>
                        <w:txbxContent>
                          <w:p>
                            <w:pPr>
                              <w:ind w:left="0" w:leftChars="0" w:firstLine="0" w:firstLineChars="0"/>
                              <w:rPr>
                                <w:rFonts w:hint="default" w:ascii="Times New Roman" w:hAnsi="Times New Roman" w:cs="Times New Roman"/>
                                <w:lang w:val="en-US"/>
                              </w:rPr>
                            </w:pPr>
                            <w:r>
                              <w:rPr>
                                <w:rFonts w:hint="default" w:ascii="Times New Roman" w:hAnsi="Times New Roman" w:cs="Times New Roman"/>
                                <w:lang w:val="en-US" w:eastAsia="zh-CN"/>
                              </w:rPr>
                              <w:t>4万m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xbxContent>
                      </v:textbox>
                    </v:rect>
                  </w:pict>
                </mc:Fallback>
              </mc:AlternateContent>
            </w:r>
          </w:p>
          <w:p>
            <w:pPr>
              <w:pStyle w:val="11"/>
              <w:keepNext w:val="0"/>
              <w:keepLines w:val="0"/>
              <w:pageBreakBefore w:val="0"/>
              <w:widowControl/>
              <w:tabs>
                <w:tab w:val="left" w:pos="0"/>
              </w:tabs>
              <w:kinsoku/>
              <w:wordWrap/>
              <w:overflowPunct/>
              <w:topLinePunct w:val="0"/>
              <w:autoSpaceDE/>
              <w:autoSpaceDN/>
              <w:bidi w:val="0"/>
              <w:adjustRightInd/>
              <w:snapToGrid w:val="0"/>
              <w:spacing w:line="360" w:lineRule="auto"/>
              <w:ind w:right="113"/>
              <w:textAlignment w:val="auto"/>
              <w:rPr>
                <w:rFonts w:hint="eastAsia"/>
                <w:color w:val="auto"/>
              </w:rPr>
            </w:pPr>
            <w:r>
              <w:rPr>
                <w:color w:val="auto"/>
                <w:sz w:val="28"/>
              </w:rPr>
              <mc:AlternateContent>
                <mc:Choice Requires="wps">
                  <w:drawing>
                    <wp:anchor distT="0" distB="0" distL="114300" distR="114300" simplePos="0" relativeHeight="251732992" behindDoc="0" locked="0" layoutInCell="1" allowOverlap="1">
                      <wp:simplePos x="0" y="0"/>
                      <wp:positionH relativeFrom="column">
                        <wp:posOffset>1797685</wp:posOffset>
                      </wp:positionH>
                      <wp:positionV relativeFrom="paragraph">
                        <wp:posOffset>130810</wp:posOffset>
                      </wp:positionV>
                      <wp:extent cx="1609725" cy="305435"/>
                      <wp:effectExtent l="4445" t="4445" r="11430" b="7620"/>
                      <wp:wrapNone/>
                      <wp:docPr id="78" name="矩形 78"/>
                      <wp:cNvGraphicFramePr/>
                      <a:graphic xmlns:a="http://schemas.openxmlformats.org/drawingml/2006/main">
                        <a:graphicData uri="http://schemas.microsoft.com/office/word/2010/wordprocessingShape">
                          <wps:wsp>
                            <wps:cNvSpPr/>
                            <wps:spPr>
                              <a:xfrm>
                                <a:off x="0" y="0"/>
                                <a:ext cx="1609725" cy="30543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wps:txbx>
                            <wps:bodyPr upright="1"/>
                          </wps:wsp>
                        </a:graphicData>
                      </a:graphic>
                    </wp:anchor>
                  </w:drawing>
                </mc:Choice>
                <mc:Fallback>
                  <w:pict>
                    <v:rect id="_x0000_s1026" o:spid="_x0000_s1026" o:spt="1" style="position:absolute;left:0pt;margin-left:141.55pt;margin-top:10.3pt;height:24.05pt;width:126.75pt;z-index:251732992;mso-width-relative:page;mso-height-relative:page;" fillcolor="#FFFFFF" filled="t" stroked="t" coordsize="21600,21600" o:gfxdata="UEsDBAoAAAAAAIdO4kAAAAAAAAAAAAAAAAAEAAAAZHJzL1BLAwQUAAAACACHTuJARYw8c9gAAAAJ&#10;AQAADwAAAGRycy9kb3ducmV2LnhtbE2PwU7DMAyG70i8Q2QkbizpJtqqNN0BxAEQQgy0ccwak1Y0&#10;TtVkW3l7zAluv+VPvz/X69kP4ohT7ANpyBYKBFIbbE9Ow/vb/VUJIiZD1gyBUMM3Rlg352e1qWw4&#10;0SseN8kJLqFYGQ1dSmMlZWw79CYuwojEu88weZN4nJy0kzlxuR/kUqlcetMTX+jMiLcdtl+bg9fw&#10;sHssiqfn+cV9KDe3dOe3ZfJaX15k6gZEwjn9wfCrz+rQsNM+HMhGMWhYlquMUQ4qB8HA9SrnsNeQ&#10;lwXIppb/P2h+AFBLAwQUAAAACACHTuJAwPfxTO4BAADdAwAADgAAAGRycy9lMm9Eb2MueG1srVPN&#10;bhMxEL4j8Q6W72Q3KWnoKpseGsIFQaWWB5j4Z9eS/2S72c3TIHHjIXgcxGswdkLa0EuF2IN37Bl/&#10;88034+X1aDTZiRCVsy2dTmpKhGWOK9u19Mv95s07SmICy0E7K1q6F5Fer16/Wg6+ETPXO81FIAhi&#10;YzP4lvYp+aaqIuuFgThxXlh0ShcMJNyGruIBBkQ3uprV9WU1uMB9cEzEiKfrg5OuCr6UgqXPUkaR&#10;iG4pcktlDWXd5rVaLaHpAvhesSMN+AcWBpTFpCeoNSQgD0E9gzKKBRedTBPmTOWkVEyUGrCaaf1X&#10;NXc9eFFqQXGiP8kU/x8s+7S7DUTxli6wUxYM9ujX1+8/f3wjeIDqDD42GHTnb8NxF9HMpY4ymPzH&#10;IshYFN2fFBVjIgwPp5f11WI2p4Sh76Kev72YZ9Dq8bYPMX0QzpBstDRgx4qQsPsY0yH0T0hOFp1W&#10;fKO0LpvQbW90IDvA7m7Kd0Q/C9OWDC29mhcegEMmNSSkZDyWHW1X8p3diE+B63pR35RJQdpnYZnY&#10;GmJ/IFBcOT80RiWR5YKmF8DfW07S3qOyFt8AzWSM4JRogU8mWyUygdIviUQS2qKEuTGHVmQrjdsR&#10;YbK5dXyPPX3wQXU9SjotmmQPzlDR/jjveUif7gvo46t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jDxz2AAAAAkBAAAPAAAAAAAAAAEAIAAAACIAAABkcnMvZG93bnJldi54bWxQSwECFAAUAAAA&#10;CACHTuJAwPfxTO4BAADdAwAADgAAAAAAAAABACAAAAAnAQAAZHJzL2Uyb0RvYy54bWxQSwUGAAAA&#10;AAYABgBZAQAAhwUAAAAA&#10;">
                      <v:fill on="t" focussize="0,0"/>
                      <v:stroke color="#0070C0" joinstyle="miter"/>
                      <v:imagedata o:title=""/>
                      <o:lock v:ext="edit" aspectratio="f"/>
                      <v:textbo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34016" behindDoc="0" locked="0" layoutInCell="1" allowOverlap="1">
                      <wp:simplePos x="0" y="0"/>
                      <wp:positionH relativeFrom="column">
                        <wp:posOffset>2550160</wp:posOffset>
                      </wp:positionH>
                      <wp:positionV relativeFrom="paragraph">
                        <wp:posOffset>143510</wp:posOffset>
                      </wp:positionV>
                      <wp:extent cx="170815" cy="388620"/>
                      <wp:effectExtent l="10795" t="4445" r="21590" b="13335"/>
                      <wp:wrapNone/>
                      <wp:docPr id="122" name="下箭头 122"/>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0.8pt;margin-top:11.3pt;height:30.6pt;width:13.45pt;z-index:251734016;mso-width-relative:page;mso-height-relative:page;" fillcolor="#FFFFFF" filled="t" stroked="t" coordsize="21600,21600" o:gfxdata="UEsDBAoAAAAAAIdO4kAAAAAAAAAAAAAAAAAEAAAAZHJzL1BLAwQUAAAACACHTuJAgGhITNsAAAAJ&#10;AQAADwAAAGRycy9kb3ducmV2LnhtbE2PsU7DMBCGdyTewTokNmontFUUcqmgqAtVB5oOsLmxm0TY&#10;5yh224Snx0wwnU736b/vL1ajNeyiB985QkhmApim2qmOGoRDtXnIgPkgSUnjSCNM2sOqvL0pZK7c&#10;ld71ZR8aFkPI5xKhDaHPOfd1q630M9drireTG6wMcR0argZ5jeHW8FSIJbeyo/ihlb1et7r+2p8t&#10;wjOvKnN4+94lr5vPl9PHdhqn7Rrx/i4RT8CCHsMfDL/6UR3K6HR0Z1KeGYS5SJYRRUjTOCMwT7MF&#10;sCNC9pgBLwv+v0H5A1BLAwQUAAAACACHTuJA2fEpeQ4CAAAsBAAADgAAAGRycy9lMm9Eb2MueG1s&#10;rVNLjhMxEN0jcQfLe9IflM+00hkhQtggGGmYAzj+dBv5J9uTTs7ANdjCigUHGsQ1KDtNJoENQvTC&#10;XbbLz++9Ki+v91qhHfdBWtPialJixA21TJquxXfvN88WGIVIDCPKGt7iAw/4evX0yXJwDa9tbxXj&#10;HgGICc3gWtzH6JqiCLTnmoSJddzAprBekwhT3xXMkwHQtSrqspwVg/XMeUt5CLC6Pm7iVcYXgtP4&#10;TojAI1ItBm4xjz6P2zQWqyVpOk9cL+lIg/wDC02kgUtPUGsSCbr38g8oLam3wYo4oVYXVghJedYA&#10;aqryNzW3PXE8awFzgjvZFP4fLH27u/FIMqhdXWNkiIYiPXz7+OPL5++fvqK0CBYNLjSQeetu/DgL&#10;ECa9e+F1+oMStM+2Hk628n1EFBarebmophhR2Hq+WMzqbHvxeNj5EF9zq1EKWszsYF54b4fsKNm9&#10;CTFby0Z6hH2oMBJaQaV2RKFpCd9YybMckHOWM1vM5ykHrh0RIfp1cYIPVkm2kUrlie+2L5VHAN/i&#10;Tf7GwxdpyqChxVfTOqkj0L5CkQihdmBoMF0WcHEinAMn3kfmwOUiLRFbk9AfCeSto0AtI/e5aXtO&#10;2CvDUDw4KJmB14UTGc0ZRorDY0xRzoxEqr/JBBLKgEOp2sf6pmhr2QFa5N552fVQnSobkXagJbOf&#10;4/NJPX8+z0iPj3z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oSEzbAAAACQEAAA8AAAAAAAAA&#10;AQAgAAAAIgAAAGRycy9kb3ducmV2LnhtbFBLAQIUABQAAAAIAIdO4kDZ8Sl5DgIAACwEAAAOAAAA&#10;AAAAAAEAIAAAACoBAABkcnMvZTJvRG9jLnhtbFBLBQYAAAAABgAGAFkBAACqBQAAAAA=&#10;" adj="16201,5400">
                      <v:fill on="t" focussize="0,0"/>
                      <v:stroke color="#000000" joinstyle="miter"/>
                      <v:imagedata o:title=""/>
                      <o:lock v:ext="edit" aspectratio="f"/>
                    </v:shape>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28896" behindDoc="0" locked="0" layoutInCell="1" allowOverlap="1">
                      <wp:simplePos x="0" y="0"/>
                      <wp:positionH relativeFrom="column">
                        <wp:posOffset>1150620</wp:posOffset>
                      </wp:positionH>
                      <wp:positionV relativeFrom="paragraph">
                        <wp:posOffset>193040</wp:posOffset>
                      </wp:positionV>
                      <wp:extent cx="379095" cy="1355725"/>
                      <wp:effectExtent l="0" t="0" r="0" b="0"/>
                      <wp:wrapNone/>
                      <wp:docPr id="9" name="矩形 9"/>
                      <wp:cNvGraphicFramePr/>
                      <a:graphic xmlns:a="http://schemas.openxmlformats.org/drawingml/2006/main">
                        <a:graphicData uri="http://schemas.microsoft.com/office/word/2010/wordprocessingShape">
                          <wps:wsp>
                            <wps:cNvSpPr/>
                            <wps:spPr>
                              <a:xfrm>
                                <a:off x="0" y="0"/>
                                <a:ext cx="379095" cy="1355725"/>
                              </a:xfrm>
                              <a:prstGeom prst="rect">
                                <a:avLst/>
                              </a:prstGeom>
                              <a:noFill/>
                              <a:ln>
                                <a:noFill/>
                              </a:ln>
                            </wps:spPr>
                            <wps:txbx>
                              <w:txbxContent>
                                <w:p>
                                  <w:pPr>
                                    <w:pStyle w:val="11"/>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反</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洗</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水</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回</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流</w:t>
                                  </w:r>
                                </w:p>
                              </w:txbxContent>
                            </wps:txbx>
                            <wps:bodyPr upright="1"/>
                          </wps:wsp>
                        </a:graphicData>
                      </a:graphic>
                    </wp:anchor>
                  </w:drawing>
                </mc:Choice>
                <mc:Fallback>
                  <w:pict>
                    <v:rect id="_x0000_s1026" o:spid="_x0000_s1026" o:spt="1" style="position:absolute;left:0pt;margin-left:90.6pt;margin-top:15.2pt;height:106.75pt;width:29.85pt;z-index:251728896;mso-width-relative:page;mso-height-relative:page;" filled="f" stroked="f" coordsize="21600,21600" o:gfxdata="UEsDBAoAAAAAAIdO4kAAAAAAAAAAAAAAAAAEAAAAZHJzL1BLAwQUAAAACACHTuJAMBgMRNoAAAAK&#10;AQAADwAAAGRycy9kb3ducmV2LnhtbE2PwWrCQBCG74W+wzKFXkrdTZSiMRsPQqmUghir5zWZJqHZ&#10;2ZhdE/v2HU/tbX7m459v0tXVtmLA3jeONEQTBQKpcGVDlYbP/evzHIQPhkrTOkINP+hhld3fpSYp&#10;3Ug7HPJQCS4hnxgNdQhdIqUvarTGT1yHxLsv11sTOPaVLHszcrltZazUi7SmIb5Qmw7XNRbf+cVq&#10;GIvtcNx/vMnt03Hj6Lw5r/PDu9aPD5Faggh4DX8w3PRZHTJ2OrkLlV60nOdRzKiGqZqBYCCeqQWI&#10;022YLkBmqfz/QvYLUEsDBBQAAAAIAIdO4kD3jHt+hAEAAPMCAAAOAAAAZHJzL2Uyb0RvYy54bWyt&#10;UktOwzAQ3SNxB8t76rRVgUZN2aCyQYAEHMB17MZS/NHYNOlpkNhxCI6DuAZjt5TfDrGZeD55896z&#10;Z2e9aclaQtDOVnQ4KCiRVrha21VF7+8WR6eUhMhtzVtnZUU3MtCz+eHBrPOlHLnGtbUEgiA2lJ2v&#10;aBOjLxkLopGGh4Hz0mJTOTA8YgorVgPvEN20bFQUx6xzUHtwQoaA1fNtk84zvlJSxGulgoykrShy&#10;izlCjssU2XzGyxVw32ixo8H/wMJwbXHpHuqcR04eQP+CMlqAC07FgXCGOaW0kFkDqhkWP9TcNtzL&#10;rAXNCX5vU/g/WHG1vgGi64pOKbHc4BW9PT6/vjyRafKm86HEkVt/A7ss4DEJ7RWY9EUJpM9+bvZ+&#10;yj4SgcXxybSYTigR2BqOJ5OT0SSBss+/PYR4IZ0h6VBRwPvKNvL1ZYjb0Y+RtMy6hW5brPOytd8K&#10;iJkqLBHeUkyn2C/7He+lqzeo9MGDXjW4apiZpCF0NnPavYJ0dV/zDPr5Vu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MBgMRNoAAAAKAQAADwAAAAAAAAABACAAAAAiAAAAZHJzL2Rvd25yZXYueG1s&#10;UEsBAhQAFAAAAAgAh07iQPeMe36EAQAA8wIAAA4AAAAAAAAAAQAgAAAAKQEAAGRycy9lMm9Eb2Mu&#10;eG1sUEsFBgAAAAAGAAYAWQEAAB8FAAAAAA==&#10;">
                      <v:fill on="f" focussize="0,0"/>
                      <v:stroke on="f"/>
                      <v:imagedata o:title=""/>
                      <o:lock v:ext="edit" aspectratio="f"/>
                      <v:textbox>
                        <w:txbxContent>
                          <w:p>
                            <w:pPr>
                              <w:pStyle w:val="11"/>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反</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洗</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水</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回</w:t>
                            </w:r>
                          </w:p>
                          <w:p>
                            <w:pPr>
                              <w:pStyle w:val="11"/>
                              <w:keepNext w:val="0"/>
                              <w:keepLines w:val="0"/>
                              <w:pageBreakBefore w:val="0"/>
                              <w:widowControl w:val="0"/>
                              <w:tabs>
                                <w:tab w:val="left" w:pos="0"/>
                              </w:tabs>
                              <w:kinsoku/>
                              <w:wordWrap/>
                              <w:overflowPunct/>
                              <w:topLinePunct w:val="0"/>
                              <w:autoSpaceDE/>
                              <w:autoSpaceDN/>
                              <w:bidi w:val="0"/>
                              <w:adjustRightInd/>
                              <w:snapToGrid/>
                              <w:spacing w:before="0" w:after="0" w:line="240" w:lineRule="auto"/>
                              <w:ind w:left="0" w:leftChars="0" w:right="113" w:firstLine="0" w:firstLineChars="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流</w:t>
                            </w:r>
                          </w:p>
                        </w:txbxContent>
                      </v:textbox>
                    </v:rect>
                  </w:pict>
                </mc:Fallback>
              </mc:AlternateContent>
            </w:r>
            <w:r>
              <w:rPr>
                <w:color w:val="auto"/>
                <w:sz w:val="28"/>
              </w:rPr>
              <mc:AlternateContent>
                <mc:Choice Requires="wps">
                  <w:drawing>
                    <wp:anchor distT="0" distB="0" distL="114300" distR="114300" simplePos="0" relativeHeight="251738112" behindDoc="0" locked="0" layoutInCell="1" allowOverlap="1">
                      <wp:simplePos x="0" y="0"/>
                      <wp:positionH relativeFrom="column">
                        <wp:posOffset>1442720</wp:posOffset>
                      </wp:positionH>
                      <wp:positionV relativeFrom="paragraph">
                        <wp:posOffset>340360</wp:posOffset>
                      </wp:positionV>
                      <wp:extent cx="422910" cy="2540"/>
                      <wp:effectExtent l="0" t="61595" r="8890" b="62865"/>
                      <wp:wrapNone/>
                      <wp:docPr id="3" name="直接连接符 3"/>
                      <wp:cNvGraphicFramePr/>
                      <a:graphic xmlns:a="http://schemas.openxmlformats.org/drawingml/2006/main">
                        <a:graphicData uri="http://schemas.microsoft.com/office/word/2010/wordprocessingShape">
                          <wps:wsp>
                            <wps:cNvCnPr/>
                            <wps:spPr>
                              <a:xfrm>
                                <a:off x="0" y="0"/>
                                <a:ext cx="422910" cy="2540"/>
                              </a:xfrm>
                              <a:prstGeom prst="line">
                                <a:avLst/>
                              </a:prstGeom>
                              <a:ln w="22225" cap="flat" cmpd="sng">
                                <a:solidFill>
                                  <a:srgbClr val="FF0000"/>
                                </a:solidFill>
                                <a:prstDash val="dash"/>
                                <a:headEnd type="none" w="med" len="med"/>
                                <a:tailEnd type="triangle" w="lg" len="lg"/>
                              </a:ln>
                            </wps:spPr>
                            <wps:bodyPr upright="1"/>
                          </wps:wsp>
                        </a:graphicData>
                      </a:graphic>
                    </wp:anchor>
                  </w:drawing>
                </mc:Choice>
                <mc:Fallback>
                  <w:pict>
                    <v:line id="_x0000_s1026" o:spid="_x0000_s1026" o:spt="20" style="position:absolute;left:0pt;margin-left:113.6pt;margin-top:26.8pt;height:0.2pt;width:33.3pt;z-index:251738112;mso-width-relative:page;mso-height-relative:page;" filled="f" stroked="t" coordsize="21600,21600" o:gfxdata="UEsDBAoAAAAAAIdO4kAAAAAAAAAAAAAAAAAEAAAAZHJzL1BLAwQUAAAACACHTuJA2pXjbdoAAAAJ&#10;AQAADwAAAGRycy9kb3ducmV2LnhtbE2PTU/DMAyG70j8h8hIXBBL1kEHpekOk5AQB6RtfIhb1pi2&#10;WuJUTdqNf485wdH2o9fPW65O3okJh9gF0jCfKRBIdbAdNRped4/XdyBiMmSNC4QavjHCqjo/K01h&#10;w5E2OG1TIziEYmE0tCn1hZSxbtGbOAs9Et++wuBN4nFopB3MkcO9k5lSufSmI/7Qmh7XLdaH7eg1&#10;7KbN0+f789KN6/wq/zD40rwdUOvLi7l6AJHwlP5g+NVndajYaR9GslE4DVm2zBjVcLvIQTCQ3S+4&#10;y54XNwpkVcr/DaofUEsDBBQAAAAIAIdO4kCV5v8U6AEAAJoDAAAOAAAAZHJzL2Uyb0RvYy54bWyt&#10;U0uOEzEQ3SNxB8t70p2eGcS00pnFhLBBEAnmABV/ui35J9uTTi7BBZDYwYole27DcAzK7pDw2SG8&#10;qC7bz8/1nqsXN3ujyU6EqJzt6HxWUyIsc1zZvqN3b9dPnlESE1gO2lnR0YOI9Gb5+NFi9K1o3OA0&#10;F4EgiY3t6Ds6pOTbqopsEAbizHlhcVO6YCDhNPQVDzAiu9FVU9dPq9EF7oNjIkZcXU2bdFn4pRQs&#10;vZYyikR0R7G2VGIocZtjtVxA2wfwg2LHMuAfqjCgLF56olpBAnIf1F9URrHgopNpxpypnJSKiaIB&#10;1czrP9S8GcCLogXNif5kU/x/tOzVbhOI4h29oMSCwSd6eP/l27uP379+wPjw+RO5yCaNPraIvbWb&#10;cJxFvwlZ8V4Gk7+oheyLsYeTsWKfCMPFy6a5nqP9DLeaq8tie3U+6kNML4QzJCcd1cpm1dDC7mVM&#10;eB1Cf0LysrZkRB4cV0gJ2DVSQ8LUeNQRbV8OR6cVXyut85EY+u2tDmQH2AfrdY0jq0Li32D5lhXE&#10;YcJxzKYGGQTw55aTdPBokMVOprkEIzglWmDj5wz5oE2g9BmZggLb6wmt+yMYk+lubbGE7OzkZc62&#10;jh/wQe59UP2AXswLNO9gA5SCj82aO+zXeWE6/1L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qV&#10;423aAAAACQEAAA8AAAAAAAAAAQAgAAAAIgAAAGRycy9kb3ducmV2LnhtbFBLAQIUABQAAAAIAIdO&#10;4kCV5v8U6AEAAJoDAAAOAAAAAAAAAAEAIAAAACkBAABkcnMvZTJvRG9jLnhtbFBLBQYAAAAABgAG&#10;AFkBAACDBQAAAAA=&#10;">
                      <v:fill on="f" focussize="0,0"/>
                      <v:stroke weight="1.75pt" color="#FF0000" joinstyle="round" dashstyle="dash"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22752" behindDoc="0" locked="0" layoutInCell="1" allowOverlap="1">
                      <wp:simplePos x="0" y="0"/>
                      <wp:positionH relativeFrom="column">
                        <wp:posOffset>3571875</wp:posOffset>
                      </wp:positionH>
                      <wp:positionV relativeFrom="paragraph">
                        <wp:posOffset>38100</wp:posOffset>
                      </wp:positionV>
                      <wp:extent cx="558165" cy="290830"/>
                      <wp:effectExtent l="0" t="0" r="0" b="0"/>
                      <wp:wrapNone/>
                      <wp:docPr id="129" name="矩形 129"/>
                      <wp:cNvGraphicFramePr/>
                      <a:graphic xmlns:a="http://schemas.openxmlformats.org/drawingml/2006/main">
                        <a:graphicData uri="http://schemas.microsoft.com/office/word/2010/wordprocessingShape">
                          <wps:wsp>
                            <wps:cNvSpPr/>
                            <wps:spPr>
                              <a:xfrm>
                                <a:off x="0" y="0"/>
                                <a:ext cx="558165" cy="290830"/>
                              </a:xfrm>
                              <a:prstGeom prst="rect">
                                <a:avLst/>
                              </a:prstGeom>
                              <a:noFill/>
                              <a:ln>
                                <a:noFill/>
                              </a:ln>
                            </wps:spPr>
                            <wps:txbx>
                              <w:txbxContent>
                                <w:p>
                                  <w:pPr>
                                    <w:ind w:left="0" w:leftChars="0" w:firstLine="0" w:firstLineChars="0"/>
                                    <w:rPr>
                                      <w:rFonts w:hint="default"/>
                                      <w:color w:val="FF0000"/>
                                      <w:lang w:val="en-US" w:eastAsia="zh-CN"/>
                                    </w:rPr>
                                  </w:pPr>
                                  <w:r>
                                    <w:rPr>
                                      <w:rFonts w:hint="eastAsia"/>
                                      <w:color w:val="FF0000"/>
                                      <w:lang w:val="en-US" w:eastAsia="zh-CN"/>
                                    </w:rPr>
                                    <w:t>空气</w:t>
                                  </w:r>
                                </w:p>
                                <w:p>
                                  <w:pPr>
                                    <w:pStyle w:val="11"/>
                                    <w:tabs>
                                      <w:tab w:val="left" w:pos="0"/>
                                    </w:tabs>
                                    <w:rPr>
                                      <w:rFonts w:hint="eastAsia"/>
                                      <w:lang w:val="en-US" w:eastAsia="zh-CN"/>
                                    </w:rPr>
                                  </w:pPr>
                                </w:p>
                                <w:p>
                                  <w:pPr>
                                    <w:pStyle w:val="11"/>
                                    <w:tabs>
                                      <w:tab w:val="left" w:pos="0"/>
                                    </w:tabs>
                                    <w:rPr>
                                      <w:rFonts w:hint="default"/>
                                      <w:lang w:val="en-US"/>
                                    </w:rPr>
                                  </w:pPr>
                                </w:p>
                              </w:txbxContent>
                            </wps:txbx>
                            <wps:bodyPr upright="1"/>
                          </wps:wsp>
                        </a:graphicData>
                      </a:graphic>
                    </wp:anchor>
                  </w:drawing>
                </mc:Choice>
                <mc:Fallback>
                  <w:pict>
                    <v:rect id="_x0000_s1026" o:spid="_x0000_s1026" o:spt="1" style="position:absolute;left:0pt;margin-left:281.25pt;margin-top:3pt;height:22.9pt;width:43.95pt;z-index:251722752;mso-width-relative:page;mso-height-relative:page;" filled="f" stroked="f" coordsize="21600,21600" o:gfxdata="UEsDBAoAAAAAAIdO4kAAAAAAAAAAAAAAAAAEAAAAZHJzL1BLAwQUAAAACACHTuJAXQBzw9gAAAAI&#10;AQAADwAAAGRycy9kb3ducmV2LnhtbE2PQUvDQBCF74L/YRnBi9jdFBNKzKaHglhEKKba8zY7JsHs&#10;bJrdJvXfO570OHyPN98r1hfXiwnH0HnSkCwUCKTa244aDe/7p/sViBANWdN7Qg3fGGBdXl8VJrd+&#10;pjecqtgILqGQGw1tjEMuZahbdCYs/IDE7NOPzkQ+x0ba0cxc7nq5VCqTznTEH1oz4KbF+qs6Ow1z&#10;vZsO+9dnubs7bD2dtqdN9fGi9e1Noh5BRLzEvzD86rM6lOx09GeyQfQa0myZclRDxpOYZ6l6AHFk&#10;kKxAloX8P6D8AVBLAwQUAAAACACHTuJAsUf6DIUBAAD2AgAADgAAAGRycy9lMm9Eb2MueG1srVJL&#10;TsMwEN0jcQfLe+q0qKiNmrJBsEFQqXAA17EbS/FHY9Okp0FixyE4DuIajN1SfjvEZjKfl5l5bzw7&#10;701LNhKCdraiw0FBibTC1dquK3p/d3kyoSREbmveOisrupWBns+Pj2adL+XINa6tJRBsYkPZ+Yo2&#10;MfqSsSAaaXgYOC8tFpUDwyOGsGY18A67m5aNiuKMdQ5qD07IEDB7sSvSee6vlBTxVqkgI2krirvF&#10;bCHbVbJsPuPlGrhvtNivwf+wheHa4tBDqwseOXkA/auV0QJccCoOhDPMKaWFzByQzbD4wWbZcC8z&#10;FxQn+INM4f/aipvNAoiu8XajKSWWGzzS2+Pz68sTSRnUp/OhRNjSL2AfBXQT2V6BSV+kQfqs6fag&#10;qewjEZgcjyfDszElAkujaTE5zZqzz589hHglnSHJqSjgybKSfHMdIg5E6AckzbLuUrdtPltrvyUQ&#10;mDIs7bvbMHmxX/X7tVeu3iLZBw963eCoYWKX4ShuHrR/COl6X+OM+ny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dAHPD2AAAAAgBAAAPAAAAAAAAAAEAIAAAACIAAABkcnMvZG93bnJldi54bWxQ&#10;SwECFAAUAAAACACHTuJAsUf6DIUBAAD2AgAADgAAAAAAAAABACAAAAAnAQAAZHJzL2Uyb0RvYy54&#10;bWxQSwUGAAAAAAYABgBZAQAAHgUAAAAA&#10;">
                      <v:fill on="f" focussize="0,0"/>
                      <v:stroke on="f"/>
                      <v:imagedata o:title=""/>
                      <o:lock v:ext="edit" aspectratio="f"/>
                      <v:textbox>
                        <w:txbxContent>
                          <w:p>
                            <w:pPr>
                              <w:ind w:left="0" w:leftChars="0" w:firstLine="0" w:firstLineChars="0"/>
                              <w:rPr>
                                <w:rFonts w:hint="default"/>
                                <w:color w:val="FF0000"/>
                                <w:lang w:val="en-US" w:eastAsia="zh-CN"/>
                              </w:rPr>
                            </w:pPr>
                            <w:r>
                              <w:rPr>
                                <w:rFonts w:hint="eastAsia"/>
                                <w:color w:val="FF0000"/>
                                <w:lang w:val="en-US" w:eastAsia="zh-CN"/>
                              </w:rPr>
                              <w:t>空气</w:t>
                            </w:r>
                          </w:p>
                          <w:p>
                            <w:pPr>
                              <w:pStyle w:val="11"/>
                              <w:tabs>
                                <w:tab w:val="left" w:pos="0"/>
                              </w:tabs>
                              <w:rPr>
                                <w:rFonts w:hint="eastAsia"/>
                                <w:lang w:val="en-US" w:eastAsia="zh-CN"/>
                              </w:rPr>
                            </w:pPr>
                          </w:p>
                          <w:p>
                            <w:pPr>
                              <w:pStyle w:val="11"/>
                              <w:tabs>
                                <w:tab w:val="left" w:pos="0"/>
                              </w:tabs>
                              <w:rPr>
                                <w:rFonts w:hint="default"/>
                                <w:lang w:val="en-US"/>
                              </w:rPr>
                            </w:pPr>
                          </w:p>
                        </w:txbxContent>
                      </v:textbox>
                    </v:rect>
                  </w:pict>
                </mc:Fallback>
              </mc:AlternateContent>
            </w:r>
            <w:r>
              <w:rPr>
                <w:color w:val="auto"/>
                <w:sz w:val="28"/>
              </w:rPr>
              <mc:AlternateContent>
                <mc:Choice Requires="wps">
                  <w:drawing>
                    <wp:anchor distT="0" distB="0" distL="114300" distR="114300" simplePos="0" relativeHeight="251719680" behindDoc="0" locked="0" layoutInCell="1" allowOverlap="1">
                      <wp:simplePos x="0" y="0"/>
                      <wp:positionH relativeFrom="column">
                        <wp:posOffset>1858645</wp:posOffset>
                      </wp:positionH>
                      <wp:positionV relativeFrom="paragraph">
                        <wp:posOffset>180975</wp:posOffset>
                      </wp:positionV>
                      <wp:extent cx="1565275" cy="327660"/>
                      <wp:effectExtent l="5080" t="4445" r="4445" b="10795"/>
                      <wp:wrapNone/>
                      <wp:docPr id="55" name="矩形 55"/>
                      <wp:cNvGraphicFramePr/>
                      <a:graphic xmlns:a="http://schemas.openxmlformats.org/drawingml/2006/main">
                        <a:graphicData uri="http://schemas.microsoft.com/office/word/2010/wordprocessingShape">
                          <wps:wsp>
                            <wps:cNvSpPr/>
                            <wps:spPr>
                              <a:xfrm>
                                <a:off x="0" y="0"/>
                                <a:ext cx="1565275" cy="32766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eastAsia"/>
                                      <w:color w:val="FF0000"/>
                                      <w:lang w:val="en-US" w:eastAsia="zh-CN"/>
                                    </w:rPr>
                                  </w:pPr>
                                  <w:r>
                                    <w:rPr>
                                      <w:rFonts w:hint="eastAsia"/>
                                      <w:color w:val="FF0000"/>
                                      <w:lang w:val="en-US" w:eastAsia="zh-CN"/>
                                    </w:rPr>
                                    <w:t>生物曝气反应池</w:t>
                                  </w:r>
                                </w:p>
                                <w:p>
                                  <w:pPr>
                                    <w:pStyle w:val="11"/>
                                    <w:tabs>
                                      <w:tab w:val="left" w:pos="0"/>
                                    </w:tabs>
                                    <w:ind w:left="0" w:leftChars="0" w:firstLine="0" w:firstLineChars="0"/>
                                    <w:rPr>
                                      <w:rFonts w:hint="default"/>
                                      <w:color w:val="0000FF"/>
                                      <w:highlight w:val="none"/>
                                      <w:lang w:val="en-US" w:eastAsia="zh-CN"/>
                                    </w:rPr>
                                  </w:pPr>
                                </w:p>
                              </w:txbxContent>
                            </wps:txbx>
                            <wps:bodyPr upright="1"/>
                          </wps:wsp>
                        </a:graphicData>
                      </a:graphic>
                    </wp:anchor>
                  </w:drawing>
                </mc:Choice>
                <mc:Fallback>
                  <w:pict>
                    <v:rect id="_x0000_s1026" o:spid="_x0000_s1026" o:spt="1" style="position:absolute;left:0pt;margin-left:146.35pt;margin-top:14.25pt;height:25.8pt;width:123.25pt;z-index:251719680;mso-width-relative:page;mso-height-relative:page;" fillcolor="#FFFFFF" filled="t" stroked="t" coordsize="21600,21600" o:gfxdata="UEsDBAoAAAAAAIdO4kAAAAAAAAAAAAAAAAAEAAAAZHJzL1BLAwQUAAAACACHTuJAOLUhO9gAAAAJ&#10;AQAADwAAAGRycy9kb3ducmV2LnhtbE2PwU7DMAyG70i8Q2Qkbixp0UZXmu4w4MANtgk4po1pKxqn&#10;NNla3h5zGjdb/vT7+4vN7HpxwjF0njQkCwUCqfa2o0bDYf90k4EI0ZA1vSfU8IMBNuXlRWFy6yd6&#10;xdMuNoJDKORGQxvjkEsZ6hadCQs/IPHt04/ORF7HRtrRTBzuepkqtZLOdMQfWjPgtsX6a3d0Gvbb&#10;A07Jx/tcNWRenh/fVv3D/K319VWi7kFEnOMZhj99VoeSnSp/JBtEryFdp3eM8pAtQTCwvF2nICoN&#10;mUpAloX836D8BVBLAwQUAAAACACHTuJAgxW8J+oBAADdAwAADgAAAGRycy9lMm9Eb2MueG1srVNL&#10;jhMxEN0jcQfLe9KdRslAK51ZEMIGwUgzHKDiT7cl/2R70p3TILHjEBwHcQ3KTsiQGRYI0Qt32S4/&#10;v/eqvLqejCZ7EaJytqPzWU2JsMxxZfuOfrrbvnhFSUxgOWhnRUcPItLr9fNnq9G3onGD01wEgiA2&#10;tqPv6JCSb6sqskEYiDPnhcVN6YKBhNPQVzzAiOhGV01dL6vRBe6DYyJGXN0cN+m64EspWPooZRSJ&#10;6I4it1TGUMZdHqv1Cto+gB8UO9GAf2BhQFm89Ay1gQTkPqgnUEax4KKTacacqZyUiomiAdXM60dq&#10;bgfwomhBc6I/2xT/Hyz7sL8JRPGOLhaUWDBYox+fv37/9oXgAroz+thi0q2/CadZxDBLnWQw+Y8i&#10;yFQcPZwdFVMiDBfni+WiuUJkhnsvm6vlslhePZz2IaZ3whmSg44GrFgxEvbvY8IbMfVXSr4sOq34&#10;VmldJqHfvdGB7AGruy1fpoxHLtK0JWNHXy+azAOwyaSGhKHxKDvavtx3cSJeAtf4/Qk4E9tAHI4E&#10;CkJOg9aoJLJd0A4C+FvLSTp4dNbiG6CZjBGcEi3wyeSoZCZQ+m8yUZ22KDIX5liKHKVpNyFMDneO&#10;H7Cm9z6ofkBL54V63sEeKu6c+j036e/zAvrwKt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i1&#10;ITvYAAAACQEAAA8AAAAAAAAAAQAgAAAAIgAAAGRycy9kb3ducmV2LnhtbFBLAQIUABQAAAAIAIdO&#10;4kCDFbwn6gEAAN0DAAAOAAAAAAAAAAEAIAAAACcBAABkcnMvZTJvRG9jLnhtbFBLBQYAAAAABgAG&#10;AFkBAACDBQAAAAA=&#10;">
                      <v:fill on="t" focussize="0,0"/>
                      <v:stroke color="#FF0000" joinstyle="miter"/>
                      <v:imagedata o:title=""/>
                      <o:lock v:ext="edit" aspectratio="f"/>
                      <v:textbox>
                        <w:txbxContent>
                          <w:p>
                            <w:pPr>
                              <w:ind w:left="0" w:leftChars="0" w:firstLine="0" w:firstLineChars="0"/>
                              <w:jc w:val="center"/>
                              <w:rPr>
                                <w:rFonts w:hint="eastAsia"/>
                                <w:color w:val="FF0000"/>
                                <w:lang w:val="en-US" w:eastAsia="zh-CN"/>
                              </w:rPr>
                            </w:pPr>
                            <w:r>
                              <w:rPr>
                                <w:rFonts w:hint="eastAsia"/>
                                <w:color w:val="FF0000"/>
                                <w:lang w:val="en-US" w:eastAsia="zh-CN"/>
                              </w:rPr>
                              <w:t>生物曝气反应池</w:t>
                            </w:r>
                          </w:p>
                          <w:p>
                            <w:pPr>
                              <w:pStyle w:val="11"/>
                              <w:tabs>
                                <w:tab w:val="left" w:pos="0"/>
                              </w:tabs>
                              <w:ind w:left="0" w:leftChars="0" w:firstLine="0" w:firstLineChars="0"/>
                              <w:rPr>
                                <w:rFonts w:hint="default"/>
                                <w:color w:val="0000FF"/>
                                <w:highlight w:val="none"/>
                                <w:lang w:val="en-US" w:eastAsia="zh-CN"/>
                              </w:rPr>
                            </w:pP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27872" behindDoc="0" locked="0" layoutInCell="1" allowOverlap="1">
                      <wp:simplePos x="0" y="0"/>
                      <wp:positionH relativeFrom="column">
                        <wp:posOffset>1449705</wp:posOffset>
                      </wp:positionH>
                      <wp:positionV relativeFrom="paragraph">
                        <wp:posOffset>1270</wp:posOffset>
                      </wp:positionV>
                      <wp:extent cx="6350" cy="1289685"/>
                      <wp:effectExtent l="12700" t="0" r="19050" b="0"/>
                      <wp:wrapNone/>
                      <wp:docPr id="94" name="直接连接符 94"/>
                      <wp:cNvGraphicFramePr/>
                      <a:graphic xmlns:a="http://schemas.openxmlformats.org/drawingml/2006/main">
                        <a:graphicData uri="http://schemas.microsoft.com/office/word/2010/wordprocessingShape">
                          <wps:wsp>
                            <wps:cNvCnPr/>
                            <wps:spPr>
                              <a:xfrm>
                                <a:off x="0" y="0"/>
                                <a:ext cx="6350" cy="1289685"/>
                              </a:xfrm>
                              <a:prstGeom prst="line">
                                <a:avLst/>
                              </a:prstGeom>
                              <a:ln w="25400" cap="flat" cmpd="sng">
                                <a:solidFill>
                                  <a:srgbClr val="FF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14.15pt;margin-top:0.1pt;height:101.55pt;width:0.5pt;z-index:251727872;mso-width-relative:page;mso-height-relative:page;" filled="f" stroked="t" coordsize="21600,21600" o:gfxdata="UEsDBAoAAAAAAIdO4kAAAAAAAAAAAAAAAAAEAAAAZHJzL1BLAwQUAAAACACHTuJAFTzoiNYAAAAI&#10;AQAADwAAAGRycy9kb3ducmV2LnhtbE2PwU7DMBBE70j8g7VI3KhdR0AIcSqBBIVjAxRxc2OTRNjr&#10;yHab8vcsJ7jNaEazb+vV0Tt2sDGNARUsFwKYxS6YEXsFry8PFyWwlDUa7QJaBd82wao5Pal1ZcKM&#10;G3toc89oBFOlFQw5TxXnqRus12kRJouUfYbodSYbe26inmncOy6FuOJej0gXBj3Z+8F2X+3eK4jt&#10;WxnW84d7er/e6u3zZfE43a2VOj9biltg2R7zXxl+8QkdGmLahT2axJwCKcuCqiSAUSzlDdkdCVEU&#10;wJua/3+g+QFQSwMEFAAAAAgAh07iQEkcxp3hAQAAmwMAAA4AAABkcnMvZTJvRG9jLnhtbK1TS44T&#10;MRDdI3EHy3vSnTCJMq10ZjEhbBBEgjlAxZ9uS/7J9qSTS3ABJHawYsme28xwjCk7IcNngxC9qC67&#10;np/rva5eXO2NJjsRonK2peNRTYmwzHFlu5bevFs/m1MSE1gO2lnR0oOI9Gr59Mli8I2YuN5pLgJB&#10;Ehubwbe0T8k3VRVZLwzEkfPCYlG6YCDhMnQVDzAgu9HVpK5n1eAC98ExESPuro5Fuiz8UgqW3kgZ&#10;RSK6pdhbKjGUuM2xWi6g6QL4XrFTG/APXRhQFi89U60gAbkN6g8qo1hw0ck0Ys5UTkrFRNGAasb1&#10;b2re9uBF0YLmRH+2Kf4/WvZ6twlE8ZZeXlBiweA3uv/w9e79p+/fPmK8//KZYAVtGnxsEH1tN+G0&#10;in4Tsua9DCa/UQ3ZF2sPZ2vFPhGGm7PnU7SfYWE8mV/O5tNMWT2e9SGml8IZkpOWamWzcGhg9yqm&#10;I/QHJG9rS4aWTqYXdWYFHBypIWFqPEqJtiuHo9OKr5XW+UgM3fZaB7IDHIX1usbn1MMvsHzLCmJ/&#10;xHHMMgqaXgB/YTlJB48WWRxmmlswglOiBc5+zgoygdJ/g0T12qIJ2dijlTnbOn7AL3Lrg+p6dGJc&#10;mswVnIBi2Wla84j9vC5Mj//U8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POiI1gAAAAgBAAAP&#10;AAAAAAAAAAEAIAAAACIAAABkcnMvZG93bnJldi54bWxQSwECFAAUAAAACACHTuJASRzGneEBAACb&#10;AwAADgAAAAAAAAABACAAAAAlAQAAZHJzL2Uyb0RvYy54bWxQSwUGAAAAAAYABgBZAQAAeAUAAAAA&#10;">
                      <v:fill on="f" focussize="0,0"/>
                      <v:stroke weight="2pt" color="#FF0000" joinstyle="round" dashstyle="dash"/>
                      <v:imagedata o:title=""/>
                      <o:lock v:ext="edit" aspectratio="f"/>
                    </v:line>
                  </w:pict>
                </mc:Fallback>
              </mc:AlternateContent>
            </w:r>
            <w:r>
              <w:rPr>
                <w:color w:val="auto"/>
                <w:sz w:val="28"/>
              </w:rPr>
              <mc:AlternateContent>
                <mc:Choice Requires="wps">
                  <w:drawing>
                    <wp:anchor distT="0" distB="0" distL="114300" distR="114300" simplePos="0" relativeHeight="251724800" behindDoc="0" locked="0" layoutInCell="1" allowOverlap="1">
                      <wp:simplePos x="0" y="0"/>
                      <wp:positionH relativeFrom="column">
                        <wp:posOffset>2681605</wp:posOffset>
                      </wp:positionH>
                      <wp:positionV relativeFrom="paragraph">
                        <wp:posOffset>203835</wp:posOffset>
                      </wp:positionV>
                      <wp:extent cx="596265" cy="321310"/>
                      <wp:effectExtent l="0" t="0" r="0" b="0"/>
                      <wp:wrapNone/>
                      <wp:docPr id="120" name="矩形 120"/>
                      <wp:cNvGraphicFramePr/>
                      <a:graphic xmlns:a="http://schemas.openxmlformats.org/drawingml/2006/main">
                        <a:graphicData uri="http://schemas.microsoft.com/office/word/2010/wordprocessingShape">
                          <wps:wsp>
                            <wps:cNvSpPr/>
                            <wps:spPr>
                              <a:xfrm>
                                <a:off x="0" y="0"/>
                                <a:ext cx="596265" cy="321310"/>
                              </a:xfrm>
                              <a:prstGeom prst="rect">
                                <a:avLst/>
                              </a:prstGeom>
                              <a:noFill/>
                              <a:ln>
                                <a:noFill/>
                              </a:ln>
                            </wps:spPr>
                            <wps:txbx>
                              <w:txbxContent>
                                <w:p>
                                  <w:pPr>
                                    <w:pStyle w:val="11"/>
                                    <w:tabs>
                                      <w:tab w:val="left" w:pos="0"/>
                                    </w:tabs>
                                    <w:ind w:left="0" w:leftChars="0" w:firstLine="0" w:firstLineChars="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PAM</w:t>
                                  </w:r>
                                </w:p>
                                <w:p>
                                  <w:pPr>
                                    <w:pStyle w:val="11"/>
                                    <w:tabs>
                                      <w:tab w:val="left" w:pos="0"/>
                                    </w:tabs>
                                    <w:rPr>
                                      <w:rFonts w:hint="default" w:ascii="Times New Roman" w:hAnsi="Times New Roman" w:cs="Times New Roman"/>
                                      <w:lang w:val="en-US"/>
                                    </w:rPr>
                                  </w:pPr>
                                </w:p>
                              </w:txbxContent>
                            </wps:txbx>
                            <wps:bodyPr upright="1"/>
                          </wps:wsp>
                        </a:graphicData>
                      </a:graphic>
                    </wp:anchor>
                  </w:drawing>
                </mc:Choice>
                <mc:Fallback>
                  <w:pict>
                    <v:rect id="_x0000_s1026" o:spid="_x0000_s1026" o:spt="1" style="position:absolute;left:0pt;margin-left:211.15pt;margin-top:16.05pt;height:25.3pt;width:46.95pt;z-index:251724800;mso-width-relative:page;mso-height-relative:page;" filled="f" stroked="f" coordsize="21600,21600" o:gfxdata="UEsDBAoAAAAAAIdO4kAAAAAAAAAAAAAAAAAEAAAAZHJzL1BLAwQUAAAACACHTuJApvScg9oAAAAJ&#10;AQAADwAAAGRycy9kb3ducmV2LnhtbE2PQUvDQBCF74L/YRnBi9hNtlpLzKSHglhEKKba8zY7JsHs&#10;bJrdJvXfu570OLyP977JV2fbiZEG3zpGSGcJCOLKmZZrhPfd0+0ShA+aje4cE8I3eVgVlxe5zoyb&#10;+I3GMtQilrDPNEITQp9J6auGrPYz1xPH7NMNVod4DrU0g55iue2kSpKFtLrluNDontYNVV/lySJM&#10;1Xbc716f5fZmv3F83BzX5ccL4vVVmjyCCHQOfzD86kd1KKLTwZ3YeNEh3Ck1jyjCXKUgInCfLhSI&#10;A8JSPYAscvn/g+IHUEsDBBQAAAAIAIdO4kDR96eRhAEAAPYCAAAOAAAAZHJzL2Uyb0RvYy54bWyt&#10;UktOwzAQ3SNxB8t76iaICqKmbBBsEFQqHMB17MZS/NHYNOlpkNhxCI6DuAZjU1o+O8RmMr+8mffG&#10;0/PBdGQtIWhna1qMxpRIK1yj7aqm93eXR6eUhMhtwztnZU03MtDz2eHBtPeVLF3rukYCQRAbqt7X&#10;tI3RV4wF0UrDw8h5abGoHBgeMYQVa4D3iG46Vo7HE9Y7aDw4IUPA7MVHkc4yvlJSxFulgoykqynu&#10;FrOFbJfJstmUVyvgvtViuwb/wxaGa4tDd1AXPHLyAPoXlNECXHAqjoQzzCmlhcwckE0x/sFm0XIv&#10;MxcUJ/idTOH/YMXNeg5EN3i7EvWx3OCR3h6fX1+eSMqgPr0PFbYt/By2UUA3kR0UmPRFGmTImm52&#10;msohEoHJk7NJOTmhRGDpuCyOi4zJ9j97CPFKOkOSU1PAk2Ul+fo6RByIrZ8taZZ1l7rr8tk6+y2B&#10;jSnD0r4fGyYvDsthu/bSNRsk++BBr1ocVSR2uR3FzYO2DyFd72ucu/bP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pvScg9oAAAAJAQAADwAAAAAAAAABACAAAAAiAAAAZHJzL2Rvd25yZXYueG1s&#10;UEsBAhQAFAAAAAgAh07iQNH3p5GEAQAA9gIAAA4AAAAAAAAAAQAgAAAAKQEAAGRycy9lMm9Eb2Mu&#10;eG1sUEsFBgAAAAAGAAYAWQEAAB8FAAAAAA==&#10;">
                      <v:fill on="f" focussize="0,0"/>
                      <v:stroke on="f"/>
                      <v:imagedata o:title=""/>
                      <o:lock v:ext="edit" aspectratio="f"/>
                      <v:textbox>
                        <w:txbxContent>
                          <w:p>
                            <w:pPr>
                              <w:pStyle w:val="11"/>
                              <w:tabs>
                                <w:tab w:val="left" w:pos="0"/>
                              </w:tabs>
                              <w:ind w:left="0" w:leftChars="0" w:firstLine="0" w:firstLineChars="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PAM</w:t>
                            </w:r>
                          </w:p>
                          <w:p>
                            <w:pPr>
                              <w:pStyle w:val="11"/>
                              <w:tabs>
                                <w:tab w:val="left" w:pos="0"/>
                              </w:tabs>
                              <w:rPr>
                                <w:rFonts w:hint="default" w:ascii="Times New Roman" w:hAnsi="Times New Roman" w:cs="Times New Roman"/>
                                <w:lang w:val="en-US"/>
                              </w:rPr>
                            </w:pPr>
                          </w:p>
                        </w:txbxContent>
                      </v:textbox>
                    </v:rect>
                  </w:pict>
                </mc:Fallback>
              </mc:AlternateContent>
            </w:r>
            <w:r>
              <w:rPr>
                <w:color w:val="auto"/>
                <w:sz w:val="28"/>
              </w:rPr>
              <mc:AlternateContent>
                <mc:Choice Requires="wps">
                  <w:drawing>
                    <wp:anchor distT="0" distB="0" distL="114300" distR="114300" simplePos="0" relativeHeight="251721728" behindDoc="0" locked="0" layoutInCell="1" allowOverlap="1">
                      <wp:simplePos x="0" y="0"/>
                      <wp:positionH relativeFrom="column">
                        <wp:posOffset>3437255</wp:posOffset>
                      </wp:positionH>
                      <wp:positionV relativeFrom="paragraph">
                        <wp:posOffset>4445</wp:posOffset>
                      </wp:positionV>
                      <wp:extent cx="638810" cy="3175"/>
                      <wp:effectExtent l="0" t="62865" r="8890" b="60960"/>
                      <wp:wrapNone/>
                      <wp:docPr id="121" name="直接连接符 121"/>
                      <wp:cNvGraphicFramePr/>
                      <a:graphic xmlns:a="http://schemas.openxmlformats.org/drawingml/2006/main">
                        <a:graphicData uri="http://schemas.microsoft.com/office/word/2010/wordprocessingShape">
                          <wps:wsp>
                            <wps:cNvCnPr/>
                            <wps:spPr>
                              <a:xfrm flipH="1" flipV="1">
                                <a:off x="0" y="0"/>
                                <a:ext cx="638810" cy="3175"/>
                              </a:xfrm>
                              <a:prstGeom prst="line">
                                <a:avLst/>
                              </a:prstGeom>
                              <a:ln w="25400"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flip:x y;margin-left:270.65pt;margin-top:0.35pt;height:0.25pt;width:50.3pt;z-index:251721728;mso-width-relative:page;mso-height-relative:page;" filled="f" stroked="t" coordsize="21600,21600" o:gfxdata="UEsDBAoAAAAAAIdO4kAAAAAAAAAAAAAAAAAEAAAAZHJzL1BLAwQUAAAACACHTuJAZ4N9xNUAAAAG&#10;AQAADwAAAGRycy9kb3ducmV2LnhtbE2OTU/DMBBE70j8B2uRuFEnaShtiNMDEqJS4UApdydekgh7&#10;HWz3g3/PcoLjaJ5mXr0+OyuOGOLoSUE+y0Agdd6M1CvYvz3eLEHEpMlo6wkVfGOEdXN5UevK+BO9&#10;4nGXesEjFCutYEhpqqSM3YBOx5mfkLj78MHpxDH00gR94nFnZZFlC+n0SPww6AkfBuw+dwen4H3T&#10;bvKXcv+87bF4+ppkKOZ2q9T1VZ7dg0h4Tn8w/OqzOjTs1PoDmSisgtsynzOq4A4E14syX4FomStA&#10;NrX8r9/8AFBLAwQUAAAACACHTuJA+Yx34fYBAACzAwAADgAAAGRycy9lMm9Eb2MueG1srVNLjhMx&#10;EN0jcQfLe9KdDDNErXRmMSGwQBCJz77iT7cl/2R70skluAASO1ixnD23YeYYU3aHDJ8dohdW2fX8&#10;XO9V9eJybzTZiRCVsy2dTmpKhGWOK9u19P279ZM5JTGB5aCdFS09iEgvl48fLQbfiJnrneYiECSx&#10;sRl8S/uUfFNVkfXCQJw4LywmpQsGEm5DV/EAA7IbXc3q+qIaXOA+OCZixNPVmKTLwi+lYOmNlFEk&#10;oluKtaWyhrJu81otF9B0AXyv2LEM+IcqDCiLj56oVpCAXAf1F5VRLLjoZJowZyonpWKiaEA10/oP&#10;NW978KJoQXOiP9kU/x8te73bBKI49m42pcSCwSbdfrr58fHL3ffPuN5++0pyCo0afGwQf2U34biL&#10;fhOy6r0Mhkit/EvkoSX6kKOcQ41kXww/nAwX+0QYHl6czedTbAvD1Nn02Xl+pRrp8lUfYnohnCE5&#10;aKlWNrsBDexexTRCf0LysbZkaOns/GmdKQGnSWpIGBqP+qLtyuXotOJrpXW+EkO3vdKB7ADnY72u&#10;8TvW8Bssv7KC2I+4ksowaHoB/LnlJB08+mZxxGmuwQhOiRb4R+SoIBMo/YBMQYHt9IjW3RGMwahK&#10;W/Qh2z0anKOt4wfs1LUPquvRjNKRgsHJKK4dpziP3q/7wvTwry3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DfcTVAAAABgEAAA8AAAAAAAAAAQAgAAAAIgAAAGRycy9kb3ducmV2LnhtbFBLAQIU&#10;ABQAAAAIAIdO4kD5jHfh9gEAALMDAAAOAAAAAAAAAAEAIAAAACQBAABkcnMvZTJvRG9jLnhtbFBL&#10;BQYAAAAABgAGAFkBAACMBQAAAAA=&#10;">
                      <v:fill on="f" focussize="0,0"/>
                      <v:stroke weight="2pt" color="#FF0000" joinstyle="round"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35040" behindDoc="0" locked="0" layoutInCell="1" allowOverlap="1">
                      <wp:simplePos x="0" y="0"/>
                      <wp:positionH relativeFrom="column">
                        <wp:posOffset>2569210</wp:posOffset>
                      </wp:positionH>
                      <wp:positionV relativeFrom="paragraph">
                        <wp:posOffset>168910</wp:posOffset>
                      </wp:positionV>
                      <wp:extent cx="170815" cy="388620"/>
                      <wp:effectExtent l="10795" t="4445" r="21590" b="13335"/>
                      <wp:wrapNone/>
                      <wp:docPr id="125" name="下箭头 125"/>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2.3pt;margin-top:13.3pt;height:30.6pt;width:13.45pt;z-index:251735040;mso-width-relative:page;mso-height-relative:page;" fillcolor="#FFFFFF" filled="t" stroked="t" coordsize="21600,21600" o:gfxdata="UEsDBAoAAAAAAIdO4kAAAAAAAAAAAAAAAAAEAAAAZHJzL1BLAwQUAAAACACHTuJACJq2Q9sAAAAJ&#10;AQAADwAAAGRycy9kb3ducmV2LnhtbE2PsU7DMBCGdyTewTokNmqnhBCluVRQ1IWqA00Hurmxm0TE&#10;5yh224Snx0wwnU736b/vz5ej6dhFD661hBDNBDBNlVUt1Qj7cv2QAnNekpKdJY0waQfL4vYml5my&#10;V/rQl52vWQghl0mExvs+49xVjTbSzWyvKdxOdjDSh3WouRrkNYSbjs+FSLiRLYUPjez1qtHV1+5s&#10;EF54WXb79+9t9LY+vJ4+N9M4bVaI93eRWADzevR/MPzqB3UogtPRnkk51iHEIk4CijBPwgxA/Bg9&#10;ATsipM8p8CLn/xsUP1BLAwQUAAAACACHTuJALEJO7g0CAAAsBAAADgAAAGRycy9lMm9Eb2MueG1s&#10;rVNLjhMxEN0jcQfLe9IflKQnSmeECGGDYKRhDuD4023kn2xPOjkD12ALKxYcaBDXoOw0mQQ2CNEL&#10;d9lVfn71qmp5vdcK7bgP0poWV5MSI26oZdJ0Lb57v3nWYBQiMYwoa3iLDzzg69XTJ8vBLXhte6sY&#10;9whATFgMrsV9jG5RFIH2XJMwsY4bcArrNYmw9V3BPBkAXauiLstZMVjPnLeUhwCn66MTrzK+EJzG&#10;d0IEHpFqMXCLefV53aa1WC3JovPE9ZKONMg/sNBEGnj0BLUmkaB7L/+A0pJ6G6yIE2p1YYWQlOcc&#10;IJuq/C2b2544nnMBcYI7yRT+Hyx9u7vxSDKoXT3FyBANRXr49vHHl8/fP31F6RAkGlxYQOStu/Hj&#10;LoCZ8t0Lr9MfMkH7LOvhJCvfR0ThsJqXTQXgFFzPm2ZWZ9mLx8vOh/iaW42S0WJmB/PCeztkRcnu&#10;TYhZWjbSI+xDhZHQCiq1IwpNS/jGSp7F1Bcxs2Y+TzHw7IgI1q+HE3ywSrKNVCpvfLd9qTwC+BZv&#10;8jdevghTBg0tvpom6SiB9hWKRDC1A0GD6XICFzfCOXDifWQOXC7CErE1Cf2RQHYdE9Qycp+btueE&#10;vTIMxYODkhmYLpzIaM4wUhyGMVk5MhKp/iYSSCgDCqVqH+ubrK1lB2iRe+dl10N1qixE8kBLZj3H&#10;8Uk9f77PSI9Dvv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Jq2Q9sAAAAJAQAADwAAAAAAAAAB&#10;ACAAAAAiAAAAZHJzL2Rvd25yZXYueG1sUEsBAhQAFAAAAAgAh07iQCxCTu4NAgAALAQAAA4AAAAA&#10;AAAAAQAgAAAAKgEAAGRycy9lMm9Eb2MueG1sUEsFBgAAAAAGAAYAWQEAAKkFAAAAAA==&#10;" adj="16201,5400">
                      <v:fill on="t" focussize="0,0"/>
                      <v:stroke color="#000000" joinstyle="miter"/>
                      <v:imagedata o:title=""/>
                      <o:lock v:ext="edit" aspectratio="f"/>
                    </v:shape>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ind w:left="0" w:leftChars="0" w:firstLine="0" w:firstLineChars="0"/>
              <w:textAlignment w:val="auto"/>
              <w:rPr>
                <w:rFonts w:hint="eastAsia"/>
                <w:color w:val="auto"/>
              </w:rPr>
            </w:pPr>
            <w:r>
              <w:rPr>
                <w:color w:val="auto"/>
                <w:sz w:val="28"/>
              </w:rPr>
              <mc:AlternateContent>
                <mc:Choice Requires="wps">
                  <w:drawing>
                    <wp:anchor distT="0" distB="0" distL="114300" distR="114300" simplePos="0" relativeHeight="251737088" behindDoc="0" locked="0" layoutInCell="1" allowOverlap="1">
                      <wp:simplePos x="0" y="0"/>
                      <wp:positionH relativeFrom="column">
                        <wp:posOffset>3617595</wp:posOffset>
                      </wp:positionH>
                      <wp:positionV relativeFrom="paragraph">
                        <wp:posOffset>70485</wp:posOffset>
                      </wp:positionV>
                      <wp:extent cx="981075" cy="259080"/>
                      <wp:effectExtent l="0" t="0" r="0" b="0"/>
                      <wp:wrapNone/>
                      <wp:docPr id="126" name="矩形 126"/>
                      <wp:cNvGraphicFramePr/>
                      <a:graphic xmlns:a="http://schemas.openxmlformats.org/drawingml/2006/main">
                        <a:graphicData uri="http://schemas.microsoft.com/office/word/2010/wordprocessingShape">
                          <wps:wsp>
                            <wps:cNvSpPr/>
                            <wps:spPr>
                              <a:xfrm>
                                <a:off x="0" y="0"/>
                                <a:ext cx="981075" cy="259080"/>
                              </a:xfrm>
                              <a:prstGeom prst="rect">
                                <a:avLst/>
                              </a:prstGeom>
                              <a:noFill/>
                              <a:ln>
                                <a:noFill/>
                              </a:ln>
                            </wps:spPr>
                            <wps:txbx>
                              <w:txbxContent>
                                <w:p>
                                  <w:pPr>
                                    <w:pStyle w:val="11"/>
                                    <w:tabs>
                                      <w:tab w:val="left" w:pos="0"/>
                                    </w:tabs>
                                    <w:ind w:left="0" w:leftChars="0" w:firstLine="0" w:firstLineChars="0"/>
                                    <w:rPr>
                                      <w:rFonts w:hint="default"/>
                                      <w:color w:val="FF0000"/>
                                      <w:lang w:val="en-US"/>
                                    </w:rPr>
                                  </w:pPr>
                                  <w:r>
                                    <w:rPr>
                                      <w:rFonts w:hint="eastAsia" w:ascii="Times New Roman" w:hAnsi="Times New Roman" w:cs="Times New Roman"/>
                                      <w:color w:val="FF0000"/>
                                      <w:lang w:val="en-US" w:eastAsia="zh-CN"/>
                                    </w:rPr>
                                    <w:t>次氯酸钠溶液</w:t>
                                  </w:r>
                                </w:p>
                              </w:txbxContent>
                            </wps:txbx>
                            <wps:bodyPr upright="1"/>
                          </wps:wsp>
                        </a:graphicData>
                      </a:graphic>
                    </wp:anchor>
                  </w:drawing>
                </mc:Choice>
                <mc:Fallback>
                  <w:pict>
                    <v:rect id="_x0000_s1026" o:spid="_x0000_s1026" o:spt="1" style="position:absolute;left:0pt;margin-left:284.85pt;margin-top:5.55pt;height:20.4pt;width:77.25pt;z-index:251737088;mso-width-relative:page;mso-height-relative:page;" filled="f" stroked="f" coordsize="21600,21600" o:gfxdata="UEsDBAoAAAAAAIdO4kAAAAAAAAAAAAAAAAAEAAAAZHJzL1BLAwQUAAAACACHTuJA2BmZktkAAAAJ&#10;AQAADwAAAGRycy9kb3ducmV2LnhtbE2PQUvDQBCF74L/YRnBi9jNBm1tzKaHglhEKKba8zY7JsHs&#10;bJrdJvXfO570OHyP977JV2fXiRGH0HrSoGYJCKTK25ZqDe+7p9sHECEasqbzhBq+McCquLzITWb9&#10;RG84lrEWXEIhMxqaGPtMylA16EyY+R6J2acfnIl8DrW0g5m43HUyTZK5dKYlXmhMj+sGq6/y5DRM&#10;1Xbc716f5fZmv/F03BzX5ceL1tdXKnkEEfEc/8Lwq8/qULDTwZ/IBtFpuJ8vFxxloBQIDizSuxTE&#10;gYlagixy+f+D4gdQSwMEFAAAAAgAh07iQPszTsmFAQAA9gIAAA4AAABkcnMvZTJvRG9jLnhtbK1S&#10;S07DMBDdI3EHy3vqtBLQRk27qWCDAAk4gOvYjaX4o7Fp0tMgseMQHAdxDcZuafnsEJvJfF5m5r3x&#10;dN6blqwlBO1sRYeDghJphau1XVX04f7iZExJiNzWvHVWVnQjA53Pjo+mnS/lyDWurSUQbGJD2fmK&#10;NjH6krEgGml4GDgvLRaVA8MjhrBiNfAOu5uWjYrijHUOag9OyBAwu9gW6Sz3V0qKeKNUkJG0FcXd&#10;YraQ7TJZNpvycgXcN1rs1uB/2MJwbXHovtWCR04eQf9qZbQAF5yKA+EMc0ppITMHZDMsfrC5a7iX&#10;mQuKE/xepvB/bcX1+haIrvF2ozNKLDd4pPenl7fXZ5IyqE/nQ4mwO38Luyigm8j2Ckz6Ig3SZ003&#10;e01lH4nA5GQ8LM5PKRFYGp1OinHWnB1+9hDipXSGJKeigCfLSvL1VYg4EKGfkDTLugvdtvlsrf2W&#10;QGDKsLTvdsPkxX7Z79ZeunqDZB896FWDo4aJXYajuHnQ7iGk632NM+rwXG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2BmZktkAAAAJAQAADwAAAAAAAAABACAAAAAiAAAAZHJzL2Rvd25yZXYueG1s&#10;UEsBAhQAFAAAAAgAh07iQPszTsmFAQAA9gIAAA4AAAAAAAAAAQAgAAAAKAEAAGRycy9lMm9Eb2Mu&#10;eG1sUEsFBgAAAAAGAAYAWQEAAB8FAAAAAA==&#10;">
                      <v:fill on="f" focussize="0,0"/>
                      <v:stroke on="f"/>
                      <v:imagedata o:title=""/>
                      <o:lock v:ext="edit" aspectratio="f"/>
                      <v:textbox>
                        <w:txbxContent>
                          <w:p>
                            <w:pPr>
                              <w:pStyle w:val="11"/>
                              <w:tabs>
                                <w:tab w:val="left" w:pos="0"/>
                              </w:tabs>
                              <w:ind w:left="0" w:leftChars="0" w:firstLine="0" w:firstLineChars="0"/>
                              <w:rPr>
                                <w:rFonts w:hint="default"/>
                                <w:color w:val="FF0000"/>
                                <w:lang w:val="en-US"/>
                              </w:rPr>
                            </w:pPr>
                            <w:r>
                              <w:rPr>
                                <w:rFonts w:hint="eastAsia" w:ascii="Times New Roman" w:hAnsi="Times New Roman" w:cs="Times New Roman"/>
                                <w:color w:val="FF0000"/>
                                <w:lang w:val="en-US" w:eastAsia="zh-CN"/>
                              </w:rPr>
                              <w:t>次氯酸钠溶液</w:t>
                            </w:r>
                          </w:p>
                        </w:txbxContent>
                      </v:textbox>
                    </v:rect>
                  </w:pict>
                </mc:Fallback>
              </mc:AlternateContent>
            </w:r>
            <w:r>
              <w:rPr>
                <w:color w:val="auto"/>
                <w:sz w:val="28"/>
              </w:rPr>
              <mc:AlternateContent>
                <mc:Choice Requires="wps">
                  <w:drawing>
                    <wp:anchor distT="0" distB="0" distL="114300" distR="114300" simplePos="0" relativeHeight="251725824" behindDoc="0" locked="0" layoutInCell="1" allowOverlap="1">
                      <wp:simplePos x="0" y="0"/>
                      <wp:positionH relativeFrom="column">
                        <wp:posOffset>55245</wp:posOffset>
                      </wp:positionH>
                      <wp:positionV relativeFrom="paragraph">
                        <wp:posOffset>88900</wp:posOffset>
                      </wp:positionV>
                      <wp:extent cx="1112520" cy="476885"/>
                      <wp:effectExtent l="0" t="0" r="0" b="0"/>
                      <wp:wrapNone/>
                      <wp:docPr id="123" name="矩形 123"/>
                      <wp:cNvGraphicFramePr/>
                      <a:graphic xmlns:a="http://schemas.openxmlformats.org/drawingml/2006/main">
                        <a:graphicData uri="http://schemas.microsoft.com/office/word/2010/wordprocessingShape">
                          <wps:wsp>
                            <wps:cNvSpPr/>
                            <wps:spPr>
                              <a:xfrm>
                                <a:off x="0" y="0"/>
                                <a:ext cx="1112520" cy="47688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color w:val="FF0000"/>
                                      <w:lang w:val="en-US" w:eastAsia="zh-CN"/>
                                    </w:rPr>
                                  </w:pPr>
                                  <w:r>
                                    <w:rPr>
                                      <w:rFonts w:hint="eastAsia"/>
                                      <w:color w:val="FF0000"/>
                                      <w:lang w:val="en-US" w:eastAsia="zh-CN"/>
                                    </w:rPr>
                                    <w:t>生物酶促进剂</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color w:val="FF0000"/>
                                      <w:lang w:val="en-US" w:eastAsia="zh-CN"/>
                                    </w:rPr>
                                  </w:pPr>
                                  <w:r>
                                    <w:rPr>
                                      <w:rFonts w:hint="eastAsia"/>
                                      <w:color w:val="FF0000"/>
                                      <w:lang w:val="en-US" w:eastAsia="zh-CN"/>
                                    </w:rPr>
                                    <w:t>生物酶强化剂</w:t>
                                  </w:r>
                                </w:p>
                                <w:p>
                                  <w:pPr>
                                    <w:pStyle w:val="11"/>
                                    <w:tabs>
                                      <w:tab w:val="left" w:pos="0"/>
                                    </w:tabs>
                                    <w:rPr>
                                      <w:rFonts w:hint="eastAsia"/>
                                      <w:lang w:val="en-US" w:eastAsia="zh-CN"/>
                                    </w:rPr>
                                  </w:pPr>
                                </w:p>
                                <w:p>
                                  <w:pPr>
                                    <w:pStyle w:val="11"/>
                                    <w:tabs>
                                      <w:tab w:val="left" w:pos="0"/>
                                    </w:tabs>
                                    <w:rPr>
                                      <w:rFonts w:hint="default"/>
                                      <w:lang w:val="en-US"/>
                                    </w:rPr>
                                  </w:pPr>
                                </w:p>
                              </w:txbxContent>
                            </wps:txbx>
                            <wps:bodyPr upright="1"/>
                          </wps:wsp>
                        </a:graphicData>
                      </a:graphic>
                    </wp:anchor>
                  </w:drawing>
                </mc:Choice>
                <mc:Fallback>
                  <w:pict>
                    <v:rect id="_x0000_s1026" o:spid="_x0000_s1026" o:spt="1" style="position:absolute;left:0pt;margin-left:4.35pt;margin-top:7pt;height:37.55pt;width:87.6pt;z-index:251725824;mso-width-relative:page;mso-height-relative:page;" filled="f" stroked="f" coordsize="21600,21600" o:gfxdata="UEsDBAoAAAAAAIdO4kAAAAAAAAAAAAAAAAAEAAAAZHJzL1BLAwQUAAAACACHTuJAwJKWzdcAAAAH&#10;AQAADwAAAGRycy9kb3ducmV2LnhtbE2PQU/CQBCF7yb8h82YeDGyrRootVsOJEZiTAhFOS/dsW3o&#10;zpbu0uK/dzjpcd57efO9bHmxrRiw940jBfE0AoFUOtNQpeBz9/qQgPBBk9GtI1Twgx6W+eQm06lx&#10;I21xKEIluIR8qhXUIXSplL6s0Wo/dR0Se9+utzrw2VfS9HrkctvKxyiaSasb4g+17nBVY3kszlbB&#10;WG6G/e7jTW7u92tHp/VpVXy9K3V3G0cvIAJewl8YrviMDjkzHdyZjBetgmTOQZafedHVTp4WIA6s&#10;L2KQeSb/8+e/UEsDBBQAAAAIAIdO4kAvT14ghQEAAPcCAAAOAAAAZHJzL2Uyb0RvYy54bWytUklO&#10;wzAU3SNxB8t76iZMVdS0GwQbBEjAAVzHbizFg75Nk54GiR2H4DiIa/DtljLtEBvnT3l+731P54Pp&#10;yEpC0M7WtBiNKZFWuEbbZU3v784PJpSEyG3DO2dlTdcy0Plsf2/a+0qWrnVdI4EgiA1V72vaxugr&#10;xoJopeFh5Ly02FQODI+YwpI1wHtENx0rx+MT1jtoPDghQ8Dq2aZJZxlfKSnitVJBRtLVFLnFfEI+&#10;F+lksymvlsB9q8WWBv8DC8O1xUt3UGc8cvIA+heU0QJccCqOhDPMKaWFzBpQTTH+oea25V5mLWhO&#10;8Dubwv/BiqvVDRDd4O7KQ0osN7ikt8fn15cnkiroT+9DhWO3/ga2WcAwiR0UmPRFGWTInq53nsoh&#10;EoHFoijK4xKtF9g7Oj2ZTI4TKPv820OIF9IZkoKaAu4sW8lXlyFuRj9G0mXWneuuwzqvOvutgJip&#10;whLhDcUUxWExbHkvXLNGtQ8e9LLFq4rMJA2hu5nT9iWk9X3NM+jne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MCSls3XAAAABwEAAA8AAAAAAAAAAQAgAAAAIgAAAGRycy9kb3ducmV2LnhtbFBL&#10;AQIUABQAAAAIAIdO4kAvT14ghQEAAPcCAAAOAAAAAAAAAAEAIAAAACYBAABkcnMvZTJvRG9jLnht&#10;bFBLBQYAAAAABgAGAFkBAAAd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color w:val="FF0000"/>
                                <w:lang w:val="en-US" w:eastAsia="zh-CN"/>
                              </w:rPr>
                            </w:pPr>
                            <w:r>
                              <w:rPr>
                                <w:rFonts w:hint="eastAsia"/>
                                <w:color w:val="FF0000"/>
                                <w:lang w:val="en-US" w:eastAsia="zh-CN"/>
                              </w:rPr>
                              <w:t>生物酶促进剂</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color w:val="FF0000"/>
                                <w:lang w:val="en-US" w:eastAsia="zh-CN"/>
                              </w:rPr>
                            </w:pPr>
                            <w:r>
                              <w:rPr>
                                <w:rFonts w:hint="eastAsia"/>
                                <w:color w:val="FF0000"/>
                                <w:lang w:val="en-US" w:eastAsia="zh-CN"/>
                              </w:rPr>
                              <w:t>生物酶强化剂</w:t>
                            </w:r>
                          </w:p>
                          <w:p>
                            <w:pPr>
                              <w:pStyle w:val="11"/>
                              <w:tabs>
                                <w:tab w:val="left" w:pos="0"/>
                              </w:tabs>
                              <w:rPr>
                                <w:rFonts w:hint="eastAsia"/>
                                <w:lang w:val="en-US" w:eastAsia="zh-CN"/>
                              </w:rPr>
                            </w:pPr>
                          </w:p>
                          <w:p>
                            <w:pPr>
                              <w:pStyle w:val="11"/>
                              <w:tabs>
                                <w:tab w:val="left" w:pos="0"/>
                              </w:tabs>
                              <w:rPr>
                                <w:rFonts w:hint="default"/>
                                <w:lang w:val="en-US"/>
                              </w:rPr>
                            </w:pPr>
                          </w:p>
                        </w:txbxContent>
                      </v:textbox>
                    </v:rect>
                  </w:pict>
                </mc:Fallback>
              </mc:AlternateContent>
            </w:r>
            <w:r>
              <w:rPr>
                <w:color w:val="auto"/>
                <w:sz w:val="28"/>
              </w:rPr>
              <mc:AlternateContent>
                <mc:Choice Requires="wps">
                  <w:drawing>
                    <wp:anchor distT="0" distB="0" distL="114300" distR="114300" simplePos="0" relativeHeight="251723776" behindDoc="0" locked="0" layoutInCell="1" allowOverlap="1">
                      <wp:simplePos x="0" y="0"/>
                      <wp:positionH relativeFrom="column">
                        <wp:posOffset>1881505</wp:posOffset>
                      </wp:positionH>
                      <wp:positionV relativeFrom="paragraph">
                        <wp:posOffset>210185</wp:posOffset>
                      </wp:positionV>
                      <wp:extent cx="1600835" cy="337820"/>
                      <wp:effectExtent l="4445" t="4445" r="7620" b="13335"/>
                      <wp:wrapNone/>
                      <wp:docPr id="127" name="矩形 127"/>
                      <wp:cNvGraphicFramePr/>
                      <a:graphic xmlns:a="http://schemas.openxmlformats.org/drawingml/2006/main">
                        <a:graphicData uri="http://schemas.microsoft.com/office/word/2010/wordprocessingShape">
                          <wps:wsp>
                            <wps:cNvSpPr/>
                            <wps:spPr>
                              <a:xfrm>
                                <a:off x="0" y="0"/>
                                <a:ext cx="1600835" cy="33782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default" w:eastAsia="仿宋"/>
                                      <w:color w:val="FF0000"/>
                                      <w:lang w:val="en-US" w:eastAsia="zh-CN"/>
                                    </w:rPr>
                                  </w:pPr>
                                  <w:r>
                                    <w:rPr>
                                      <w:rFonts w:hint="eastAsia"/>
                                      <w:color w:val="FF0000"/>
                                      <w:lang w:val="en-US" w:eastAsia="zh-CN"/>
                                    </w:rPr>
                                    <w:t>混凝反应池</w:t>
                                  </w:r>
                                </w:p>
                              </w:txbxContent>
                            </wps:txbx>
                            <wps:bodyPr upright="1"/>
                          </wps:wsp>
                        </a:graphicData>
                      </a:graphic>
                    </wp:anchor>
                  </w:drawing>
                </mc:Choice>
                <mc:Fallback>
                  <w:pict>
                    <v:rect id="_x0000_s1026" o:spid="_x0000_s1026" o:spt="1" style="position:absolute;left:0pt;margin-left:148.15pt;margin-top:16.55pt;height:26.6pt;width:126.05pt;z-index:251723776;mso-width-relative:page;mso-height-relative:page;" fillcolor="#FFFFFF" filled="t" stroked="t" coordsize="21600,21600" o:gfxdata="UEsDBAoAAAAAAIdO4kAAAAAAAAAAAAAAAAAEAAAAZHJzL1BLAwQUAAAACACHTuJAa/pI/NcAAAAJ&#10;AQAADwAAAGRycy9kb3ducmV2LnhtbE2PQU+DQBCF7yb+h82YeLMLpRJKWXqoevCmbaMeF3YEIjuL&#10;7Lbgv3c81ePkfXnvm2I7216ccfSdIwXxIgKBVDvTUaPgeHi6y0D4oMno3hEq+EEP2/L6qtC5cRO9&#10;4nkfGsEl5HOtoA1hyKX0dYtW+4UbkDj7dKPVgc+xkWbUE5fbXi6jKJVWd8QLrR5w12L9tT9ZBYfd&#10;Eaf4432uGtIvz49vaf8wfyt1exNHGxAB53CB4U+f1aFkp8qdyHjRK1iu04RRBUkSg2DgfpWtQFQK&#10;Mg5kWcj/H5S/UEsDBBQAAAAIAIdO4kDz4WF46wEAAN8DAAAOAAAAZHJzL2Uyb0RvYy54bWytU0uO&#10;EzEQ3SNxB8t70p2OZia00pkFIWwQjDTDASr+dFvyT7Yn3TkNEjsOwXEQ16DshAwBFgjRC3fZLj+/&#10;96q8up2MJnsRonK2o/NZTYmwzHFl+45+eNi+WFISE1gO2lnR0YOI9Hb9/Nlq9K1o3OA0F4EgiI3t&#10;6Ds6pOTbqopsEAbizHlhcVO6YCDhNPQVDzAiutFVU9fX1egC98ExESOubo6bdF3wpRQsvZcyikR0&#10;R5FbKmMo4y6P1XoFbR/AD4qdaMA/sDCgLF56htpAAvIY1G9QRrHgopNpxpypnJSKiaIB1czrX9Tc&#10;D+BF0YLmRH+2Kf4/WPZufxeI4li75oYSCwaL9O3j569fPpG8gv6MPraYdu/vwmkWMcxiJxlM/qMM&#10;MhVPD2dPxZQIw8X5dV0vF1eUMNxbLG6WTTG9ejrtQ0xvhDMkBx0NWLNiJezfxoQ3YuqPlHxZdFrx&#10;rdK6TEK/e6UD2QPWd1u+TBmPXKRpS8aOvrxqMg/ANpMaEobGo/Bo+3LfxYl4CVzj9yfgTGwDcTgS&#10;KAg5DVqjksh2QTsI4K8tJ+ng0VqLr4BmMkZwSrTAR5OjkplA6b/JRHXaoshcmGMpcpSm3YQwOdw5&#10;fsCqPvqg+gEtnRfqeQe7qLhz6vjcpj/PC+jTu1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v6&#10;SPzXAAAACQEAAA8AAAAAAAAAAQAgAAAAIgAAAGRycy9kb3ducmV2LnhtbFBLAQIUABQAAAAIAIdO&#10;4kDz4WF46wEAAN8DAAAOAAAAAAAAAAEAIAAAACYBAABkcnMvZTJvRG9jLnhtbFBLBQYAAAAABgAG&#10;AFkBAACDBQAAAAA=&#10;">
                      <v:fill on="t" focussize="0,0"/>
                      <v:stroke color="#FF0000" joinstyle="miter"/>
                      <v:imagedata o:title=""/>
                      <o:lock v:ext="edit" aspectratio="f"/>
                      <v:textbox>
                        <w:txbxContent>
                          <w:p>
                            <w:pPr>
                              <w:ind w:left="0" w:leftChars="0" w:firstLine="0" w:firstLineChars="0"/>
                              <w:jc w:val="center"/>
                              <w:rPr>
                                <w:rFonts w:hint="default" w:eastAsia="仿宋"/>
                                <w:color w:val="FF0000"/>
                                <w:lang w:val="en-US" w:eastAsia="zh-CN"/>
                              </w:rPr>
                            </w:pPr>
                            <w:r>
                              <w:rPr>
                                <w:rFonts w:hint="eastAsia"/>
                                <w:color w:val="FF0000"/>
                                <w:lang w:val="en-US" w:eastAsia="zh-CN"/>
                              </w:rPr>
                              <w:t>混凝反应池</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29920" behindDoc="0" locked="0" layoutInCell="1" allowOverlap="1">
                      <wp:simplePos x="0" y="0"/>
                      <wp:positionH relativeFrom="column">
                        <wp:posOffset>3662045</wp:posOffset>
                      </wp:positionH>
                      <wp:positionV relativeFrom="paragraph">
                        <wp:posOffset>1905</wp:posOffset>
                      </wp:positionV>
                      <wp:extent cx="821690" cy="344170"/>
                      <wp:effectExtent l="0" t="0" r="0" b="0"/>
                      <wp:wrapNone/>
                      <wp:docPr id="138" name="矩形 138"/>
                      <wp:cNvGraphicFramePr/>
                      <a:graphic xmlns:a="http://schemas.openxmlformats.org/drawingml/2006/main">
                        <a:graphicData uri="http://schemas.microsoft.com/office/word/2010/wordprocessingShape">
                          <wps:wsp>
                            <wps:cNvSpPr/>
                            <wps:spPr>
                              <a:xfrm>
                                <a:off x="0" y="0"/>
                                <a:ext cx="821690" cy="344170"/>
                              </a:xfrm>
                              <a:prstGeom prst="rect">
                                <a:avLst/>
                              </a:prstGeom>
                              <a:noFill/>
                              <a:ln>
                                <a:noFill/>
                              </a:ln>
                            </wps:spPr>
                            <wps:txbx>
                              <w:txbxContent>
                                <w:p>
                                  <w:pPr>
                                    <w:pStyle w:val="11"/>
                                    <w:tabs>
                                      <w:tab w:val="left" w:pos="0"/>
                                    </w:tabs>
                                    <w:jc w:val="center"/>
                                    <w:rPr>
                                      <w:rFonts w:hint="default"/>
                                      <w:lang w:val="en-US"/>
                                    </w:rPr>
                                  </w:pPr>
                                  <w:r>
                                    <w:rPr>
                                      <w:rFonts w:hint="eastAsia" w:ascii="Times New Roman" w:hAnsi="Times New Roman" w:cs="Times New Roman"/>
                                      <w:color w:val="FF0000"/>
                                      <w:lang w:val="en-US" w:eastAsia="zh-CN"/>
                                    </w:rPr>
                                    <w:t>双氧水</w:t>
                                  </w:r>
                                </w:p>
                              </w:txbxContent>
                            </wps:txbx>
                            <wps:bodyPr upright="1"/>
                          </wps:wsp>
                        </a:graphicData>
                      </a:graphic>
                    </wp:anchor>
                  </w:drawing>
                </mc:Choice>
                <mc:Fallback>
                  <w:pict>
                    <v:rect id="_x0000_s1026" o:spid="_x0000_s1026" o:spt="1" style="position:absolute;left:0pt;margin-left:288.35pt;margin-top:0.15pt;height:27.1pt;width:64.7pt;z-index:251729920;mso-width-relative:page;mso-height-relative:page;" filled="f" stroked="f" coordsize="21600,21600" o:gfxdata="UEsDBAoAAAAAAIdO4kAAAAAAAAAAAAAAAAAEAAAAZHJzL1BLAwQUAAAACACHTuJASl/38tcAAAAH&#10;AQAADwAAAGRycy9kb3ducmV2LnhtbE2OzU6DQBSF9ya+w+SauDF2BrXQIEMXTYyNMWmktuspXIHI&#10;3KHMFOrbe7vS5fnJOV+2PNtOjDj41pGGaKZAIJWuaqnW8Ll9uV+A8MFQZTpHqOEHPSzz66vMpJWb&#10;6APHItSCR8inRkMTQp9K6csGrfEz1yNx9uUGawLLoZbVYCYet518UCqW1rTED43pcdVg+V2crIap&#10;3Iz77fur3Nzt146O6+Oq2L1pfXsTqWcQAc/hrwwXfEaHnJkO7kSVF52GeRInXNXwCILjRMURiAP7&#10;T3OQeSb/8+e/UEsDBBQAAAAIAIdO4kDiaYEQhQEAAPYCAAAOAAAAZHJzL2Uyb0RvYy54bWytUktO&#10;wzAQ3SNxB8t76qYgPlHTbirYIKhUOIDr2I2l+KOxadLTILHjEBwHcQ3Gbim/HWIzmc/LzLw3Hk97&#10;05K1hKCdrWgxGFIirXC1tquK3t9dHp1TEiK3NW+dlRXdyECnk8ODcedLOXKNa2sJBJvYUHa+ok2M&#10;vmQsiEYaHgbOS4tF5cDwiCGsWA28w+6mZaPh8JR1DmoPTsgQMDvbFukk91dKinirVJCRtBXF3WK2&#10;kO0yWTYZ83IF3Dda7Nbgf9jCcG1x6L7VjEdOHkD/amW0ABecigPhDHNKaSEzB2RTDH+wWTTcy8wF&#10;xQl+L1P4v7biZj0Homu83TGeynKDR3p7fH59eSIpg/p0PpQIW/g57KKAbiLbKzDpizRInzXd7DWV&#10;fSQCk+ej4vQClRdYOj45Kc6y5uzzZw8hXklnSHIqCniyrCRfX4eIAxH6AUmzrLvUbZvP1tpvCQSm&#10;DEv7bjdMXuyX/W7tpas3SPbBg141OKpI7DIcxc2Ddg8hXe9rnFGfz3Xy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pf9/LXAAAABwEAAA8AAAAAAAAAAQAgAAAAIgAAAGRycy9kb3ducmV2LnhtbFBL&#10;AQIUABQAAAAIAIdO4kDiaYEQhQEAAPYCAAAOAAAAAAAAAAEAIAAAACYBAABkcnMvZTJvRG9jLnht&#10;bFBLBQYAAAAABgAGAFkBAAAdBQAAAAA=&#10;">
                      <v:fill on="f" focussize="0,0"/>
                      <v:stroke on="f"/>
                      <v:imagedata o:title=""/>
                      <o:lock v:ext="edit" aspectratio="f"/>
                      <v:textbox>
                        <w:txbxContent>
                          <w:p>
                            <w:pPr>
                              <w:pStyle w:val="11"/>
                              <w:tabs>
                                <w:tab w:val="left" w:pos="0"/>
                              </w:tabs>
                              <w:jc w:val="center"/>
                              <w:rPr>
                                <w:rFonts w:hint="default"/>
                                <w:lang w:val="en-US"/>
                              </w:rPr>
                            </w:pPr>
                            <w:r>
                              <w:rPr>
                                <w:rFonts w:hint="eastAsia" w:ascii="Times New Roman" w:hAnsi="Times New Roman" w:cs="Times New Roman"/>
                                <w:color w:val="FF0000"/>
                                <w:lang w:val="en-US" w:eastAsia="zh-CN"/>
                              </w:rPr>
                              <w:t>双氧水</w:t>
                            </w:r>
                          </w:p>
                        </w:txbxContent>
                      </v:textbox>
                    </v:rect>
                  </w:pict>
                </mc:Fallback>
              </mc:AlternateContent>
            </w:r>
            <w:r>
              <w:rPr>
                <w:color w:val="auto"/>
                <w:sz w:val="28"/>
              </w:rPr>
              <mc:AlternateContent>
                <mc:Choice Requires="wps">
                  <w:drawing>
                    <wp:anchor distT="0" distB="0" distL="114300" distR="114300" simplePos="0" relativeHeight="251739136" behindDoc="0" locked="0" layoutInCell="1" allowOverlap="1">
                      <wp:simplePos x="0" y="0"/>
                      <wp:positionH relativeFrom="column">
                        <wp:posOffset>2931160</wp:posOffset>
                      </wp:positionH>
                      <wp:positionV relativeFrom="paragraph">
                        <wp:posOffset>207645</wp:posOffset>
                      </wp:positionV>
                      <wp:extent cx="170815" cy="388620"/>
                      <wp:effectExtent l="10795" t="4445" r="21590" b="13335"/>
                      <wp:wrapNone/>
                      <wp:docPr id="128" name="下箭头 128"/>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0.8pt;margin-top:16.35pt;height:30.6pt;width:13.45pt;z-index:251739136;mso-width-relative:page;mso-height-relative:page;" fillcolor="#FFFFFF" filled="t" stroked="t" coordsize="21600,21600" o:gfxdata="UEsDBAoAAAAAAIdO4kAAAAAAAAAAAAAAAAAEAAAAZHJzL1BLAwQUAAAACACHTuJA8Gqfr9wAAAAJ&#10;AQAADwAAAGRycy9kb3ducmV2LnhtbE2Py07DMBBF90j8gzVI7KiTPkIa4lRQ1E0rFjRdwM6Np0mE&#10;PY5it034eswKlqN7dO+ZfDUYzS7Yu9aSgHgSAUOqrGqpFnAoNw8pMOclKaktoYARHayK25tcZspe&#10;6R0ve1+zUEIukwIa77uMc1c1aKSb2A4pZCfbG+nD2ddc9fIayo3m0yhKuJEthYVGdrhusPran42A&#10;Z16W+rD9fotfN58vp4/dOIy7tRD3d3H0BMzj4P9g+NUP6lAEp6M9k3JMC5gncRJQAbPpI7AAzNN0&#10;AewoYDlbAi9y/v+D4gdQSwMEFAAAAAgAh07iQNjQ6MINAgAALAQAAA4AAABkcnMvZTJvRG9jLnht&#10;bK1TS44TMRDdI3EHy3vSH5TPtNIZIULYIBhpmAM4/nQb+Sfbk07OwDXYwooFBxrENSg7TSaBDUL0&#10;wl12lZ9fvapaXu+1Qjvug7SmxdWkxIgbapk0XYvv3m+eLTAKkRhGlDW8xQce8PXq6ZPl4Bpe294q&#10;xj0CEBOawbW4j9E1RRFozzUJE+u4AaewXpMIW98VzJMB0LUq6rKcFYP1zHlLeQhwuj468SrjC8Fp&#10;fCdE4BGpFgO3mFef121ai9WSNJ0nrpd0pEH+gYUm0sCjJ6g1iQTde/kHlJbU22BFnFCrCyuEpDzn&#10;ANlU5W/Z3PbE8ZwLiBPcSabw/2Dp292NR5JB7WoolSEaivTw7eOPL5+/f/qK0iFINLjQQOStu/Hj&#10;LoCZ8t0Lr9MfMkH7LOvhJCvfR0ThsJqXi2qKEQXX88ViVmfZi8fLzof4mluNktFiZgfzwns7ZEXJ&#10;7k2IWVo20iPsQ4WR0AoqtSMKTUv4xkqexdQXMbPFfJ5i4NkREaxfDyf4YJVkG6lU3vhu+1J5BPAt&#10;3uRvvHwRpgwaWnw1rVN2BNpXKBLB1A4EDabLCVzcCOfAifeROXC5CEvE1iT0RwLZdUxQy8h9btqe&#10;E/bKMBQPDkpmYLpwIqM5w0hxGMZk5chIpPqbSCChDCiUqn2sb7K2lh2gRe6dl10P1amyEMkDLZn1&#10;HMcn9fz5PiM9Dv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qn6/cAAAACQEAAA8AAAAAAAAA&#10;AQAgAAAAIgAAAGRycy9kb3ducmV2LnhtbFBLAQIUABQAAAAIAIdO4kDY0OjCDQIAACwEAAAOAAAA&#10;AAAAAAEAIAAAACs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20704" behindDoc="0" locked="0" layoutInCell="1" allowOverlap="1">
                      <wp:simplePos x="0" y="0"/>
                      <wp:positionH relativeFrom="column">
                        <wp:posOffset>1080770</wp:posOffset>
                      </wp:positionH>
                      <wp:positionV relativeFrom="paragraph">
                        <wp:posOffset>7620</wp:posOffset>
                      </wp:positionV>
                      <wp:extent cx="791210" cy="2540"/>
                      <wp:effectExtent l="0" t="61595" r="8890" b="62865"/>
                      <wp:wrapNone/>
                      <wp:docPr id="137" name="直接连接符 137"/>
                      <wp:cNvGraphicFramePr/>
                      <a:graphic xmlns:a="http://schemas.openxmlformats.org/drawingml/2006/main">
                        <a:graphicData uri="http://schemas.microsoft.com/office/word/2010/wordprocessingShape">
                          <wps:wsp>
                            <wps:cNvCnPr/>
                            <wps:spPr>
                              <a:xfrm>
                                <a:off x="0" y="0"/>
                                <a:ext cx="791210" cy="2540"/>
                              </a:xfrm>
                              <a:prstGeom prst="line">
                                <a:avLst/>
                              </a:prstGeom>
                              <a:ln w="22225"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85.1pt;margin-top:0.6pt;height:0.2pt;width:62.3pt;z-index:251720704;mso-width-relative:page;mso-height-relative:page;" filled="f" stroked="t" coordsize="21600,21600" o:gfxdata="UEsDBAoAAAAAAIdO4kAAAAAAAAAAAAAAAAAEAAAAZHJzL1BLAwQUAAAACACHTuJAREyantYAAAAH&#10;AQAADwAAAGRycy9kb3ducmV2LnhtbE2PQU/DMAyF75P4D5EncZlYsgoNWppOFRo3JLSNC7e08dqy&#10;xqmarBv/HnMaJ/vpPT1/zjdX14sJx9B50rBaKhBItbcdNRo+D28PzyBCNGRN7wk1/GCATXE3y01m&#10;/YV2OO1jI7iEQmY0tDEOmZShbtGZsPQDEntHPzoTWY6NtKO5cLnrZaLUWjrTEV9ozYCvLdan/dlp&#10;2Kbl9HFYDLttLb/Tr2pRvh9DqfX9fKVeQES8xlsY/vAZHQpmqvyZbBA96yeVcJQXHuwn6SO/UrFe&#10;gyxy+Z+/+AVQSwMEFAAAAAgAh07iQHgRhlXqAQAAnwMAAA4AAABkcnMvZTJvRG9jLnhtbK1TS44T&#10;MRDdI3EHy3vS3YFhoJXOLCaEDYJIMAeo+NNtyT/ZnnRyCS6AxA5WLNlzG4ZjTNkdEj47hBfusuv5&#10;ud5z9eJqbzTZiRCVsx1tZjUlwjLHle07evNu/egZJTGB5aCdFR09iEivlg8fLEbfirkbnOYiECSx&#10;sR19R4eUfFtVkQ3CQJw5LywmpQsGEi5DX/EAI7IbXc3r+mk1usB9cEzEiLurKUmXhV9KwdIbKaNI&#10;RHcUa0tlDmXe5rlaLqDtA/hBsWMZ8A9VGFAWLz1RrSABuQ3qLyqjWHDRyTRjzlROSsVE0YBqmvoP&#10;NW8H8KJoQXOiP9kU/x8te73bBKI4vt3jS0osGHykuw9fv7//9OPbR5zvvnwmOYVGjT62iL+2m3Bc&#10;Rb8JWfVeBpO/qIfsi7mHk7linwjDzcvnzbzBJ2CYml88KdZX56M+xPRSOENy0FGtbFYOLexexYTX&#10;IfQnJG9rS0bkwXGBlICdIzUkDI1HLdH25XB0WvG10jofiaHfXutAdoC9sF7XOLIqJP4Nlm9ZQRwm&#10;XElNXTII4C8sJ+ng0SOL7UxzDUZwSrTA7s8REkKbQOkzMgUFttcTWvdHMAbT5dpiDdnaycwcbR0/&#10;4Kvc+qD6Ac1oCjRnsAtKxceOzW3267ownf+r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TJqe&#10;1gAAAAcBAAAPAAAAAAAAAAEAIAAAACIAAABkcnMvZG93bnJldi54bWxQSwECFAAUAAAACACHTuJA&#10;eBGGVeoBAACfAwAADgAAAAAAAAABACAAAAAlAQAAZHJzL2Uyb0RvYy54bWxQSwUGAAAAAAYABgBZ&#10;AQAAgQUAAAAA&#10;">
                      <v:fill on="f" focussize="0,0"/>
                      <v:stroke weight="1.75pt" color="#FF0000" joinstyle="round"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36064" behindDoc="0" locked="0" layoutInCell="1" allowOverlap="1">
                      <wp:simplePos x="0" y="0"/>
                      <wp:positionH relativeFrom="column">
                        <wp:posOffset>3494405</wp:posOffset>
                      </wp:positionH>
                      <wp:positionV relativeFrom="paragraph">
                        <wp:posOffset>20955</wp:posOffset>
                      </wp:positionV>
                      <wp:extent cx="1120775" cy="3175"/>
                      <wp:effectExtent l="0" t="60960" r="9525" b="62865"/>
                      <wp:wrapNone/>
                      <wp:docPr id="139" name="直接连接符 139"/>
                      <wp:cNvGraphicFramePr/>
                      <a:graphic xmlns:a="http://schemas.openxmlformats.org/drawingml/2006/main">
                        <a:graphicData uri="http://schemas.microsoft.com/office/word/2010/wordprocessingShape">
                          <wps:wsp>
                            <wps:cNvCnPr/>
                            <wps:spPr>
                              <a:xfrm flipH="1">
                                <a:off x="0" y="0"/>
                                <a:ext cx="1120775" cy="3175"/>
                              </a:xfrm>
                              <a:prstGeom prst="line">
                                <a:avLst/>
                              </a:prstGeom>
                              <a:ln w="25400" cap="flat" cmpd="sng">
                                <a:solidFill>
                                  <a:srgbClr val="FF0000"/>
                                </a:solidFill>
                                <a:prstDash val="solid"/>
                                <a:headEnd type="none" w="med" len="med"/>
                                <a:tailEnd type="triangle" w="lg" len="lg"/>
                              </a:ln>
                            </wps:spPr>
                            <wps:bodyPr upright="1"/>
                          </wps:wsp>
                        </a:graphicData>
                      </a:graphic>
                    </wp:anchor>
                  </w:drawing>
                </mc:Choice>
                <mc:Fallback>
                  <w:pict>
                    <v:line id="_x0000_s1026" o:spid="_x0000_s1026" o:spt="20" style="position:absolute;left:0pt;flip:x;margin-left:275.15pt;margin-top:1.65pt;height:0.25pt;width:88.25pt;z-index:251736064;mso-width-relative:page;mso-height-relative:page;" filled="f" stroked="t" coordsize="21600,21600" o:gfxdata="UEsDBAoAAAAAAIdO4kAAAAAAAAAAAAAAAAAEAAAAZHJzL1BLAwQUAAAACACHTuJAWTgfcdcAAAAH&#10;AQAADwAAAGRycy9kb3ducmV2LnhtbE2PwU7DMBBE70j8g7VIXBC126olhDg9RCAOCKGWXrht4iWJ&#10;GtuR7Tbl71lO9LQazWj2TbE520GcKMTeOw3zmQJBrvGmd62G/efLfQYiJnQGB+9Iww9F2JTXVwXm&#10;xk9uS6ddagWXuJijhi6lMZcyNh1ZjDM/kmPv2weLiWVopQk4cbkd5EKptbTYO/7Q4UhVR81hd7Tc&#10;ErH6+qj24VC/PWK2fafn6fVO69ubuXoCkeic/sPwh8/oUDJT7Y/ORDFoWK3UkqMalnzYf1iseUrN&#10;OgNZFvKSv/wFUEsDBBQAAAAIAIdO4kBmqZql8gEAAKoDAAAOAAAAZHJzL2Uyb0RvYy54bWytU0uO&#10;EzEQ3SNxB8t70t0ZhoFWOrOYEFggiMRwgIo/3Zb8k+1JJ5fgAkjsYMWSPbdhOMaU3SHDZ4foRans&#10;en5d77m8uNwbTXYiROVsR5tZTYmwzHFl+46+u14/ekpJTGA5aGdFRw8i0svlwweL0bdi7ganuQgE&#10;SWxsR9/RISXfVlVkgzAQZ84Li0XpgoGEy9BXPMCI7EZX87p+Uo0ucB8cEzHi7moq0mXhl1Kw9EbK&#10;KBLRHcXeUomhxG2O1XIBbR/AD4od24B/6MKAsvjTE9UKEpCboP6iMooFF51MM+ZM5aRUTBQNqKap&#10;/1DzdgAvihY0J/qTTfH/0bLXu00giuPdnT2jxILBS7r98PX7+08/vn3EePvlM8klNGr0sUX8ld2E&#10;4yr6Tciq9zIYIrXyL5Gn+IDKyL7YfDjZLPaJMNxsmnl9cXFOCcPaWYMZ0lUTS2bzIaYXwhmSk45q&#10;ZbMJ0MLuVUwT9Cckb2tLxo7Ozx/XeMEMcIikhoSp8Sgr2r4cjk4rvlZa5yMx9NsrHcgOcCzW6xq/&#10;Yw+/wfJfVhCHCVdKGQbtIIA/t5ykg0e7LE42zT0YwSnRAh9CzgoygdL3yBQU2F5PaN0fwZhMqrRF&#10;H7LLk6852zp+wAu68UH1A5rRFGiu4EAU147Dmyfu13Vhun9iy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OB9x1wAAAAcBAAAPAAAAAAAAAAEAIAAAACIAAABkcnMvZG93bnJldi54bWxQSwECFAAU&#10;AAAACACHTuJAZqmapfIBAACqAwAADgAAAAAAAAABACAAAAAmAQAAZHJzL2Uyb0RvYy54bWxQSwUG&#10;AAAAAAYABgBZAQAAigUAAAAA&#10;">
                      <v:fill on="f" focussize="0,0"/>
                      <v:stroke weight="2pt" color="#FF0000" joinstyle="round" endarrow="block" endarrowwidth="wide" endarrowlength="long"/>
                      <v:imagedata o:title=""/>
                      <o:lock v:ext="edit" aspectratio="f"/>
                    </v:line>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41184" behindDoc="0" locked="0" layoutInCell="1" allowOverlap="1">
                      <wp:simplePos x="0" y="0"/>
                      <wp:positionH relativeFrom="column">
                        <wp:posOffset>700405</wp:posOffset>
                      </wp:positionH>
                      <wp:positionV relativeFrom="paragraph">
                        <wp:posOffset>273685</wp:posOffset>
                      </wp:positionV>
                      <wp:extent cx="1124585" cy="274955"/>
                      <wp:effectExtent l="4445" t="4445" r="13970" b="12700"/>
                      <wp:wrapNone/>
                      <wp:docPr id="148" name="矩形 148"/>
                      <wp:cNvGraphicFramePr/>
                      <a:graphic xmlns:a="http://schemas.openxmlformats.org/drawingml/2006/main">
                        <a:graphicData uri="http://schemas.microsoft.com/office/word/2010/wordprocessingShape">
                          <wps:wsp>
                            <wps:cNvSpPr/>
                            <wps:spPr>
                              <a:xfrm>
                                <a:off x="0" y="0"/>
                                <a:ext cx="1124585" cy="27495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default"/>
                                      <w:lang w:val="en-US" w:eastAsia="zh-CN"/>
                                    </w:rPr>
                                  </w:pPr>
                                  <w:r>
                                    <w:rPr>
                                      <w:rFonts w:hint="eastAsia"/>
                                      <w:color w:val="FF0000"/>
                                      <w:lang w:val="en-US" w:eastAsia="zh-CN"/>
                                    </w:rPr>
                                    <w:t>反洗水回用池</w:t>
                                  </w:r>
                                </w:p>
                              </w:txbxContent>
                            </wps:txbx>
                            <wps:bodyPr upright="1"/>
                          </wps:wsp>
                        </a:graphicData>
                      </a:graphic>
                    </wp:anchor>
                  </w:drawing>
                </mc:Choice>
                <mc:Fallback>
                  <w:pict>
                    <v:rect id="_x0000_s1026" o:spid="_x0000_s1026" o:spt="1" style="position:absolute;left:0pt;margin-left:55.15pt;margin-top:21.55pt;height:21.65pt;width:88.55pt;z-index:251741184;mso-width-relative:page;mso-height-relative:page;" fillcolor="#FFFFFF" filled="t" stroked="t" coordsize="21600,21600" o:gfxdata="UEsDBAoAAAAAAIdO4kAAAAAAAAAAAAAAAAAEAAAAZHJzL1BLAwQUAAAACACHTuJAY6mradcAAAAJ&#10;AQAADwAAAGRycy9kb3ducmV2LnhtbE2PMU/DMBCFdyT+g3VIbNR2G4UoxOlQYGCDtgJGJz6SCPsc&#10;YrcJ/x4zwfh0n977rtouzrIzTmHwpECuBDCk1puBOgXHw+NNASxETUZbT6jgGwNs68uLSpfGz/SC&#10;533sWCqhUGoFfYxjyXloe3Q6rPyIlG4ffnI6pjh13Ex6TuXO8rUQOXd6oLTQ6xF3Pbaf+5NTcNgd&#10;cZbvb0vTkX5+enjN7f3ypdT1lRR3wCIu8Q+GX/2kDnVyavyJTGA2ZSk2CVWQbSSwBKyL2wxYo6DI&#10;M+B1xf9/UP8AUEsDBBQAAAAIAIdO4kCY+iB36AEAAN8DAAAOAAAAZHJzL2Uyb0RvYy54bWytU0uO&#10;EzEQ3SNxB8t70h+lYaaVziwIYYNgpIEDVGx3tyX/ZHvSndMgseMQHAdxDcpOyJAZFgjRC3eVq/xc&#10;9V55dTNrRfbCB2lNR6tFSYkwzHJpho5++rh9cUVJiGA4KGtERw8i0Jv182erybWitqNVXHiCICa0&#10;k+voGKNriyKwUWgIC+uEwWBvvYaIrh8K7mFCdK2KuixfFpP13HnLRAi4uzkG6Trj971g8UPfBxGJ&#10;6ijWFvPq87pLa7FeQTt4cKNkpzLgH6rQIA1eeobaQARy7+UTKC2Zt8H2ccGsLmzfSyZyD9hNVT7q&#10;5m4EJ3IvSE5wZ5rC/4Nl7/e3nkiO2i1RKgMaRfrx+ev3b19I2kF+JhdaTLtzt/7kBTRTs3Pvdfpj&#10;G2TOnB7OnIo5EoabVVUvm6uGEoax+tXyumkSaPFw2vkQ3wqrSTI66lGzTCXs34V4TP2Vki4LVkm+&#10;lUplxw+718qTPaC+2/yd0C/SlCFTR6+bOtUBOGa9goimdth4MEO+7+JEuAQu8fsTcCpsA2E8FpAR&#10;Uhq0WkbhszUK4G8MJ/HgkFqDr4CmYrTglCiBjyZZOTOCVH+TidwpgxQmYY5SJCvOuxlhkrmz/ICq&#10;3jsvhxEprXLpKYJTlLk/TXwa09/9DPrwLt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pq2nX&#10;AAAACQEAAA8AAAAAAAAAAQAgAAAAIgAAAGRycy9kb3ducmV2LnhtbFBLAQIUABQAAAAIAIdO4kCY&#10;+iB36AEAAN8DAAAOAAAAAAAAAAEAIAAAACYBAABkcnMvZTJvRG9jLnhtbFBLBQYAAAAABgAGAFkB&#10;AACABQAAAAA=&#10;">
                      <v:fill on="t" focussize="0,0"/>
                      <v:stroke color="#FF0000" joinstyle="miter"/>
                      <v:imagedata o:title=""/>
                      <o:lock v:ext="edit" aspectratio="f"/>
                      <v:textbox>
                        <w:txbxContent>
                          <w:p>
                            <w:pPr>
                              <w:ind w:left="0" w:leftChars="0" w:firstLine="0" w:firstLineChars="0"/>
                              <w:jc w:val="center"/>
                              <w:rPr>
                                <w:rFonts w:hint="default"/>
                                <w:lang w:val="en-US" w:eastAsia="zh-CN"/>
                              </w:rPr>
                            </w:pPr>
                            <w:r>
                              <w:rPr>
                                <w:rFonts w:hint="eastAsia"/>
                                <w:color w:val="FF0000"/>
                                <w:lang w:val="en-US" w:eastAsia="zh-CN"/>
                              </w:rPr>
                              <w:t>反洗水回用池</w:t>
                            </w:r>
                          </w:p>
                        </w:txbxContent>
                      </v:textbox>
                    </v:rect>
                  </w:pict>
                </mc:Fallback>
              </mc:AlternateContent>
            </w:r>
            <w:r>
              <w:rPr>
                <w:color w:val="auto"/>
                <w:sz w:val="28"/>
              </w:rPr>
              <mc:AlternateContent>
                <mc:Choice Requires="wps">
                  <w:drawing>
                    <wp:anchor distT="0" distB="0" distL="114300" distR="114300" simplePos="0" relativeHeight="251740160" behindDoc="0" locked="0" layoutInCell="1" allowOverlap="1">
                      <wp:simplePos x="0" y="0"/>
                      <wp:positionH relativeFrom="column">
                        <wp:posOffset>2274570</wp:posOffset>
                      </wp:positionH>
                      <wp:positionV relativeFrom="paragraph">
                        <wp:posOffset>254635</wp:posOffset>
                      </wp:positionV>
                      <wp:extent cx="1556385" cy="311150"/>
                      <wp:effectExtent l="4445" t="5080" r="13970" b="13970"/>
                      <wp:wrapNone/>
                      <wp:docPr id="150" name="矩形 150"/>
                      <wp:cNvGraphicFramePr/>
                      <a:graphic xmlns:a="http://schemas.openxmlformats.org/drawingml/2006/main">
                        <a:graphicData uri="http://schemas.microsoft.com/office/word/2010/wordprocessingShape">
                          <wps:wsp>
                            <wps:cNvSpPr/>
                            <wps:spPr>
                              <a:xfrm>
                                <a:off x="0" y="0"/>
                                <a:ext cx="1556385" cy="3111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left="0" w:leftChars="0" w:firstLine="0" w:firstLineChars="0"/>
                                    <w:jc w:val="center"/>
                                    <w:rPr>
                                      <w:rFonts w:hint="eastAsia"/>
                                      <w:color w:val="FF0000"/>
                                      <w:lang w:val="en-US" w:eastAsia="zh-CN"/>
                                    </w:rPr>
                                  </w:pPr>
                                  <w:r>
                                    <w:rPr>
                                      <w:rFonts w:hint="eastAsia"/>
                                      <w:color w:val="FF0000"/>
                                      <w:lang w:val="en-US" w:eastAsia="zh-CN"/>
                                    </w:rPr>
                                    <w:t>虹吸反硝化滤池</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79.1pt;margin-top:20.05pt;height:24.5pt;width:122.55pt;z-index:251740160;mso-width-relative:page;mso-height-relative:page;" fillcolor="#FFFFFF" filled="t" stroked="t" coordsize="21600,21600" o:gfxdata="UEsDBAoAAAAAAIdO4kAAAAAAAAAAAAAAAAAEAAAAZHJzL1BLAwQUAAAACACHTuJA6ofpOtcAAAAJ&#10;AQAADwAAAGRycy9kb3ducmV2LnhtbE2PMU/DMBCFdyT+g3VIbNR2A1EIcToUGNigrYDRiY8kwj6H&#10;2G3Cv8dMMJ7ep/e+qzaLs+yEUxg8KZArAQyp9WagTsFh/3hVAAtRk9HWEyr4xgCb+vys0qXxM73g&#10;aRc7lkoolFpBH+NYch7aHp0OKz8ipezDT07HdE4dN5OeU7mzfC1Ezp0eKC30esRtj+3n7ugU7LcH&#10;nOX729J0pJ+fHl5ze798KXV5IcUdsIhL/IPhVz+pQ52cGn8kE5hVkN0U64QquBYSWAJykWXAGgXF&#10;rQReV/z/B/UPUEsDBBQAAAAIAIdO4kBhNN9L6AEAAN8DAAAOAAAAZHJzL2Uyb0RvYy54bWytU0uO&#10;EzEQ3SNxB8t70t0Z9WhopTMLQtggGGmYA1T86bbkn2xPunMaJHYcguMgrkHZCRkCLBCiF+6yXX5+&#10;71V5dTsbTfYiROVsT5tFTYmwzHFlh54+fNi+uKEkJrActLOipwcR6e36+bPV5DuxdKPTXASCIDZ2&#10;k+/pmJLvqiqyURiIC+eFxU3pgoGE0zBUPMCE6EZXy7q+riYXuA+OiRhxdXPcpOuCL6Vg6b2UUSSi&#10;e4rcUhlDGXd5rNYr6IYAflTsRAP+gYUBZfHSM9QGEpDHoH6DMooFF51MC+ZM5aRUTBQNqKapf1Fz&#10;P4IXRQuaE/3Zpvj/YNm7/V0gimPtWvTHgsEiffv4+euXTySvoD+Tjx2m3fu7cJpFDLPYWQaT/yiD&#10;zMXTw9lTMSfCcLFp2+urm5YShntXTXMCrZ5O+xDTG+EMyUFPA9asWAn7tzHhjZj6IyVfFp1WfKu0&#10;LpMw7F7pQPaA9d2WL1PGIxdp2pKppy/bZeYB2GZSQ8LQeBQe7VDuuzgRL4Fr/P4EnIltII5HAgUh&#10;p0FnVBLZLuhGAfy15SQdPFpr8RXQTMYITokW+GhyVDITKP03mahOWxSZC3MsRY7SvJsRJoc7xw9Y&#10;1Ucf1DCipU2hnnewi4o7p47PbfrzvIA+vcv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H6TrX&#10;AAAACQEAAA8AAAAAAAAAAQAgAAAAIgAAAGRycy9kb3ducmV2LnhtbFBLAQIUABQAAAAIAIdO4kBh&#10;NN9L6AEAAN8DAAAOAAAAAAAAAAEAIAAAACYBAABkcnMvZTJvRG9jLnhtbFBLBQYAAAAABgAGAFkB&#10;AACABQAAAAA=&#10;">
                      <v:fill on="t" focussize="0,0"/>
                      <v:stroke color="#FF0000" joinstyle="miter"/>
                      <v:imagedata o:title=""/>
                      <o:lock v:ext="edit" aspectratio="f"/>
                      <v:textbox>
                        <w:txbxContent>
                          <w:p>
                            <w:pPr>
                              <w:ind w:left="0" w:leftChars="0" w:firstLine="0" w:firstLineChars="0"/>
                              <w:jc w:val="center"/>
                              <w:rPr>
                                <w:rFonts w:hint="eastAsia"/>
                                <w:color w:val="FF0000"/>
                                <w:lang w:val="en-US" w:eastAsia="zh-CN"/>
                              </w:rPr>
                            </w:pPr>
                            <w:r>
                              <w:rPr>
                                <w:rFonts w:hint="eastAsia"/>
                                <w:color w:val="FF0000"/>
                                <w:lang w:val="en-US" w:eastAsia="zh-CN"/>
                              </w:rPr>
                              <w:t>虹吸反硝化滤池</w:t>
                            </w:r>
                          </w:p>
                          <w:p>
                            <w:pPr>
                              <w:rPr>
                                <w:rFonts w:hint="default"/>
                                <w:lang w:val="en-US" w:eastAsia="zh-CN"/>
                              </w:rPr>
                            </w:pP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26848" behindDoc="0" locked="0" layoutInCell="1" allowOverlap="1">
                      <wp:simplePos x="0" y="0"/>
                      <wp:positionH relativeFrom="column">
                        <wp:posOffset>2929255</wp:posOffset>
                      </wp:positionH>
                      <wp:positionV relativeFrom="paragraph">
                        <wp:posOffset>231140</wp:posOffset>
                      </wp:positionV>
                      <wp:extent cx="170815" cy="388620"/>
                      <wp:effectExtent l="10795" t="4445" r="21590" b="13335"/>
                      <wp:wrapNone/>
                      <wp:docPr id="146" name="下箭头 146"/>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0.65pt;margin-top:18.2pt;height:30.6pt;width:13.45pt;z-index:251726848;mso-width-relative:page;mso-height-relative:page;" fillcolor="#FFFFFF" filled="t" stroked="t" coordsize="21600,21600" o:gfxdata="UEsDBAoAAAAAAIdO4kAAAAAAAAAAAAAAAAAEAAAAZHJzL1BLAwQUAAAACACHTuJASqUD+NsAAAAJ&#10;AQAADwAAAGRycy9kb3ducmV2LnhtbE2PTU+DQBRF9yb+h8kzcWcHWoKIPBqt6cbGhaUL3U2ZVyDO&#10;B2GmLfjrO67q8uWe3HtesRy1YicaXGcNQjyLgJGprexMg7Cr1g8ZMOeFkUJZQwgTOViWtzeFyKU9&#10;m086bX3DQolxuUBove9zzl3dkhZuZnsyITvYQQsfzqHhchDnUK4Vn0dRyrXoTFhoRU+rluqf7VEj&#10;vPCqUrv334/4bf39evjaTOO0WSHe38XRMzBPo7/C8Kcf1KEMTnt7NNIxhZCk8SKgCIs0ARaAJMvm&#10;wPYIT48p8LLg/z8oL1BLAwQUAAAACACHTuJAHh49Gg4CAAAsBAAADgAAAGRycy9lMm9Eb2MueG1s&#10;rVNLjhMxEN0jcQfLe9IfyGda6YwQIWwQjDTMARx/uo38k+1JJ2fgGmxhxYIDgbgGZafJJLBBiF64&#10;y67y86tXVcvrvVZox32Q1rS4mpQYcUMtk6Zr8d27zZMFRiESw4iyhrf4wAO+Xj1+tBxcw2vbW8W4&#10;RwBiQjO4FvcxuqYoAu25JmFiHTfgFNZrEmHru4J5MgC6VkVdlrNisJ45bykPAU7XRydeZXwhOI1v&#10;hQg8ItVi4Bbz6vO6TWuxWpKm88T1ko40yD+w0EQaePQEtSaRoHsv/4DSknobrIgTanVhhZCU5xwg&#10;m6r8LZvbnjiecwFxgjvJFP4fLH2zu/FIMqjdsxlGhmgo0revH358/vT94xeUDkGiwYUGIm/djR93&#10;AcyU7154nf6QCdpnWQ8nWfk+IgqH1bxcVFOMKLieLhazOstePFx2PsRX3GqUjBYzO5jn3tshK0p2&#10;r0PM0rKRHmHvK4yEVlCpHVFoWsI3VvIspr6ImS3m8xQDz46IYP16OMEHqyTbSKXyxnfbF8ojgG/x&#10;Jn/j5YswZdDQ4qtpnbIj0L5CkQimdiBoMF1O4OJGOAdOvI/MgctFWCK2JqE/EsiuY4JaRu5z0/ac&#10;sJeGoXhwUDID04UTGc0ZRorDMCYrR0Yi1d9EAgllQKFU7WN9k7W17AAtcu+87HqoTpWFSB5oyazn&#10;OD6p58/3Gelhy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qlA/jbAAAACQEAAA8AAAAAAAAA&#10;AQAgAAAAIgAAAGRycy9kb3ducmV2LnhtbFBLAQIUABQAAAAIAIdO4kAeHj0aDgIAACwEAAAOAAAA&#10;AAAAAAEAIAAAACo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54496" behindDoc="0" locked="0" layoutInCell="1" allowOverlap="1">
                      <wp:simplePos x="0" y="0"/>
                      <wp:positionH relativeFrom="column">
                        <wp:posOffset>1263015</wp:posOffset>
                      </wp:positionH>
                      <wp:positionV relativeFrom="paragraph">
                        <wp:posOffset>203835</wp:posOffset>
                      </wp:positionV>
                      <wp:extent cx="13335" cy="1209675"/>
                      <wp:effectExtent l="51435" t="0" r="62230" b="9525"/>
                      <wp:wrapNone/>
                      <wp:docPr id="155" name="直接连接符 155"/>
                      <wp:cNvGraphicFramePr/>
                      <a:graphic xmlns:a="http://schemas.openxmlformats.org/drawingml/2006/main">
                        <a:graphicData uri="http://schemas.microsoft.com/office/word/2010/wordprocessingShape">
                          <wps:wsp>
                            <wps:cNvCnPr>
                              <a:stCxn id="148" idx="2"/>
                            </wps:cNvCnPr>
                            <wps:spPr>
                              <a:xfrm>
                                <a:off x="0" y="0"/>
                                <a:ext cx="13335" cy="1209675"/>
                              </a:xfrm>
                              <a:prstGeom prst="line">
                                <a:avLst/>
                              </a:prstGeom>
                              <a:ln w="25400" cap="flat" cmpd="sng">
                                <a:solidFill>
                                  <a:srgbClr val="FF0000"/>
                                </a:solidFill>
                                <a:prstDash val="dash"/>
                                <a:headEnd type="none" w="med" len="med"/>
                                <a:tailEnd type="triangle" w="lg" len="lg"/>
                              </a:ln>
                            </wps:spPr>
                            <wps:bodyPr upright="1"/>
                          </wps:wsp>
                        </a:graphicData>
                      </a:graphic>
                    </wp:anchor>
                  </w:drawing>
                </mc:Choice>
                <mc:Fallback>
                  <w:pict>
                    <v:line id="_x0000_s1026" o:spid="_x0000_s1026" o:spt="20" style="position:absolute;left:0pt;margin-left:99.45pt;margin-top:16.05pt;height:95.25pt;width:1.05pt;z-index:251754496;mso-width-relative:page;mso-height-relative:page;" filled="f" stroked="t" coordsize="21600,21600" o:gfxdata="UEsDBAoAAAAAAIdO4kAAAAAAAAAAAAAAAAAEAAAAZHJzL1BLAwQUAAAACACHTuJANFjAe9kAAAAK&#10;AQAADwAAAGRycy9kb3ducmV2LnhtbE2PTUvDQBCG74L/YRnBi9jdRBraNJsiSkH8OJhKz9vsmASz&#10;syG7TeO/dzzpbV7m4f0otrPrxYRj6DxpSBYKBFLtbUeNho/97nYFIkRD1vSeUMM3BtiWlxeFya0/&#10;0ztOVWwEm1DIjYY2xiGXMtQtOhMWfkDi36cfnYksx0ba0ZzZ3PUyVSqTznTECa0Z8KHF+qs6OQ3z&#10;48vrwWVPy+fqZmf3y7dmcu5e6+urRG1ARJzjHwy/9bk6lNzp6E9kg+hZr1drRjXcpQkIBlKV8Lgj&#10;H2magSwL+X9C+QNQSwMEFAAAAAgAh07iQAycDiH/AQAAyAMAAA4AAABkcnMvZTJvRG9jLnhtbK1T&#10;zY7TMBC+I/EOlu80SbtdIGq6h5ZyQbAS8ABT20ks+U+2t0lfghdA4gYnjtx5G5bHYOx0uwvcEDlY&#10;Y883P983k9XVqBU5CB+kNQ2tZiUlwjDLpeka+v7d7skzSkIEw0FZIxp6FIFerR8/Wg2uFnPbW8WF&#10;J5jEhHpwDe1jdHVRBNYLDWFmnTDobK3XEPHqu4J7GDC7VsW8LC+LwXruvGUiBHzdTk66zvnbVrD4&#10;pm2DiEQ1FHuL+fT53KezWK+g7jy4XrJTG/APXWiQBoueU20hArnx8q9UWjJvg23jjFld2LaVTGQO&#10;yKYq/2DztgcnMhcUJ7izTOH/pWWvD9eeSI6zWy4pMaBxSLcfv/348Pnn90943n79QpILhRpcqBG/&#10;Mdc+UQ1xM5op9AKnLPnY0HnCFb8B0yW4KWRsvU6hyJsgGgdyPA9BjJEwfKwWiwV2wtBTzcvnl09z&#10;7QLqu2DnQ3wprCbJaKiSJmkENRxehZjKQ30HSc/KkAEbW16UWI4B7lirIKKpHbIOpsvBwSrJd1Kp&#10;zMx3+43y5AC4NbtdiV/mhZwfwlKVLYR+wnG0pnXqBfAXhpN4dCimwb2nqQUtOCVK4G+SrLx4EaS6&#10;R0YvwXRqQqvuBEZjIqXMSdpJzaTr3vIjju/Gedn1qEWVocmD65KVOK122seH95zp/gdc/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WMB72QAAAAoBAAAPAAAAAAAAAAEAIAAAACIAAABkcnMvZG93&#10;bnJldi54bWxQSwECFAAUAAAACACHTuJADJwOIf8BAADIAwAADgAAAAAAAAABACAAAAAoAQAAZHJz&#10;L2Uyb0RvYy54bWxQSwUGAAAAAAYABgBZAQAAmQUAAAAA&#10;">
                      <v:fill on="f" focussize="0,0"/>
                      <v:stroke weight="2pt" color="#FF0000" joinstyle="round" dashstyle="dash" endarrow="block" endarrowwidth="wide" endarrowlength="long"/>
                      <v:imagedata o:title=""/>
                      <o:lock v:ext="edit" aspectratio="f"/>
                    </v:line>
                  </w:pict>
                </mc:Fallback>
              </mc:AlternateContent>
            </w:r>
            <w:r>
              <w:rPr>
                <w:color w:val="auto"/>
                <w:sz w:val="28"/>
              </w:rPr>
              <mc:AlternateContent>
                <mc:Choice Requires="wps">
                  <w:drawing>
                    <wp:anchor distT="0" distB="0" distL="114300" distR="114300" simplePos="0" relativeHeight="251731968" behindDoc="0" locked="0" layoutInCell="1" allowOverlap="1">
                      <wp:simplePos x="0" y="0"/>
                      <wp:positionH relativeFrom="column">
                        <wp:posOffset>1797685</wp:posOffset>
                      </wp:positionH>
                      <wp:positionV relativeFrom="paragraph">
                        <wp:posOffset>79375</wp:posOffset>
                      </wp:positionV>
                      <wp:extent cx="485140" cy="5080"/>
                      <wp:effectExtent l="0" t="62230" r="10160" b="59690"/>
                      <wp:wrapNone/>
                      <wp:docPr id="140" name="直接连接符 140"/>
                      <wp:cNvGraphicFramePr/>
                      <a:graphic xmlns:a="http://schemas.openxmlformats.org/drawingml/2006/main">
                        <a:graphicData uri="http://schemas.microsoft.com/office/word/2010/wordprocessingShape">
                          <wps:wsp>
                            <wps:cNvCnPr/>
                            <wps:spPr>
                              <a:xfrm flipH="1" flipV="1">
                                <a:off x="0" y="0"/>
                                <a:ext cx="485140" cy="5080"/>
                              </a:xfrm>
                              <a:prstGeom prst="line">
                                <a:avLst/>
                              </a:prstGeom>
                              <a:ln w="25400" cap="flat" cmpd="sng">
                                <a:solidFill>
                                  <a:srgbClr val="FF0000"/>
                                </a:solidFill>
                                <a:prstDash val="dash"/>
                                <a:headEnd type="none" w="med" len="med"/>
                                <a:tailEnd type="triangle" w="lg" len="lg"/>
                              </a:ln>
                            </wps:spPr>
                            <wps:bodyPr upright="1"/>
                          </wps:wsp>
                        </a:graphicData>
                      </a:graphic>
                    </wp:anchor>
                  </w:drawing>
                </mc:Choice>
                <mc:Fallback>
                  <w:pict>
                    <v:line id="_x0000_s1026" o:spid="_x0000_s1026" o:spt="20" style="position:absolute;left:0pt;flip:x y;margin-left:141.55pt;margin-top:6.25pt;height:0.4pt;width:38.2pt;z-index:251731968;mso-width-relative:page;mso-height-relative:page;" filled="f" stroked="t" coordsize="21600,21600" o:gfxdata="UEsDBAoAAAAAAIdO4kAAAAAAAAAAAAAAAAAEAAAAZHJzL1BLAwQUAAAACACHTuJAe2xiGNYAAAAJ&#10;AQAADwAAAGRycy9kb3ducmV2LnhtbE2PzU7DMBCE70i8g7VIXBC1k6hQQpyqqsSNS3/EeRMvcdTY&#10;DrGblrdnOcFtd2c0+021vrpBzDTFPngN2UKBIN8G0/tOw/Hw9rgCERN6g0PwpOGbIqzr25sKSxMu&#10;fkfzPnWCQ3wsUYNNaSyljK0lh3ERRvKsfYbJYeJ16qSZ8MLhbpC5Uk/SYe/5g8WRtpba0/7sNOCh&#10;wF16mLf2+X1z+lIfnTHNRuv7u0y9gkh0TX9m+MVndKiZqQlnb6IYNOSrImMrC/kSBBuK5QsPDR+K&#10;AmRdyf8N6h9QSwMEFAAAAAgAh07iQDgUWYv2AQAAsgMAAA4AAABkcnMvZTJvRG9jLnhtbK1TS44T&#10;MRDdI3EHy3vSnShBUSudWUwILBBE4rOv+NNtyT/ZnnRyCS6AxA5WLNlzG4ZjUHaHzAzsEL2wyq7n&#10;V/Weq1dXR6PJQYSonG3pdFJTIixzXNmupe/ebp8sKYkJLAftrGjpSUR6tX78aDX4Rsxc7zQXgSCJ&#10;jc3gW9qn5JuqiqwXBuLEeWExKV0wkHAbuooHGJDd6GpW10+rwQXug2MiRjzdjEm6LvxSCpZeSxlF&#10;Irql2FsqayjrPq/VegVNF8D3ip3bgH/owoCyWPRCtYEE5Caov6iMYsFFJ9OEOVM5KRUTRQOqmdZ/&#10;qHnTgxdFC5oT/cWm+P9o2avDLhDF8e3m6I8Fg490+/Hbjw+ff37/hOvt1y8kp9CowccG8dd2F867&#10;6Hchqz7KYIjUyr9AHlqi9znKOdRIjsXw08VwcUyE4eF8uShlGaYW9bJUqUa6fNWHmJ4LZ0gOWqqV&#10;zW5AA4eXMWELCP0NycfakqGls8W8RiUMcJqkhoSh8agv2q5cjk4rvlVa5ysxdPtrHcgBcD622xq/&#10;rBSJH8BylQ3EfsRxjMbB6QXwZ5aTdPJom8UJp7kFIzglWuAPkSPkgyaB0nfIFBTYTo9o3Z3BGIy1&#10;tcUWstujvznaO37Ch7rxQXU9ejEt0JzBwSgNn4c4T979fWG6+9X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bGIY1gAAAAkBAAAPAAAAAAAAAAEAIAAAACIAAABkcnMvZG93bnJldi54bWxQSwEC&#10;FAAUAAAACACHTuJAOBRZi/YBAACyAwAADgAAAAAAAAABACAAAAAlAQAAZHJzL2Uyb0RvYy54bWxQ&#10;SwUGAAAAAAYABgBZAQAAjQUAAAAA&#10;">
                      <v:fill on="f" focussize="0,0"/>
                      <v:stroke weight="2pt" color="#FF0000" joinstyle="round" dashstyle="dash" endarrow="block" endarrowwidth="wide" endarrowlength="long"/>
                      <v:imagedata o:title=""/>
                      <o:lock v:ext="edit" aspectratio="f"/>
                    </v:line>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42208" behindDoc="0" locked="0" layoutInCell="1" allowOverlap="1">
                      <wp:simplePos x="0" y="0"/>
                      <wp:positionH relativeFrom="column">
                        <wp:posOffset>2251075</wp:posOffset>
                      </wp:positionH>
                      <wp:positionV relativeFrom="paragraph">
                        <wp:posOffset>290830</wp:posOffset>
                      </wp:positionV>
                      <wp:extent cx="1556385" cy="294640"/>
                      <wp:effectExtent l="5080" t="4445" r="13335" b="5715"/>
                      <wp:wrapNone/>
                      <wp:docPr id="152" name="矩形 152"/>
                      <wp:cNvGraphicFramePr/>
                      <a:graphic xmlns:a="http://schemas.openxmlformats.org/drawingml/2006/main">
                        <a:graphicData uri="http://schemas.microsoft.com/office/word/2010/wordprocessingShape">
                          <wps:wsp>
                            <wps:cNvSpPr/>
                            <wps:spPr>
                              <a:xfrm>
                                <a:off x="0" y="0"/>
                                <a:ext cx="1556385" cy="29464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hint="default"/>
                                      <w:lang w:val="en-US" w:eastAsia="zh-CN"/>
                                    </w:rPr>
                                  </w:pPr>
                                  <w:r>
                                    <w:rPr>
                                      <w:rFonts w:hint="eastAsia"/>
                                      <w:color w:val="FF0000"/>
                                      <w:lang w:val="en-US" w:eastAsia="zh-CN"/>
                                    </w:rPr>
                                    <w:t>清水外排池</w:t>
                                  </w:r>
                                </w:p>
                              </w:txbxContent>
                            </wps:txbx>
                            <wps:bodyPr upright="1"/>
                          </wps:wsp>
                        </a:graphicData>
                      </a:graphic>
                    </wp:anchor>
                  </w:drawing>
                </mc:Choice>
                <mc:Fallback>
                  <w:pict>
                    <v:rect id="_x0000_s1026" o:spid="_x0000_s1026" o:spt="1" style="position:absolute;left:0pt;margin-left:177.25pt;margin-top:22.9pt;height:23.2pt;width:122.55pt;z-index:251742208;mso-width-relative:page;mso-height-relative:page;" fillcolor="#FFFFFF" filled="t" stroked="t" coordsize="21600,21600" o:gfxdata="UEsDBAoAAAAAAIdO4kAAAAAAAAAAAAAAAAAEAAAAZHJzL1BLAwQUAAAACACHTuJAjDXintgAAAAJ&#10;AQAADwAAAGRycy9kb3ducmV2LnhtbE2PQU+DQBCF7yb+h82YeLMLWIggSw9VD960bdTjwI5AZGeR&#10;3Rb8966nepzMl/e+V24WM4gTTa63rCBeRSCIG6t7bhUc9k83dyCcR9Y4WCYFP+RgU11elFhoO/Mr&#10;nXa+FSGEXYEKOu/HQkrXdGTQrexIHH6fdjLowzm1Uk84h3AzyCSKMmmw59DQ4Ujbjpqv3dEo2G8P&#10;NMcf70vdMr48P75lw8PyrdT1VRzdg/C0+DMMf/pBHargVNsjaycGBbfpOg2ognUaJgQgzfMMRK0g&#10;TxKQVSn/L6h+AVBLAwQUAAAACACHTuJApfYMSusBAADfAwAADgAAAGRycy9lMm9Eb2MueG1srVNL&#10;jhMxEN0jcQfLe9KdZhLNtNKZBSFsEIw0wwEq/nRb8k+2J905DRI7DsFxENeg7IQMARYI0Qt32S4/&#10;v/eqvLqdjCZ7EaJytqPzWU2JsMxxZfuOfnjYvrimJCawHLSzoqMHEent+vmz1ehb0bjBaS4CQRAb&#10;29F3dEjJt1UV2SAMxJnzwuKmdMFAwmnoKx5gRHSjq6aul9XoAvfBMREjrm6Om3Rd8KUULL2XMopE&#10;dEeRWypjKOMuj9V6BW0fwA+KnWjAP7AwoCxeeobaQALyGNRvUEax4KKTacacqZyUiomiAdXM61/U&#10;3A/gRdGC5kR/tin+P1j2bn8XiOJYu0VDiQWDRfr28fPXL59IXkF/Rh9bTLv3d+E0ixhmsZMMJv9R&#10;BpmKp4ezp2JKhOHifLFYvrxeUMJwr7m5Wl4V06un0z7E9EY4Q3LQ0YA1K1bC/m1MeCOm/kjJl0Wn&#10;Fd8qrcsk9LtXOpA9YH235cuU8chFmrZk7OjNosk8ANtMakgYGo/Co+3LfRcn4iVwjd+fgDOxDcTh&#10;SKAg5DRojUoi2wXtIIC/tpykg0drLb4CmskYwSnRAh9NjkpmAqX/JhPVaYsic2GOpchRmnYTwuRw&#10;5/gBq/rog+oHtHReqOcd7KLizqnjc5v+PC+gT+9y/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NeKe2AAAAAkBAAAPAAAAAAAAAAEAIAAAACIAAABkcnMvZG93bnJldi54bWxQSwECFAAUAAAACACH&#10;TuJApfYMSusBAADfAwAADgAAAAAAAAABACAAAAAnAQAAZHJzL2Uyb0RvYy54bWxQSwUGAAAAAAYA&#10;BgBZAQAAhAUAAAAA&#10;">
                      <v:fill on="t" focussize="0,0"/>
                      <v:stroke color="#FF0000" joinstyle="miter"/>
                      <v:imagedata o:title=""/>
                      <o:lock v:ext="edit" aspectratio="f"/>
                      <v:textbox>
                        <w:txbxContent>
                          <w:p>
                            <w:pPr>
                              <w:jc w:val="center"/>
                              <w:rPr>
                                <w:rFonts w:hint="default"/>
                                <w:lang w:val="en-US" w:eastAsia="zh-CN"/>
                              </w:rPr>
                            </w:pPr>
                            <w:r>
                              <w:rPr>
                                <w:rFonts w:hint="eastAsia"/>
                                <w:color w:val="FF0000"/>
                                <w:lang w:val="en-US" w:eastAsia="zh-CN"/>
                              </w:rPr>
                              <w:t>清水外排池</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43232" behindDoc="0" locked="0" layoutInCell="1" allowOverlap="1">
                      <wp:simplePos x="0" y="0"/>
                      <wp:positionH relativeFrom="column">
                        <wp:posOffset>2934335</wp:posOffset>
                      </wp:positionH>
                      <wp:positionV relativeFrom="paragraph">
                        <wp:posOffset>252095</wp:posOffset>
                      </wp:positionV>
                      <wp:extent cx="170815" cy="388620"/>
                      <wp:effectExtent l="10795" t="4445" r="21590" b="13335"/>
                      <wp:wrapNone/>
                      <wp:docPr id="145" name="下箭头 145"/>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1.05pt;margin-top:19.85pt;height:30.6pt;width:13.45pt;z-index:251743232;mso-width-relative:page;mso-height-relative:page;" fillcolor="#FFFFFF" filled="t" stroked="t" coordsize="21600,21600" o:gfxdata="UEsDBAoAAAAAAIdO4kAAAAAAAAAAAAAAAAAEAAAAZHJzL1BLAwQUAAAACACHTuJAURhZg9sAAAAK&#10;AQAADwAAAGRycy9kb3ducmV2LnhtbE2PMU/DMBCFdyT+g3VIbNROqUoT4lRQ1IWKgaYDbG7sJhH2&#10;OYrdNuHX95jKeLpP730vXw7OspPpQ+tRQjIRwAxWXrdYS9iV64cFsBAVamU9GgmjCbAsbm9ylWl/&#10;xk9z2saaUQiGTEloYuwyzkPVGKfCxHcG6XfwvVORzr7muldnCneWT4WYc6dapIZGdWbVmOpne3QS&#10;XnhZ2t3770fytv5+PXxtxmHcrKS8v0vEM7BohniF4U+f1KEgp70/og7MSpjNpwmhEh7TJ2AEzBYp&#10;jdsTKUQKvMj5/wnFBVBLAwQUAAAACACHTuJAQe0lww0CAAAsBAAADgAAAGRycy9lMm9Eb2MueG1s&#10;rVNLjhMxEN0jcQfLe9IfyGda6YwQIWwQjDTMARx/uo38k+1JJ2fgGmxhxYIDgbgGZafJJLBBiF64&#10;y67y86tXVcvrvVZox32Q1rS4mpQYcUMtk6Zr8d27zZMFRiESw4iyhrf4wAO+Xj1+tBxcw2vbW8W4&#10;RwBiQjO4FvcxuqYoAu25JmFiHTfgFNZrEmHru4J5MgC6VkVdlrNisJ45bykPAU7XRydeZXwhOI1v&#10;hQg8ItVi4Bbz6vO6TWuxWpKm88T1ko40yD+w0EQaePQEtSaRoHsv/4DSknobrIgTanVhhZCU5xwg&#10;m6r8LZvbnjiecwFxgjvJFP4fLH2zu/FIMqjdsylGhmgo0revH358/vT94xeUDkGiwYUGIm/djR93&#10;AcyU7154nf6QCdpnWQ8nWfk+IgqH1bxcVABOwfV0sZjVWfbi4bLzIb7iVqNktJjZwTz33g5ZUbJ7&#10;HWKWlo30CHtfYSS0gkrtiELTEr6xkmcx9UXMbDGfpxh4dkQE69fDCT5YJdlGKpU3vtu+UB4BfIs3&#10;+RsvX4Qpg4YWX03rlB2B9hWKRDC1A0GD6XICFzfCOXDifWQOXC7CErE1Cf2RQHYdE9Qycp+btueE&#10;vTQMxYODkhmYLpzIaM4wUhyGMVk5MhKp/iYSSCgDCqVqH+ubrK1lB2iRe+dl10N1qixE8kBLZj3H&#10;8Uk9f77PSA9Dvv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RhZg9sAAAAKAQAADwAAAAAAAAAB&#10;ACAAAAAiAAAAZHJzL2Rvd25yZXYueG1sUEsBAhQAFAAAAAgAh07iQEHtJcMNAgAALAQAAA4AAAAA&#10;AAAAAQAgAAAAKgEAAGRycy9lMm9Eb2MueG1sUEsFBgAAAAAGAAYAWQEAAKkFAAAAAA==&#10;" adj="16201,5400">
                      <v:fill on="t" focussize="0,0"/>
                      <v:stroke color="#000000" joinstyle="miter"/>
                      <v:imagedata o:title=""/>
                      <o:lock v:ext="edit" aspectratio="f"/>
                    </v:shape>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49376" behindDoc="0" locked="0" layoutInCell="1" allowOverlap="1">
                      <wp:simplePos x="0" y="0"/>
                      <wp:positionH relativeFrom="column">
                        <wp:posOffset>1004570</wp:posOffset>
                      </wp:positionH>
                      <wp:positionV relativeFrom="paragraph">
                        <wp:posOffset>339725</wp:posOffset>
                      </wp:positionV>
                      <wp:extent cx="379095" cy="789305"/>
                      <wp:effectExtent l="0" t="0" r="0" b="0"/>
                      <wp:wrapNone/>
                      <wp:docPr id="147" name="矩形 147"/>
                      <wp:cNvGraphicFramePr/>
                      <a:graphic xmlns:a="http://schemas.openxmlformats.org/drawingml/2006/main">
                        <a:graphicData uri="http://schemas.microsoft.com/office/word/2010/wordprocessingShape">
                          <wps:wsp>
                            <wps:cNvSpPr/>
                            <wps:spPr>
                              <a:xfrm>
                                <a:off x="0" y="0"/>
                                <a:ext cx="379095" cy="789305"/>
                              </a:xfrm>
                              <a:prstGeom prst="rect">
                                <a:avLst/>
                              </a:prstGeom>
                              <a:noFill/>
                              <a:ln>
                                <a:noFill/>
                              </a:ln>
                            </wps:spPr>
                            <wps:txbx>
                              <w:txbxContent>
                                <w:p>
                                  <w:pPr>
                                    <w:pStyle w:val="11"/>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1"/>
                                    <w:keepNext w:val="0"/>
                                    <w:keepLines w:val="0"/>
                                    <w:pageBreakBefore w:val="0"/>
                                    <w:widowControl w:val="0"/>
                                    <w:tabs>
                                      <w:tab w:val="left" w:pos="0"/>
                                    </w:tabs>
                                    <w:kinsoku/>
                                    <w:wordWrap/>
                                    <w:overflowPunct/>
                                    <w:topLinePunct w:val="0"/>
                                    <w:autoSpaceDE/>
                                    <w:autoSpaceDN/>
                                    <w:bidi w:val="0"/>
                                    <w:adjustRightInd/>
                                    <w:snapToGrid/>
                                    <w:spacing w:line="320" w:lineRule="exact"/>
                                    <w:ind w:left="0" w:leftChars="0" w:firstLine="0" w:firstLineChars="0"/>
                                    <w:textAlignment w:val="auto"/>
                                    <w:rPr>
                                      <w:rFonts w:hint="default" w:ascii="宋体" w:hAnsi="宋体" w:eastAsia="宋体" w:cs="宋体"/>
                                      <w:color w:val="FF0000"/>
                                      <w:sz w:val="21"/>
                                      <w:szCs w:val="21"/>
                                      <w:lang w:val="en-US" w:eastAsia="zh-CN"/>
                                    </w:rPr>
                                  </w:pPr>
                                  <w:r>
                                    <w:rPr>
                                      <w:rFonts w:hint="eastAsia" w:ascii="宋体" w:hAnsi="宋体" w:eastAsia="宋体" w:cs="宋体"/>
                                      <w:color w:val="0070C0"/>
                                      <w:sz w:val="21"/>
                                      <w:szCs w:val="21"/>
                                      <w:lang w:val="en-US" w:eastAsia="zh-CN"/>
                                    </w:rPr>
                                    <w:t>外排</w:t>
                                  </w:r>
                                </w:p>
                              </w:txbxContent>
                            </wps:txbx>
                            <wps:bodyPr upright="1"/>
                          </wps:wsp>
                        </a:graphicData>
                      </a:graphic>
                    </wp:anchor>
                  </w:drawing>
                </mc:Choice>
                <mc:Fallback>
                  <w:pict>
                    <v:rect id="_x0000_s1026" o:spid="_x0000_s1026" o:spt="1" style="position:absolute;left:0pt;margin-left:79.1pt;margin-top:26.75pt;height:62.15pt;width:29.85pt;z-index:251749376;mso-width-relative:page;mso-height-relative:page;" filled="f" stroked="f" coordsize="21600,21600" o:gfxdata="UEsDBAoAAAAAAIdO4kAAAAAAAAAAAAAAAAAEAAAAZHJzL1BLAwQUAAAACACHTuJAWy4ezNoAAAAK&#10;AQAADwAAAGRycy9kb3ducmV2LnhtbE2PQU+DQBCF7yb+h82YeDF2AYNQytJDE2NjTBqp9ryFEYjs&#10;LGW3UP+940mPL+/Lm2/y9cX0YsLRdZYUhIsABFJl644aBe/7p/sUhPOaat1bQgXf6GBdXF/lOqvt&#10;TG84lb4RPEIu0wpa74dMSle1aLRb2AGJu087Gu05jo2sRz3zuOllFASP0uiO+EKrB9y0WH2VZ6Ng&#10;rnbTYf/6LHd3h62l0/a0KT9elLq9CYMVCI8X/wfDrz6rQ8FOR3um2omec5xGjCqIH2IQDERhsgRx&#10;5CZJUpBFLv+/UPwAUEsDBBQAAAAIAIdO4kCSlX/mhQEAAPYCAAAOAAAAZHJzL2Uyb0RvYy54bWyt&#10;UklOwzAU3SNxB8t76rQMpVHTbhBsECABB3Adu7EUD/o2TXoaJHYcguMgrsG3W8q0Q2ycP+X5vfc9&#10;nfemJSsJQTtb0eGgoERa4WptlxW9vzs/OKUkRG5r3jorK7qWgc5n+3vTzpdy5BrX1hIIgthQdr6i&#10;TYy+ZCyIRhoeBs5Li03lwPCIKSxZDbxDdNOyUVGcsM5B7cEJGQJWzzZNOsv4SkkRr5UKMpK2osgt&#10;5hPyuUgnm015uQTuGy22NPgfWBiuLV66gzrjkZMH0L+gjBbgglNxIJxhTiktZNaAaobFDzW3Dfcy&#10;a0Fzgt/ZFP4PVlytboDoGnd3NKbEcoNLent8fn15IqmC/nQ+lDh2629gmwUMk9hegUlflEH67Ol6&#10;56nsIxFYPBxPiskxJQJb49PJYXGcMNnnzx5CvJDOkBRUFHBl2Um+ugxxM/oxku6y7ly3LdZ52dpv&#10;BcRMFZb4bhimKPaLfkt74eo1in3woJcNXjXMTNIQmps5bR9C2t7XPIN+PtfZ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suHszaAAAACgEAAA8AAAAAAAAAAQAgAAAAIgAAAGRycy9kb3ducmV2Lnht&#10;bFBLAQIUABQAAAAIAIdO4kCSlX/mhQEAAPYCAAAOAAAAAAAAAAEAIAAAACkBAABkcnMvZTJvRG9j&#10;LnhtbFBLBQYAAAAABgAGAFkBAAAgBQAAAAA=&#10;">
                      <v:fill on="f" focussize="0,0"/>
                      <v:stroke on="f"/>
                      <v:imagedata o:title=""/>
                      <o:lock v:ext="edit" aspectratio="f"/>
                      <v:textbox>
                        <w:txbxContent>
                          <w:p>
                            <w:pPr>
                              <w:pStyle w:val="11"/>
                              <w:keepNext w:val="0"/>
                              <w:keepLines w:val="0"/>
                              <w:pageBreakBefore w:val="0"/>
                              <w:widowControl w:val="0"/>
                              <w:tabs>
                                <w:tab w:val="left" w:pos="0"/>
                              </w:tabs>
                              <w:kinsoku/>
                              <w:wordWrap/>
                              <w:overflowPunct/>
                              <w:topLinePunct w:val="0"/>
                              <w:autoSpaceDE/>
                              <w:autoSpaceDN/>
                              <w:bidi w:val="0"/>
                              <w:adjustRightInd/>
                              <w:snapToGrid/>
                              <w:spacing w:line="240" w:lineRule="exact"/>
                              <w:ind w:left="431"/>
                              <w:textAlignment w:val="auto"/>
                              <w:rPr>
                                <w:rFonts w:hint="eastAsia" w:ascii="宋体" w:hAnsi="宋体" w:eastAsia="宋体" w:cs="宋体"/>
                                <w:sz w:val="21"/>
                                <w:szCs w:val="21"/>
                                <w:lang w:val="en-US" w:eastAsia="zh-CN"/>
                              </w:rPr>
                            </w:pPr>
                          </w:p>
                          <w:p>
                            <w:pPr>
                              <w:pStyle w:val="11"/>
                              <w:keepNext w:val="0"/>
                              <w:keepLines w:val="0"/>
                              <w:pageBreakBefore w:val="0"/>
                              <w:widowControl w:val="0"/>
                              <w:tabs>
                                <w:tab w:val="left" w:pos="0"/>
                              </w:tabs>
                              <w:kinsoku/>
                              <w:wordWrap/>
                              <w:overflowPunct/>
                              <w:topLinePunct w:val="0"/>
                              <w:autoSpaceDE/>
                              <w:autoSpaceDN/>
                              <w:bidi w:val="0"/>
                              <w:adjustRightInd/>
                              <w:snapToGrid/>
                              <w:spacing w:line="320" w:lineRule="exact"/>
                              <w:ind w:left="0" w:leftChars="0" w:firstLine="0" w:firstLineChars="0"/>
                              <w:textAlignment w:val="auto"/>
                              <w:rPr>
                                <w:rFonts w:hint="default" w:ascii="宋体" w:hAnsi="宋体" w:eastAsia="宋体" w:cs="宋体"/>
                                <w:color w:val="FF0000"/>
                                <w:sz w:val="21"/>
                                <w:szCs w:val="21"/>
                                <w:lang w:val="en-US" w:eastAsia="zh-CN"/>
                              </w:rPr>
                            </w:pPr>
                            <w:r>
                              <w:rPr>
                                <w:rFonts w:hint="eastAsia" w:ascii="宋体" w:hAnsi="宋体" w:eastAsia="宋体" w:cs="宋体"/>
                                <w:color w:val="0070C0"/>
                                <w:sz w:val="21"/>
                                <w:szCs w:val="21"/>
                                <w:lang w:val="en-US" w:eastAsia="zh-CN"/>
                              </w:rPr>
                              <w:t>外排</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297815</wp:posOffset>
                      </wp:positionV>
                      <wp:extent cx="170815" cy="388620"/>
                      <wp:effectExtent l="10795" t="4445" r="21590" b="13335"/>
                      <wp:wrapNone/>
                      <wp:docPr id="143" name="下箭头 143"/>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3.4pt;margin-top:23.45pt;height:30.6pt;width:13.45pt;z-index:251746304;mso-width-relative:page;mso-height-relative:page;" fillcolor="#FFFFFF" filled="t" stroked="t" coordsize="21600,21600" o:gfxdata="UEsDBAoAAAAAAIdO4kAAAAAAAAAAAAAAAAAEAAAAZHJzL1BLAwQUAAAACACHTuJAK0UtJ9sAAAAK&#10;AQAADwAAAGRycy9kb3ducmV2LnhtbE2PsU7DMBCGdyTewTokNmoHqtCGOBUUdaFioOkAmxu7SYR9&#10;jmK3TXj6Xqey3ek+/ff9+WJwlh1NH1qPEpKJAGaw8rrFWsK2XD3MgIWoUCvr0UgYTYBFcXuTq0z7&#10;E36Z4ybWjEIwZEpCE2OXcR6qxjgVJr4zSLe9752KtPY11706Ubiz/FGIlDvVIn1oVGeWjal+Nwcn&#10;4ZWXpd1+/H0m76uft/33ehzG9VLK+7tEvACLZohXGC76pA4FOe38AXVgVsI0TUk9XoY5MAKm86dn&#10;YDsixSwBXuT8f4XiDFBLAwQUAAAACACHTuJAvg1lqg4CAAAsBAAADgAAAGRycy9lMm9Eb2MueG1s&#10;rVNLjhMxEN0jcQfLe9KfIR9a6YwQIWwQjDRwAMefbiP/ZHvSyRm4BltYsZgDgbgGZafJJLBBiF64&#10;y67y86tXVcvrvVZox32Q1rS4mpQYcUMtk6Zr8ft3mycLjEIkhhFlDW/xgQd8vXr8aDm4hte2t4px&#10;jwDEhGZwLe5jdE1RBNpzTcLEOm7AKazXJMLWdwXzZAB0rYq6LGfFYD1z3lIeApyuj068yvhCcBrf&#10;ChF4RKrFwC3m1ed1m9ZitSRN54nrJR1pkH9goYk08OgJak0iQXde/gGlJfU2WBEn1OrCCiEpzzlA&#10;NlX5Wza3PXE85wLiBHeSKfw/WPpmd+ORZFC7p1cYGaKhSN/uP/748vn7p68oHYJEgwsNRN66Gz/u&#10;Apgp373wOv0hE7TPsh5OsvJ9RBQOq3m5qKYYUXBdLRazOstePFx2PsRX3GqUjBYzO5jn3tshK0p2&#10;r0PM0rKRHmEfKoyEVlCpHVFoWsI3VvIspr6ImS3m8xQDz46IYP16OMEHqyTbSKXyxnfbF8ojgG/x&#10;Jn/j5YswZdDQ4mfTOmVHoH2FIhFM7UDQYLqcwMWNcA6ceB+ZA5eLsERsTUJ/JJBdxwS1jNznpu05&#10;YS8NQ/HgoGQGpgsnMpozjBSHYUxWjoxEqr+JBBLKgEKp2sf6Jmtr2QFa5M552fVQnSoLkTzQklnP&#10;cXxSz5/vM9LDk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FLSfbAAAACgEAAA8AAAAAAAAA&#10;AQAgAAAAIgAAAGRycy9kb3ducmV2LnhtbFBLAQIUABQAAAAIAIdO4kC+DWWqDgIAACwEAAAOAAAA&#10;AAAAAAEAIAAAACo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44256" behindDoc="0" locked="0" layoutInCell="1" allowOverlap="1">
                      <wp:simplePos x="0" y="0"/>
                      <wp:positionH relativeFrom="column">
                        <wp:posOffset>2273300</wp:posOffset>
                      </wp:positionH>
                      <wp:positionV relativeFrom="paragraph">
                        <wp:posOffset>9525</wp:posOffset>
                      </wp:positionV>
                      <wp:extent cx="1556385" cy="291465"/>
                      <wp:effectExtent l="4445" t="4445" r="13970" b="8890"/>
                      <wp:wrapNone/>
                      <wp:docPr id="141" name="矩形 141"/>
                      <wp:cNvGraphicFramePr/>
                      <a:graphic xmlns:a="http://schemas.openxmlformats.org/drawingml/2006/main">
                        <a:graphicData uri="http://schemas.microsoft.com/office/word/2010/wordprocessingShape">
                          <wps:wsp>
                            <wps:cNvSpPr/>
                            <wps:spPr>
                              <a:xfrm>
                                <a:off x="0" y="0"/>
                                <a:ext cx="1556385" cy="29146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jc w:val="center"/>
                                    <w:rPr>
                                      <w:rFonts w:hint="default"/>
                                      <w:color w:val="0070C0"/>
                                      <w:lang w:val="en-US" w:eastAsia="zh-CN"/>
                                    </w:rPr>
                                  </w:pPr>
                                  <w:r>
                                    <w:rPr>
                                      <w:rFonts w:hint="eastAsia"/>
                                      <w:color w:val="0070C0"/>
                                      <w:lang w:val="en-US" w:eastAsia="zh-CN"/>
                                    </w:rPr>
                                    <w:t>吸水调节池</w:t>
                                  </w:r>
                                </w:p>
                              </w:txbxContent>
                            </wps:txbx>
                            <wps:bodyPr upright="1"/>
                          </wps:wsp>
                        </a:graphicData>
                      </a:graphic>
                    </wp:anchor>
                  </w:drawing>
                </mc:Choice>
                <mc:Fallback>
                  <w:pict>
                    <v:rect id="_x0000_s1026" o:spid="_x0000_s1026" o:spt="1" style="position:absolute;left:0pt;margin-left:179pt;margin-top:0.75pt;height:22.95pt;width:122.55pt;z-index:251744256;mso-width-relative:page;mso-height-relative:page;" fillcolor="#FFFFFF" filled="t" stroked="t" coordsize="21600,21600" o:gfxdata="UEsDBAoAAAAAAIdO4kAAAAAAAAAAAAAAAAAEAAAAZHJzL1BLAwQUAAAACACHTuJAblvJTdgAAAAI&#10;AQAADwAAAGRycy9kb3ducmV2LnhtbE2Py07DMBBF90j8gzVI7Kgd+kgU4nQBYgEIIQqiXbrx4ETE&#10;4yh22/D3DCtYjs7o3nOr9eR7ccQxdoE0ZDMFAqkJtiOn4f3t/qoAEZMha/pAqOEbI6zr87PKlDac&#10;6BWPm+QEh1AsjYY2paGUMjYtehNnYUBi9hlGbxKfo5N2NCcO9728VmolvemIG1oz4G2Lzdfm4DU8&#10;bB/z/Ol5enE75aaG7vxHkbzWlxeZugGRcEp/z/Crz+pQs9M+HMhG0WuYLwvekhgsQTBfqXkGYq9h&#10;kS9A1pX8P6D+AVBLAwQUAAAACACHTuJAyfqURe8BAADfAwAADgAAAGRycy9lMm9Eb2MueG1srVNL&#10;btswEN0X6B0I7mtJbuQmguUs4rqbog2Q9ABjkpII8AeSseTTFOiuh+hxil6jQ9p14mRTFNWCmiGH&#10;b968GS6vJ63ITvggrWlpNSspEYZZLk3f0i/3mzeXlIQIhoOyRrR0LwK9Xr1+tRxdI+Z2sIoLTxDE&#10;hGZ0LR1idE1RBDYIDWFmnTB42FmvIaLr+4J7GBFdq2JelotitJ47b5kIAXfXh0O6yvhdJ1j83HVB&#10;RKJaitxiXn1et2ktVktoeg9ukOxIA/6BhQZpMOkJag0RyIOXL6C0ZN4G28UZs7qwXSeZyDVgNVX5&#10;rJq7AZzItaA4wZ1kCv8Pln3a3XoiOfbuoqLEgMYm/fr6/eePbyTtoD6jCw2G3blbf/QCmqnYqfM6&#10;/bEMMmVN9ydNxRQJw82qrhdvL2tKGJ7Nr6qLRZ1Ai8fbzof4QVhNktFSjz3LUsLuY4iH0D8hKVmw&#10;SvKNVCo7vt/eKE92gP3d5O+IfhamDBlbelXPEw/AMesURDS1w8KD6XO+sxvhKXBZvitv8qwg7bOw&#10;RGwNYTgQyEcpPzRaRpHkgmYQwN8bTuLeobQGXwFNZLTglCiBjyZZOTKCVH8TiSSUQQlTYw6tSFac&#10;thPCJHNr+R67+uC87AeUNLcxh+MUZe2PE5/G9KmfQR/f5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lvJTdgAAAAIAQAADwAAAAAAAAABACAAAAAiAAAAZHJzL2Rvd25yZXYueG1sUEsBAhQAFAAA&#10;AAgAh07iQMn6lEXvAQAA3wMAAA4AAAAAAAAAAQAgAAAAJwEAAGRycy9lMm9Eb2MueG1sUEsFBgAA&#10;AAAGAAYAWQEAAIgFAAAAAA==&#10;">
                      <v:fill on="t" focussize="0,0"/>
                      <v:stroke color="#0070C0" joinstyle="miter"/>
                      <v:imagedata o:title=""/>
                      <o:lock v:ext="edit" aspectratio="f"/>
                      <v:textbox>
                        <w:txbxContent>
                          <w:p>
                            <w:pPr>
                              <w:jc w:val="center"/>
                              <w:rPr>
                                <w:rFonts w:hint="default"/>
                                <w:color w:val="0070C0"/>
                                <w:lang w:val="en-US" w:eastAsia="zh-CN"/>
                              </w:rPr>
                            </w:pPr>
                            <w:r>
                              <w:rPr>
                                <w:rFonts w:hint="eastAsia"/>
                                <w:color w:val="0070C0"/>
                                <w:lang w:val="en-US" w:eastAsia="zh-CN"/>
                              </w:rPr>
                              <w:t>吸水调节池</w:t>
                            </w:r>
                          </w:p>
                        </w:txbxContent>
                      </v:textbox>
                    </v:rect>
                  </w:pict>
                </mc:Fallback>
              </mc:AlternateContent>
            </w:r>
            <w:r>
              <w:rPr>
                <w:color w:val="auto"/>
                <w:sz w:val="28"/>
              </w:rPr>
              <mc:AlternateContent>
                <mc:Choice Requires="wps">
                  <w:drawing>
                    <wp:anchor distT="0" distB="0" distL="114300" distR="114300" simplePos="0" relativeHeight="251750400" behindDoc="0" locked="0" layoutInCell="1" allowOverlap="1">
                      <wp:simplePos x="0" y="0"/>
                      <wp:positionH relativeFrom="column">
                        <wp:posOffset>566420</wp:posOffset>
                      </wp:positionH>
                      <wp:positionV relativeFrom="paragraph">
                        <wp:posOffset>50165</wp:posOffset>
                      </wp:positionV>
                      <wp:extent cx="1609725" cy="305435"/>
                      <wp:effectExtent l="4445" t="4445" r="11430" b="7620"/>
                      <wp:wrapNone/>
                      <wp:docPr id="153" name="矩形 153"/>
                      <wp:cNvGraphicFramePr/>
                      <a:graphic xmlns:a="http://schemas.openxmlformats.org/drawingml/2006/main">
                        <a:graphicData uri="http://schemas.microsoft.com/office/word/2010/wordprocessingShape">
                          <wps:wsp>
                            <wps:cNvSpPr/>
                            <wps:spPr>
                              <a:xfrm>
                                <a:off x="0" y="0"/>
                                <a:ext cx="1609725" cy="30543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ind w:left="0" w:leftChars="0" w:firstLine="0" w:firstLineChars="0"/>
                                    <w:jc w:val="center"/>
                                    <w:rPr>
                                      <w:rFonts w:hint="default"/>
                                      <w:color w:val="0070C0"/>
                                      <w:lang w:val="en-US"/>
                                    </w:rPr>
                                  </w:pPr>
                                  <w:r>
                                    <w:rPr>
                                      <w:rFonts w:hint="eastAsia"/>
                                      <w:color w:val="0070C0"/>
                                      <w:lang w:val="en-US" w:eastAsia="zh-CN"/>
                                    </w:rPr>
                                    <w:t>新建污水输水管道</w:t>
                                  </w:r>
                                </w:p>
                              </w:txbxContent>
                            </wps:txbx>
                            <wps:bodyPr upright="1"/>
                          </wps:wsp>
                        </a:graphicData>
                      </a:graphic>
                    </wp:anchor>
                  </w:drawing>
                </mc:Choice>
                <mc:Fallback>
                  <w:pict>
                    <v:rect id="_x0000_s1026" o:spid="_x0000_s1026" o:spt="1" style="position:absolute;left:0pt;margin-left:44.6pt;margin-top:3.95pt;height:24.05pt;width:126.75pt;z-index:251750400;mso-width-relative:page;mso-height-relative:page;" fillcolor="#FFFFFF" filled="t" stroked="t" coordsize="21600,21600" o:gfxdata="UEsDBAoAAAAAAIdO4kAAAAAAAAAAAAAAAAAEAAAAZHJzL1BLAwQUAAAACACHTuJAFrexdtcAAAAH&#10;AQAADwAAAGRycy9kb3ducmV2LnhtbE2OwU7DMBBE70j8g7VI3KjdAE0asukBxAEQQpSqcHTjxYmI&#10;11HstuHvMSc4jmb05lWryfXiQGPoPCPMZwoEceNNxxZh83Z/UYAIUbPRvWdC+KYAq/r0pNKl8Ud+&#10;pcM6WpEgHEqN0MY4lFKGpiWnw8wPxKn79KPTMcXRSjPqY4K7XmZKLaTTHaeHVg9021Lztd47hIf3&#10;xzx/ep5e7IeyU8N3bltEh3h+Nlc3ICJN8W8Mv/pJHerktPN7NkH0CMUyS0uEfAki1ZdXWQ5ih3C9&#10;UCDrSv73r38AUEsDBBQAAAAIAIdO4kBkHand7wEAAN8DAAAOAAAAZHJzL2Uyb0RvYy54bWytU81u&#10;EzEQviPxDpbvZDcJaekqmx4awgVBpZYHmPhn15L/ZLvZzdMgceMheBzEazB2QtrQS4XYg3fsGX/z&#10;zTfj5fVoNNmJEJWzLZ1OakqEZY4r27X0y/3mzTtKYgLLQTsrWroXkV6vXr9aDr4RM9c7zUUgCGJj&#10;M/iW9in5pqoi64WBOHFeWHRKFwwk3Iau4gEGRDe6mtX1RTW4wH1wTMSIp+uDk64KvpSCpc9SRpGI&#10;bilyS2UNZd3mtVotoekC+F6xIw34BxYGlMWkJ6g1JCAPQT2DMooFF51ME+ZM5aRUTJQasJpp/Vc1&#10;dz14UWpBcaI/yRT/Hyz7tLsNRHHs3WJOiQWDTfr19fvPH99IPkF9Bh8bDLvzt+G4i2jmYkcZTP5j&#10;GWQsmu5PmooxEYaH04v66nK2oIShb14v3s4XGbR6vO1DTB+EMyQbLQ3YsyIl7D7GdAj9E5KTRacV&#10;3yityyZ02xsdyA6wv5vyHdHPwrQlQ0uvFoUH4JhJDQkpGY+FR9uVfGc34lPgur6sb8qsIO2zsExs&#10;DbE/ECiunB8ao5LIckHTC+DvLSdp71Fai6+AZjJGcEq0wEeTrRKZQOmXRCIJbVHC3JhDK7KVxu2I&#10;MNncOr7Hrj74oLoeJZ0WTbIHp6hof5z4PKZP9wX08V2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t7F21wAAAAcBAAAPAAAAAAAAAAEAIAAAACIAAABkcnMvZG93bnJldi54bWxQSwECFAAUAAAA&#10;CACHTuJAZB2p3e8BAADfAwAADgAAAAAAAAABACAAAAAmAQAAZHJzL2Uyb0RvYy54bWxQSwUGAAAA&#10;AAYABgBZAQAAhwUAAAAA&#10;">
                      <v:fill on="t" focussize="0,0"/>
                      <v:stroke color="#0070C0" joinstyle="miter"/>
                      <v:imagedata o:title=""/>
                      <o:lock v:ext="edit" aspectratio="f"/>
                      <v:textbox>
                        <w:txbxContent>
                          <w:p>
                            <w:pPr>
                              <w:ind w:left="0" w:leftChars="0" w:firstLine="0" w:firstLineChars="0"/>
                              <w:jc w:val="center"/>
                              <w:rPr>
                                <w:rFonts w:hint="default"/>
                                <w:color w:val="0070C0"/>
                                <w:lang w:val="en-US"/>
                              </w:rPr>
                            </w:pPr>
                            <w:r>
                              <w:rPr>
                                <w:rFonts w:hint="eastAsia"/>
                                <w:color w:val="0070C0"/>
                                <w:lang w:val="en-US" w:eastAsia="zh-CN"/>
                              </w:rPr>
                              <w:t>新建污水输水管道</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51424" behindDoc="0" locked="0" layoutInCell="1" allowOverlap="1">
                      <wp:simplePos x="0" y="0"/>
                      <wp:positionH relativeFrom="column">
                        <wp:posOffset>1328420</wp:posOffset>
                      </wp:positionH>
                      <wp:positionV relativeFrom="paragraph">
                        <wp:posOffset>27940</wp:posOffset>
                      </wp:positionV>
                      <wp:extent cx="5715" cy="401320"/>
                      <wp:effectExtent l="61595" t="0" r="59690" b="5080"/>
                      <wp:wrapNone/>
                      <wp:docPr id="142" name="直接连接符 142"/>
                      <wp:cNvGraphicFramePr/>
                      <a:graphic xmlns:a="http://schemas.openxmlformats.org/drawingml/2006/main">
                        <a:graphicData uri="http://schemas.microsoft.com/office/word/2010/wordprocessingShape">
                          <wps:wsp>
                            <wps:cNvCnPr/>
                            <wps:spPr>
                              <a:xfrm flipH="1">
                                <a:off x="0" y="0"/>
                                <a:ext cx="5715" cy="401320"/>
                              </a:xfrm>
                              <a:prstGeom prst="line">
                                <a:avLst/>
                              </a:prstGeom>
                              <a:ln w="25400" cap="flat" cmpd="sng">
                                <a:solidFill>
                                  <a:srgbClr val="0070C0"/>
                                </a:solidFill>
                                <a:prstDash val="dash"/>
                                <a:headEnd type="none" w="med" len="med"/>
                                <a:tailEnd type="triangle" w="lg" len="lg"/>
                              </a:ln>
                            </wps:spPr>
                            <wps:bodyPr upright="1"/>
                          </wps:wsp>
                        </a:graphicData>
                      </a:graphic>
                    </wp:anchor>
                  </w:drawing>
                </mc:Choice>
                <mc:Fallback>
                  <w:pict>
                    <v:line id="_x0000_s1026" o:spid="_x0000_s1026" o:spt="20" style="position:absolute;left:0pt;flip:x;margin-left:104.6pt;margin-top:2.2pt;height:31.6pt;width:0.45pt;z-index:251751424;mso-width-relative:page;mso-height-relative:page;" filled="f" stroked="t" coordsize="21600,21600" o:gfxdata="UEsDBAoAAAAAAIdO4kAAAAAAAAAAAAAAAAAEAAAAZHJzL1BLAwQUAAAACACHTuJAcRSwJ9cAAAAI&#10;AQAADwAAAGRycy9kb3ducmV2LnhtbE2PMU/DMBSEdyT+g/WQ2KjtUNIS8lJVBRYWRGFgdOPXJCJ+&#10;jmI3Kf8eM8F4utPdd+Xm7Hox0Rg6zwh6oUAQ19523CB8vD/frEGEaNia3jMhfFOATXV5UZrC+pnf&#10;aNrHRqQSDoVBaGMcCilD3ZIzYeEH4uQd/ehMTHJspB3NnMpdLzOlculMx2mhNQPtWqq/9ieH0NDd&#10;y+7zdRtW6yl/urV6fjxuG8TrK60eQEQ6x78w/OIndKgS08Gf2AbRI2TqPktRhOUSRPIzrTSIA0K+&#10;ykFWpfx/oPoBUEsDBBQAAAAIAIdO4kAy7ZxP8gEAAKgDAAAOAAAAZHJzL2Uyb0RvYy54bWytU0uO&#10;EzEQ3SNxB8t70p2QMKiVziwSBhYIIsEcoOJPtyX/ZHvSySW4ABI7WLFkz20YjjFldybDZ4fYWGXX&#10;83O9V+Xl5cFoshchKmdbOp3UlAjLHFe2a+n1+6snzymJCSwH7axo6VFEerl6/Gg5+EbMXO80F4Eg&#10;iY3N4Fvap+SbqoqsFwbixHlhMSldMJBwG7qKBxiQ3ehqVtfPqsEF7oNjIkY83YxJuir8UgqW3koZ&#10;RSK6pVhbKmso6y6v1WoJTRfA94qdyoB/qMKAsvjomWoDCchNUH9RGcWCi06mCXOmclIqJooGVDOt&#10;/1DzrgcvihY0J/qzTfH/0bI3+20gimPv5jNKLBhs0u3Hbz8+fP75/ROut1+/kJxCowYfG8Sv7Tac&#10;dtFvQ1Z9kMEQqZV/hTzFB1RGDsXm49lmcUiE4eHiYrqghGFiXk+fzkoTqpEkk/kQ00vhDMlBS7Wy&#10;2QNoYP86JnwYofeQfKwtGVo6W8xr7C8DnCGpIWFoPKqKtiuXo9OKXymt85UYut1aB7KHPBX1Rb2+&#10;r+E3WH5lA7EfcRyjcVx6AfyF5SQdPZplca5pLsEITokW+A1yVAYrgdIPyBQU2E6PaN2dwBiMorRF&#10;bdnj0dUc7Rw/YntufFBdj15MCzRncByKE6fRzfP2674wPXyw1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FLAn1wAAAAgBAAAPAAAAAAAAAAEAIAAAACIAAABkcnMvZG93bnJldi54bWxQSwECFAAU&#10;AAAACACHTuJAMu2cT/IBAACoAwAADgAAAAAAAAABACAAAAAmAQAAZHJzL2Uyb0RvYy54bWxQSwUG&#10;AAAAAAYABgBZAQAAigUAAAAA&#10;">
                      <v:fill on="f" focussize="0,0"/>
                      <v:stroke weight="2pt" color="#0070C0" joinstyle="round" dashstyle="dash" endarrow="block" endarrowwidth="wide" endarrowlength="long"/>
                      <v:imagedata o:title=""/>
                      <o:lock v:ext="edit" aspectratio="f"/>
                    </v:line>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45280" behindDoc="0" locked="0" layoutInCell="1" allowOverlap="1">
                      <wp:simplePos x="0" y="0"/>
                      <wp:positionH relativeFrom="column">
                        <wp:posOffset>2250440</wp:posOffset>
                      </wp:positionH>
                      <wp:positionV relativeFrom="paragraph">
                        <wp:posOffset>6350</wp:posOffset>
                      </wp:positionV>
                      <wp:extent cx="1556385" cy="288290"/>
                      <wp:effectExtent l="4445" t="4445" r="13970" b="12065"/>
                      <wp:wrapNone/>
                      <wp:docPr id="149" name="矩形 149"/>
                      <wp:cNvGraphicFramePr/>
                      <a:graphic xmlns:a="http://schemas.openxmlformats.org/drawingml/2006/main">
                        <a:graphicData uri="http://schemas.microsoft.com/office/word/2010/wordprocessingShape">
                          <wps:wsp>
                            <wps:cNvSpPr/>
                            <wps:spPr>
                              <a:xfrm>
                                <a:off x="0" y="0"/>
                                <a:ext cx="1556385" cy="288290"/>
                              </a:xfrm>
                              <a:prstGeom prst="rect">
                                <a:avLst/>
                              </a:prstGeom>
                              <a:solidFill>
                                <a:srgbClr val="FFFFFF"/>
                              </a:solidFill>
                              <a:ln w="9525" cap="flat" cmpd="sng">
                                <a:solidFill>
                                  <a:srgbClr val="0070C0"/>
                                </a:solidFill>
                                <a:prstDash val="solid"/>
                                <a:miter/>
                                <a:headEnd type="none" w="med" len="med"/>
                                <a:tailEnd type="none" w="med" len="med"/>
                              </a:ln>
                            </wps:spPr>
                            <wps:txbx>
                              <w:txbxContent>
                                <w:p>
                                  <w:pPr>
                                    <w:jc w:val="center"/>
                                    <w:rPr>
                                      <w:rFonts w:hint="default"/>
                                      <w:color w:val="0070C0"/>
                                      <w:lang w:val="en-US" w:eastAsia="zh-CN"/>
                                    </w:rPr>
                                  </w:pPr>
                                  <w:r>
                                    <w:rPr>
                                      <w:rFonts w:hint="eastAsia"/>
                                      <w:color w:val="0070C0"/>
                                      <w:lang w:val="en-US" w:eastAsia="zh-CN"/>
                                    </w:rPr>
                                    <w:t>清水提升泵房</w:t>
                                  </w:r>
                                </w:p>
                              </w:txbxContent>
                            </wps:txbx>
                            <wps:bodyPr upright="1"/>
                          </wps:wsp>
                        </a:graphicData>
                      </a:graphic>
                    </wp:anchor>
                  </w:drawing>
                </mc:Choice>
                <mc:Fallback>
                  <w:pict>
                    <v:rect id="_x0000_s1026" o:spid="_x0000_s1026" o:spt="1" style="position:absolute;left:0pt;margin-left:177.2pt;margin-top:0.5pt;height:22.7pt;width:122.55pt;z-index:251745280;mso-width-relative:page;mso-height-relative:page;" fillcolor="#FFFFFF" filled="t" stroked="t" coordsize="21600,21600" o:gfxdata="UEsDBAoAAAAAAIdO4kAAAAAAAAAAAAAAAAAEAAAAZHJzL1BLAwQUAAAACACHTuJAV1XfhtgAAAAI&#10;AQAADwAAAGRycy9kb3ducmV2LnhtbE2Py07DMBBF90j8gzVI7KhdSPoIcboAsQBUIdoKWLrx4ETE&#10;4yh22/D3DCtYjs7VnXPL1eg7ccQhtoE0TCcKBFIdbEtOw277cLUAEZMha7pAqOEbI6yq87PSFDac&#10;6BWPm+QEl1AsjIYmpb6QMtYNehMnoUdi9hkGbxKfg5N2MCcu9528VmomvWmJPzSmx7sG66/NwWt4&#10;fH+az5/X44v7UG6s6d6/LZLX+vJiqm5BJBzTXxh+9VkdKnbahwPZKDoNN3mWcZQBT2KeL5c5iL2G&#10;bJaBrEr5f0D1A1BLAwQUAAAACACHTuJAnBMd/O8BAADfAwAADgAAAGRycy9lMm9Eb2MueG1srVNL&#10;jhMxEN0jcQfLe9KdQIaklc4sJoQNgpFmOEDFn25L/sn2pDunQWLHITgO4hqUnUxmAhuE6IW77Cq/&#10;evWqvLoejSZ7EaJytqXTSU2JsMxxZbuWfr7fvlpQEhNYDtpZ0dKDiPR6/fLFavCNmLneaS4CQRAb&#10;m8G3tE/JN1UVWS8MxInzwqJTumAg4TZ0FQ8wILrR1ayur6rBBe6DYyJGPN0cnXRd8KUULH2SMopE&#10;dEuRWyprKOsur9V6BU0XwPeKnWjAP7AwoCwmPUNtIAF5COoPKKNYcNHJNGHOVE5KxUSpAauZ1r9V&#10;c9eDF6UWFCf6s0zx/8Gyj/vbQBTH3r1ZUmLBYJN+fvn24/tXkk9Qn8HHBsPu/G047SKaudhRBpP/&#10;WAYZi6aHs6ZiTITh4XQ+v3q9mFPC0DdbLGbLInr1dNuHmN4LZ0g2WhqwZ0VK2H+ICTNi6GNIThad&#10;VnyrtC6b0O1udCB7wP5uy5cp45WLMG3J0NLlfJZ5AI6Z1JDQNB4Lj7Yr+S5uxOfAdf22vnmkfRGW&#10;iW0g9kcCxXUcKaOSyHJB0wvg7ywn6eBRWouvgGYyRnBKtMBHk60SmUDpv4nE6rTFInNjjq3IVhp3&#10;I8Jkc+f4Abv64IPqepR0WjTJHpyios5p4vOYPt8X0Kd3u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1XfhtgAAAAIAQAADwAAAAAAAAABACAAAAAiAAAAZHJzL2Rvd25yZXYueG1sUEsBAhQAFAAA&#10;AAgAh07iQJwTHfzvAQAA3wMAAA4AAAAAAAAAAQAgAAAAJwEAAGRycy9lMm9Eb2MueG1sUEsFBgAA&#10;AAAGAAYAWQEAAIgFAAAAAA==&#10;">
                      <v:fill on="t" focussize="0,0"/>
                      <v:stroke color="#0070C0" joinstyle="miter"/>
                      <v:imagedata o:title=""/>
                      <o:lock v:ext="edit" aspectratio="f"/>
                      <v:textbox>
                        <w:txbxContent>
                          <w:p>
                            <w:pPr>
                              <w:jc w:val="center"/>
                              <w:rPr>
                                <w:rFonts w:hint="default"/>
                                <w:color w:val="0070C0"/>
                                <w:lang w:val="en-US" w:eastAsia="zh-CN"/>
                              </w:rPr>
                            </w:pPr>
                            <w:r>
                              <w:rPr>
                                <w:rFonts w:hint="eastAsia"/>
                                <w:color w:val="0070C0"/>
                                <w:lang w:val="en-US" w:eastAsia="zh-CN"/>
                              </w:rPr>
                              <w:t>清水提升泵房</w:t>
                            </w:r>
                          </w:p>
                        </w:txbxContent>
                      </v:textbox>
                    </v:rect>
                  </w:pict>
                </mc:Fallback>
              </mc:AlternateContent>
            </w:r>
            <w:r>
              <w:rPr>
                <w:color w:val="auto"/>
                <w:sz w:val="28"/>
              </w:rPr>
              <mc:AlternateContent>
                <mc:Choice Requires="wps">
                  <w:drawing>
                    <wp:anchor distT="0" distB="0" distL="114300" distR="114300" simplePos="0" relativeHeight="251748352" behindDoc="0" locked="0" layoutInCell="1" allowOverlap="1">
                      <wp:simplePos x="0" y="0"/>
                      <wp:positionH relativeFrom="column">
                        <wp:posOffset>2964180</wp:posOffset>
                      </wp:positionH>
                      <wp:positionV relativeFrom="paragraph">
                        <wp:posOffset>303530</wp:posOffset>
                      </wp:positionV>
                      <wp:extent cx="170815" cy="388620"/>
                      <wp:effectExtent l="10795" t="4445" r="21590" b="13335"/>
                      <wp:wrapNone/>
                      <wp:docPr id="134" name="下箭头 134"/>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3.4pt;margin-top:23.9pt;height:30.6pt;width:13.45pt;z-index:251748352;mso-width-relative:page;mso-height-relative:page;" fillcolor="#FFFFFF" filled="t" stroked="t" coordsize="21600,21600" o:gfxdata="UEsDBAoAAAAAAIdO4kAAAAAAAAAAAAAAAAAEAAAAZHJzL1BLAwQUAAAACACHTuJAyBTQmNsAAAAK&#10;AQAADwAAAGRycy9kb3ducmV2LnhtbE2PwU7DMAyG70i8Q2QkbiwpTB3rmk4wtAvTDqw7sFvWZG1F&#10;4lRNtrU8PeYEJ9vyp9+f8+XgLLuYPrQeJSQTAcxg5XWLtYR9uX54BhaiQq2sRyNhNAGWxe1NrjLt&#10;r/hhLrtYMwrBkCkJTYxdxnmoGuNUmPjOIO1Ovncq0tjXXPfqSuHO8kchUu5Ui3ShUZ1ZNab62p2d&#10;hBdelnb//r1N3taH19PnZhzGzUrK+7tELIBFM8Q/GH71SR0Kcjr6M+rArIRpmpJ6pGZGlYDp/GkG&#10;7EikmAvgRc7/v1D8AFBLAwQUAAAACACHTuJAa99C8A4CAAAsBAAADgAAAGRycy9lMm9Eb2MueG1s&#10;rVNLjhMxEN0jcQfLe9KfIR9a6YwQIWwQjDRwAMefbiP/ZHvSyRm4BltYsZgDgbgGZafJJLBBiF64&#10;y67y86tXVcvrvVZox32Q1rS4mpQYcUMtk6Zr8ft3mycLjEIkhhFlDW/xgQd8vXr8aDm4hte2t4px&#10;jwDEhGZwLe5jdE1RBNpzTcLEOm7AKazXJMLWdwXzZAB0rYq6LGfFYD1z3lIeApyuj068yvhCcBrf&#10;ChF4RKrFwC3m1ed1m9ZitSRN54nrJR1pkH9goYk08OgJak0iQXde/gGlJfU2WBEn1OrCCiEpzzlA&#10;NlX5Wza3PXE85wLiBHeSKfw/WPpmd+ORZFC7q6cYGaKhSN/uP/748vn7p68oHYJEgwsNRN66Gz/u&#10;Apgp373wOv0hE7TPsh5OsvJ9RBQOq3m5qKYYUXBdLRazOstePFx2PsRX3GqUjBYzO5jn3tshK0p2&#10;r0PM0rKRHmEfKoyEVlCpHVFoWsI3VvIspr6ImS3m8xQDz46IYP16OMEHqyTbSKXyxnfbF8ojgG/x&#10;Jn/j5YswZdDQ4mfTOmVHoH2FIhFM7UDQYLqcwMWNcA6ceB+ZA5eLsERsTUJ/JJBdxwS1jNznpu05&#10;YS8NQ/HgoGQGpgsnMpozjBSHYUxWjoxEqr+JBBLKgEKp2sf6Jmtr2QFa5M552fVQnSoLkTzQklnP&#10;cXxSz5/vM9LDk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gU0JjbAAAACgEAAA8AAAAAAAAA&#10;AQAgAAAAIgAAAGRycy9kb3ducmV2LnhtbFBLAQIUABQAAAAIAIdO4kBr30LwDgIAACwEAAAOAAAA&#10;AAAAAAEAIAAAACoBAABkcnMvZTJvRG9jLnhtbFBLBQYAAAAABgAGAFkBAACqBQ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52448" behindDoc="0" locked="0" layoutInCell="1" allowOverlap="1">
                      <wp:simplePos x="0" y="0"/>
                      <wp:positionH relativeFrom="column">
                        <wp:posOffset>563880</wp:posOffset>
                      </wp:positionH>
                      <wp:positionV relativeFrom="paragraph">
                        <wp:posOffset>99060</wp:posOffset>
                      </wp:positionV>
                      <wp:extent cx="1582420" cy="319405"/>
                      <wp:effectExtent l="4445" t="4445" r="13335" b="6350"/>
                      <wp:wrapNone/>
                      <wp:docPr id="154" name="矩形 154"/>
                      <wp:cNvGraphicFramePr/>
                      <a:graphic xmlns:a="http://schemas.openxmlformats.org/drawingml/2006/main">
                        <a:graphicData uri="http://schemas.microsoft.com/office/word/2010/wordprocessingShape">
                          <wps:wsp>
                            <wps:cNvSpPr/>
                            <wps:spPr>
                              <a:xfrm>
                                <a:off x="0" y="0"/>
                                <a:ext cx="1582420" cy="31940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园区污水管道（已建）</w:t>
                                  </w:r>
                                </w:p>
                              </w:txbxContent>
                            </wps:txbx>
                            <wps:bodyPr upright="1"/>
                          </wps:wsp>
                        </a:graphicData>
                      </a:graphic>
                    </wp:anchor>
                  </w:drawing>
                </mc:Choice>
                <mc:Fallback>
                  <w:pict>
                    <v:rect id="_x0000_s1026" o:spid="_x0000_s1026" o:spt="1" style="position:absolute;left:0pt;margin-left:44.4pt;margin-top:7.8pt;height:25.15pt;width:124.6pt;z-index:251752448;mso-width-relative:page;mso-height-relative:page;" filled="f" stroked="t" coordsize="21600,21600" o:gfxdata="UEsDBAoAAAAAAIdO4kAAAAAAAAAAAAAAAAAEAAAAZHJzL1BLAwQUAAAACACHTuJAsbPQPdYAAAAI&#10;AQAADwAAAGRycy9kb3ducmV2LnhtbE2PwU7DMBBE70j8g7VI3KhTqkQhjVMVRK+VaJGgNzde7Kjx&#10;Oordpvw9ywmOs7OaeVOvrr4XFxxjF0jBfJaBQGqD6cgqeN9vHkoQMWkyug+ECr4xwqq5val1ZcJE&#10;b3jZJSs4hGKlFbiUhkrK2Dr0Os7CgMTeVxi9TixHK82oJw73vXzMskJ63RE3OD3gi8P2tDt7Ba/D&#10;YbvObZTrj+Q+T+F52ritVer+bp4tQSS8pr9n+MVndGiY6RjOZKLoFZQlkye+5wUI9heLkrcdFRT5&#10;E8imlv8HND9QSwMEFAAAAAgAh07iQOSpXsnkAQAAtgMAAA4AAABkcnMvZTJvRG9jLnhtbK1TS44T&#10;MRDdI3EHy3vSH9JoppXOLAjDBsFIAweo+NNtyT/ZnnTnNEjsOATHQVyDshMyfDYI0Qt3uer5uepV&#10;eXOzGE0OIkTl7ECbVU2JsMxxZceBfnh/++yKkpjActDOioEeRaQ326dPNrPvResmp7kIBEls7Gc/&#10;0Ckl31dVZJMwEFfOC4tB6YKBhNswVjzAjOxGV21dv6hmF7gPjokY0bs7Bem28EspWHonZRSJ6IFi&#10;bqmsoaz7vFbbDfRjAD8pdk4D/iELA8ripReqHSQgD0H9QWUUCy46mVbMmcpJqZgoNWA1Tf1bNfcT&#10;eFFqQXGiv8gU/x8te3u4C0Rx7F23psSCwSZ9+/j565dPJHtQn9nHHmH3/i6cdxHNXOwig8l/LIMs&#10;RdPjRVOxJMLQ2XRX7bpF6RnGnjfX67rLpNXjaR9iei2cIdkYaMCeFSnh8CamE/QHJF9m3a3SGv3Q&#10;a0vmgV53bYf0gNMjNSQ0jcd6oh0LTXRa8Xwkn4hh3L/UgRwgz0P5ztn8Asv37SBOJ1wJZRj0RiWR&#10;VYB+EsBfWU7S0aNiFoeb5mSM4JRogW8hWwWZQOm/QaIk2qIyWe+TwtlKy35BmmzuHT9isx58UOOE&#10;SjUl9RzB4SiSngc5T9/P+0L6+Ny2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s9A91gAAAAgB&#10;AAAPAAAAAAAAAAEAIAAAACIAAABkcnMvZG93bnJldi54bWxQSwECFAAUAAAACACHTuJA5KleyeQB&#10;AAC2AwAADgAAAAAAAAABACAAAAAlAQAAZHJzL2Uyb0RvYy54bWxQSwUGAAAAAAYABgBZAQAAewUA&#10;AAAA&#10;">
                      <v:fill on="f" focussize="0,0"/>
                      <v:stroke color="#000000" joinstyle="miter"/>
                      <v:imagedata o:title=""/>
                      <o:lock v:ext="edit" aspectratio="f"/>
                      <v:textbox>
                        <w:txbxContent>
                          <w:p>
                            <w:pPr>
                              <w:ind w:left="0" w:leftChars="0" w:firstLine="0" w:firstLineChars="0"/>
                              <w:jc w:val="center"/>
                              <w:rPr>
                                <w:rFonts w:hint="default"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园区污水管道（已建）</w:t>
                            </w:r>
                          </w:p>
                        </w:txbxContent>
                      </v:textbox>
                    </v:rect>
                  </w:pict>
                </mc:Fallback>
              </mc:AlternateContent>
            </w:r>
            <w:r>
              <w:rPr>
                <w:color w:val="auto"/>
                <w:sz w:val="28"/>
              </w:rPr>
              <mc:AlternateContent>
                <mc:Choice Requires="wps">
                  <w:drawing>
                    <wp:anchor distT="0" distB="0" distL="114300" distR="114300" simplePos="0" relativeHeight="251715584" behindDoc="0" locked="0" layoutInCell="1" allowOverlap="1">
                      <wp:simplePos x="0" y="0"/>
                      <wp:positionH relativeFrom="column">
                        <wp:posOffset>2611755</wp:posOffset>
                      </wp:positionH>
                      <wp:positionV relativeFrom="paragraph">
                        <wp:posOffset>24130</wp:posOffset>
                      </wp:positionV>
                      <wp:extent cx="248920" cy="454660"/>
                      <wp:effectExtent l="0" t="0" r="5080" b="2540"/>
                      <wp:wrapNone/>
                      <wp:docPr id="133" name="矩形 133"/>
                      <wp:cNvGraphicFramePr/>
                      <a:graphic xmlns:a="http://schemas.openxmlformats.org/drawingml/2006/main">
                        <a:graphicData uri="http://schemas.microsoft.com/office/word/2010/wordprocessingShape">
                          <wps:wsp>
                            <wps:cNvSpPr/>
                            <wps:spPr>
                              <a:xfrm>
                                <a:off x="0" y="0"/>
                                <a:ext cx="248920" cy="454660"/>
                              </a:xfrm>
                              <a:prstGeom prst="rect">
                                <a:avLst/>
                              </a:prstGeom>
                              <a:solidFill>
                                <a:srgbClr val="FFFFFF"/>
                              </a:solidFill>
                              <a:ln>
                                <a:noFill/>
                              </a:ln>
                            </wps:spPr>
                            <wps:txbx>
                              <w:txbxContent>
                                <w:p>
                                  <w:pPr>
                                    <w:pStyle w:val="11"/>
                                    <w:tabs>
                                      <w:tab w:val="left" w:pos="0"/>
                                    </w:tabs>
                                    <w:ind w:left="0" w:leftChars="0" w:firstLine="0" w:firstLineChars="0"/>
                                    <w:rPr>
                                      <w:rFonts w:hint="eastAsia"/>
                                      <w:lang w:val="en-US" w:eastAsia="zh-CN"/>
                                    </w:rPr>
                                  </w:pPr>
                                  <w:r>
                                    <w:rPr>
                                      <w:rFonts w:hint="eastAsia"/>
                                      <w:lang w:val="en-US" w:eastAsia="zh-CN"/>
                                    </w:rPr>
                                    <w:t>泵</w:t>
                                  </w:r>
                                </w:p>
                                <w:p>
                                  <w:pPr>
                                    <w:pStyle w:val="11"/>
                                    <w:tabs>
                                      <w:tab w:val="left" w:pos="0"/>
                                    </w:tabs>
                                    <w:rPr>
                                      <w:rFonts w:hint="default"/>
                                      <w:lang w:val="en-US"/>
                                    </w:rPr>
                                  </w:pPr>
                                </w:p>
                              </w:txbxContent>
                            </wps:txbx>
                            <wps:bodyPr upright="1"/>
                          </wps:wsp>
                        </a:graphicData>
                      </a:graphic>
                    </wp:anchor>
                  </w:drawing>
                </mc:Choice>
                <mc:Fallback>
                  <w:pict>
                    <v:rect id="_x0000_s1026" o:spid="_x0000_s1026" o:spt="1" style="position:absolute;left:0pt;margin-left:205.65pt;margin-top:1.9pt;height:35.8pt;width:19.6pt;z-index:251715584;mso-width-relative:page;mso-height-relative:page;" fillcolor="#FFFFFF" filled="t" stroked="f" coordsize="21600,21600" o:gfxdata="UEsDBAoAAAAAAIdO4kAAAAAAAAAAAAAAAAAEAAAAZHJzL1BLAwQUAAAACACHTuJANye8WdYAAAAI&#10;AQAADwAAAGRycy9kb3ducmV2LnhtbE2PzU7DMBCE70i8g7VI3Kgd8kMb4vSA1BNwoEXiuo23SURs&#10;h9hpw9uznOA4mtHMN9V2sYM40xR67zQkKwWCXONN71oN74fd3RpEiOgMDt6Rhm8KsK2vryosjb+4&#10;NzrvYyu4xIUSNXQxjqWUoenIYlj5kRx7Jz9ZjCynVpoJL1xuB3mvVCEt9o4XOhzpqaPmcz9bDVhk&#10;5uv1lL4cnucCN+2idvmH0vr2JlGPICIt8S8Mv/iMDjUzHf3sTBCDhixJUo5qSPkB+1muchBHDQ95&#10;BrKu5P8D9Q9QSwMEFAAAAAgAh07iQPDh6N6eAQAAHwMAAA4AAABkcnMvZTJvRG9jLnhtbK1SS44T&#10;MRDdI3EHy3viJBOioZXOLBiFDYKRBg7guO1uS7bLKnvSndMgseMQHAdxDcpOyACzG9GLatfHr+q9&#10;8uZm8o4dNCYLoeWL2ZwzHRR0NvQt//xp9+qas5Rl6KSDoFt+1InfbF++2Iyx0UsYwHUaGYGE1Iyx&#10;5UPOsREiqUF7mWYQdaCkAfQyk4u96FCOhO6dWM7nazECdhFB6ZQoentK8m3FN0ar/NGYpDNzLafZ&#10;crVY7b5Ysd3IpkcZB6vOY8hnTOGlDdT0AnUrs2QPaJ9AeasQEpg8U+AFGGOVrhyIzWL+D5v7QUZd&#10;uZA4KV5kSv8PVn043CGzHe3u6oqzID0t6eeXbz++f2UlQvqMMTVUdh/v8OwlOhayk0Ff/kSDTVXT&#10;40VTPWWmKLhcXb9ZkvKKUqvXq/W6ai4eL0dM+Z0Gz8qh5Ugrq0rKw/uUqSGV/i4pvRI42+2sc9XB&#10;fv/WITtIWu+ufmViuvJXmQulOEC5dkqXiCjETlTKKU/76cxvD92RVHmIaPuBZlpU0FJEW6jw5xdT&#10;1vynX0Ef3/X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cnvFnWAAAACAEAAA8AAAAAAAAAAQAg&#10;AAAAIgAAAGRycy9kb3ducmV2LnhtbFBLAQIUABQAAAAIAIdO4kDw4ejengEAAB8DAAAOAAAAAAAA&#10;AAEAIAAAACUBAABkcnMvZTJvRG9jLnhtbFBLBQYAAAAABgAGAFkBAAA1BQAAAAA=&#10;">
                      <v:fill on="t" focussize="0,0"/>
                      <v:stroke on="f"/>
                      <v:imagedata o:title=""/>
                      <o:lock v:ext="edit" aspectratio="f"/>
                      <v:textbox>
                        <w:txbxContent>
                          <w:p>
                            <w:pPr>
                              <w:pStyle w:val="11"/>
                              <w:tabs>
                                <w:tab w:val="left" w:pos="0"/>
                              </w:tabs>
                              <w:ind w:left="0" w:leftChars="0" w:firstLine="0" w:firstLineChars="0"/>
                              <w:rPr>
                                <w:rFonts w:hint="eastAsia"/>
                                <w:lang w:val="en-US" w:eastAsia="zh-CN"/>
                              </w:rPr>
                            </w:pPr>
                            <w:r>
                              <w:rPr>
                                <w:rFonts w:hint="eastAsia"/>
                                <w:lang w:val="en-US" w:eastAsia="zh-CN"/>
                              </w:rPr>
                              <w:t>泵</w:t>
                            </w:r>
                          </w:p>
                          <w:p>
                            <w:pPr>
                              <w:pStyle w:val="11"/>
                              <w:tabs>
                                <w:tab w:val="left" w:pos="0"/>
                              </w:tabs>
                              <w:rPr>
                                <w:rFonts w:hint="default"/>
                                <w:lang w:val="en-US"/>
                              </w:rPr>
                            </w:pP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53472" behindDoc="0" locked="0" layoutInCell="1" allowOverlap="1">
                      <wp:simplePos x="0" y="0"/>
                      <wp:positionH relativeFrom="column">
                        <wp:posOffset>2973705</wp:posOffset>
                      </wp:positionH>
                      <wp:positionV relativeFrom="paragraph">
                        <wp:posOffset>283210</wp:posOffset>
                      </wp:positionV>
                      <wp:extent cx="170815" cy="388620"/>
                      <wp:effectExtent l="10795" t="4445" r="21590" b="13335"/>
                      <wp:wrapNone/>
                      <wp:docPr id="135" name="下箭头 135"/>
                      <wp:cNvGraphicFramePr/>
                      <a:graphic xmlns:a="http://schemas.openxmlformats.org/drawingml/2006/main">
                        <a:graphicData uri="http://schemas.microsoft.com/office/word/2010/wordprocessingShape">
                          <wps:wsp>
                            <wps:cNvSpPr/>
                            <wps:spPr>
                              <a:xfrm>
                                <a:off x="0" y="0"/>
                                <a:ext cx="170815" cy="388620"/>
                              </a:xfrm>
                              <a:prstGeom prst="downArrow">
                                <a:avLst>
                                  <a:gd name="adj1" fmla="val 50000"/>
                                  <a:gd name="adj2" fmla="val 5687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34.15pt;margin-top:22.3pt;height:30.6pt;width:13.45pt;z-index:251753472;mso-width-relative:page;mso-height-relative:page;" fillcolor="#FFFFFF" filled="t" stroked="t" coordsize="21600,21600" o:gfxdata="UEsDBAoAAAAAAIdO4kAAAAAAAAAAAAAAAAAEAAAAZHJzL1BLAwQUAAAACACHTuJAjJ6PQdsAAAAK&#10;AQAADwAAAGRycy9kb3ducmV2LnhtbE2PsU7DMBCGdyTewTokNmqnpFEa4lRQ1IWKgaZD2dzYTSLi&#10;cxS7bcLTc0yw3ek+/ff9+Wq0HbuYwbcOJUQzAcxg5XSLtYR9uXlIgfmgUKvOoZEwGQ+r4vYmV5l2&#10;V/wwl12oGYWgz5SEJoQ+49xXjbHKz1xvkG4nN1gVaB1qrgd1pXDb8bkQCbeqRfrQqN6sG1N97c5W&#10;wjMvy27/9v0evW4+X06H7TRO27WU93eReAIWzBj+YPjVJ3UoyOnozqg96yTESfpIKA1xAoyAeLmY&#10;AzsSKRYp8CLn/ysUP1BLAwQUAAAACACHTuJAYYxlDg0CAAAsBAAADgAAAGRycy9lMm9Eb2MueG1s&#10;rVNLjhMxEN0jcQfLe9KfUZImSmeECGGDYKRhDuD4023kn2xPOjkD12ALKxYcCMQ1KDs9mQQ2CNEL&#10;d9lVfn71qmp5vdcK7bgP0poWV5MSI26oZdJ0Lb57v3nWYBQiMYwoa3iLDzzg69XTJ8vBLXhte6sY&#10;9whATFgMrsV9jG5RFIH2XJMwsY4bcArrNYmw9V3BPBkAXauiLstZMVjPnLeUhwCn66MTrzK+EJzG&#10;d0IEHpFqMXCLefV53aa1WC3JovPE9ZKONMg/sNBEGnj0BLUmkaB7L/+A0pJ6G6yIE2p1YYWQlOcc&#10;IJuq/C2b2544nnMBcYI7yRT+Hyx9u7vxSDKo3dUUI0M0FOn7t48/v3z+8ekrSocg0eDCAiJv3Y0f&#10;dwHMlO9eeJ3+kAnaZ1kPJ1n5PiIKh9W8bCoAp+C6appZnWUvHi87H+JrbjVKRouZHcwL7+2QFSW7&#10;NyFmadlIj7APFUZCK6jUjig0LeEbK3kWU1/EzJr5PMXAsyMiWA8PJ/hglWQbqVTe+G77UnkE8C3e&#10;5G+8fBGmDBpa/Hxap+wItK9QJIKpHQgaTJcTuLgRzoET7yNz4HIRloitSeiPBLLrmKCWkfvctD0n&#10;7JVhKB4clMzAdOFERnOGkeIwjMnKkZFI9TeRQEIZUChV+1jfZG0tO0CL3Dsvux6qU2UhkgdaMus5&#10;jk/q+fN9Rnoc8t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J6PQdsAAAAKAQAADwAAAAAAAAAB&#10;ACAAAAAiAAAAZHJzL2Rvd25yZXYueG1sUEsBAhQAFAAAAAgAh07iQGGMZQ4NAgAALAQAAA4AAAAA&#10;AAAAAQAgAAAAKgEAAGRycy9lMm9Eb2MueG1sUEsFBgAAAAAGAAYAWQEAAKkFAAAAAA==&#10;" adj="16201,5400">
                      <v:fill on="t" focussize="0,0"/>
                      <v:stroke color="#000000" joinstyle="miter"/>
                      <v:imagedata o:title=""/>
                      <o:lock v:ext="edit" aspectratio="f"/>
                    </v:shape>
                  </w:pict>
                </mc:Fallback>
              </mc:AlternateContent>
            </w:r>
            <w:r>
              <w:rPr>
                <w:color w:val="auto"/>
                <w:sz w:val="28"/>
              </w:rPr>
              <mc:AlternateContent>
                <mc:Choice Requires="wps">
                  <w:drawing>
                    <wp:anchor distT="0" distB="0" distL="114300" distR="114300" simplePos="0" relativeHeight="251747328" behindDoc="0" locked="0" layoutInCell="1" allowOverlap="1">
                      <wp:simplePos x="0" y="0"/>
                      <wp:positionH relativeFrom="column">
                        <wp:posOffset>2260600</wp:posOffset>
                      </wp:positionH>
                      <wp:positionV relativeFrom="paragraph">
                        <wp:posOffset>15875</wp:posOffset>
                      </wp:positionV>
                      <wp:extent cx="1609725" cy="257175"/>
                      <wp:effectExtent l="4445" t="5080" r="11430" b="4445"/>
                      <wp:wrapNone/>
                      <wp:docPr id="144" name="矩形 144"/>
                      <wp:cNvGraphicFramePr/>
                      <a:graphic xmlns:a="http://schemas.openxmlformats.org/drawingml/2006/main">
                        <a:graphicData uri="http://schemas.microsoft.com/office/word/2010/wordprocessingShape">
                          <wps:wsp>
                            <wps:cNvSpPr/>
                            <wps:spPr>
                              <a:xfrm>
                                <a:off x="0" y="0"/>
                                <a:ext cx="1609725" cy="257175"/>
                              </a:xfrm>
                              <a:prstGeom prst="rect">
                                <a:avLst/>
                              </a:prstGeom>
                              <a:solidFill>
                                <a:srgbClr val="FFFFFF"/>
                              </a:solidFill>
                              <a:ln w="9525" cap="flat" cmpd="sng">
                                <a:solidFill>
                                  <a:srgbClr val="0070C0"/>
                                </a:solidFill>
                                <a:prstDash val="solid"/>
                                <a:miter/>
                                <a:headEnd type="none" w="med" len="med"/>
                                <a:tailEnd type="none" w="med" len="med"/>
                              </a:ln>
                            </wps:spPr>
                            <wps:txb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wps:txbx>
                            <wps:bodyPr upright="1"/>
                          </wps:wsp>
                        </a:graphicData>
                      </a:graphic>
                    </wp:anchor>
                  </w:drawing>
                </mc:Choice>
                <mc:Fallback>
                  <w:pict>
                    <v:rect id="_x0000_s1026" o:spid="_x0000_s1026" o:spt="1" style="position:absolute;left:0pt;margin-left:178pt;margin-top:1.25pt;height:20.25pt;width:126.75pt;z-index:251747328;mso-width-relative:page;mso-height-relative:page;" fillcolor="#FFFFFF" filled="t" stroked="t" coordsize="21600,21600" o:gfxdata="UEsDBAoAAAAAAIdO4kAAAAAAAAAAAAAAAAAEAAAAZHJzL1BLAwQUAAAACACHTuJAP69oqdgAAAAI&#10;AQAADwAAAGRycy9kb3ducmV2LnhtbE2PwU7DMBBE70j8g7VI3KjdlqYlZNMDiAOgClEQcHTjJYmI&#10;11HstuHvWU5wm9WsZt4U69F36kBDbAMjTCcGFHEVXMs1wuvL3cUKVEyWne0CE8I3RViXpyeFzV04&#10;8jMdtqlWEsIxtwhNSn2udawa8jZOQk8s3mcYvE1yDrV2gz1KuO/0zJhMe9uyNDS2p5uGqq/t3iPc&#10;vz8sl4+b8an+MPVY8a1/WyWPeH42NdegEo3p7xl+8QUdSmHahT27qDqE+SKTLQlhtgAlfmauROwQ&#10;LucGdFno/wPKH1BLAwQUAAAACACHTuJAdLqN6+4BAADfAwAADgAAAGRycy9lMm9Eb2MueG1srVNL&#10;jhMxEN0jcQfLe9Ld0WTCtNKZxYSwQTDSwAEq/nRb8k+2J905DRI7DsFxENeg7ITMBDYI0Qt32VV+&#10;9epVeXU7GU32IkTlbEebWU2JsMxxZfuOfvq4ffWakpjActDOio4eRKS365cvVqNvxdwNTnMRCILY&#10;2I6+o0NKvq2qyAZhIM6cFxad0gUDCbehr3iAEdGNruZ1fV2NLnAfHBMx4unm6KTrgi+lYOmDlFEk&#10;ojuK3FJZQ1l3ea3WK2j7AH5Q7EQD/oGFAWUx6RlqAwnIY1B/QBnFgotOphlzpnJSKiZKDVhNU/9W&#10;zcMAXpRaUJzozzLF/wfL3u/vA1Ece3d1RYkFg0368fnr929fSD5BfUYfWwx78PfhtIto5mInGUz+&#10;YxlkKpoezpqKKRGGh811fbOcLyhh6Jsvls1ykUGrp9s+xPRWOEOy0dGAPStSwv5dTMfQXyE5WXRa&#10;8a3SumxCv7vTgewB+7st3wn9IkxbMnb0ZlF4AI6Z1JCQkvFYeLR9yXdxIz4HrutlfVdmBWlfhGVi&#10;G4jDkUBx5fzQGpVElgvaQQB/YzlJB4/SWnwFNJMxglOiBT6abJXIBEr/TSSS0BYlzI05tiJbadpN&#10;CJPNneMH7OqjD6ofUNKmaJI9OEVF+9PE5zF9vi+gT+9y/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2ip2AAAAAgBAAAPAAAAAAAAAAEAIAAAACIAAABkcnMvZG93bnJldi54bWxQSwECFAAUAAAA&#10;CACHTuJAdLqN6+4BAADfAwAADgAAAAAAAAABACAAAAAnAQAAZHJzL2Uyb0RvYy54bWxQSwUGAAAA&#10;AAYABgBZAQAAhwUAAAAA&#10;">
                      <v:fill on="t" focussize="0,0"/>
                      <v:stroke color="#0070C0" joinstyle="miter"/>
                      <v:imagedata o:title=""/>
                      <o:lock v:ext="edit" aspectratio="f"/>
                      <v:textbox>
                        <w:txbxContent>
                          <w:p>
                            <w:pPr>
                              <w:ind w:left="0" w:leftChars="0" w:firstLine="0" w:firstLineChars="0"/>
                              <w:jc w:val="center"/>
                              <w:rPr>
                                <w:rFonts w:hint="default"/>
                                <w:color w:val="0070C0"/>
                                <w:lang w:val="en-US"/>
                              </w:rPr>
                            </w:pPr>
                            <w:r>
                              <w:rPr>
                                <w:rFonts w:hint="eastAsia"/>
                                <w:color w:val="0070C0"/>
                                <w:lang w:val="en-US" w:eastAsia="zh-CN"/>
                              </w:rPr>
                              <w:t>新建原水输水管道</w:t>
                            </w:r>
                          </w:p>
                        </w:txbxContent>
                      </v:textbox>
                    </v:rect>
                  </w:pict>
                </mc:Fallback>
              </mc:AlternateContent>
            </w:r>
          </w:p>
          <w:p>
            <w:pPr>
              <w:pStyle w:val="11"/>
              <w:keepNext w:val="0"/>
              <w:keepLines w:val="0"/>
              <w:pageBreakBefore w:val="0"/>
              <w:tabs>
                <w:tab w:val="left" w:pos="0"/>
              </w:tabs>
              <w:kinsoku/>
              <w:wordWrap/>
              <w:overflowPunct/>
              <w:topLinePunct w:val="0"/>
              <w:autoSpaceDE/>
              <w:autoSpaceDN/>
              <w:bidi w:val="0"/>
              <w:adjustRightInd/>
              <w:spacing w:line="444" w:lineRule="auto"/>
              <w:textAlignment w:val="auto"/>
              <w:rPr>
                <w:rFonts w:hint="eastAsia"/>
                <w:color w:val="auto"/>
              </w:rPr>
            </w:pPr>
            <w:r>
              <w:rPr>
                <w:color w:val="auto"/>
                <w:sz w:val="28"/>
              </w:rPr>
              <mc:AlternateContent>
                <mc:Choice Requires="wps">
                  <w:drawing>
                    <wp:anchor distT="0" distB="0" distL="114300" distR="114300" simplePos="0" relativeHeight="251730944" behindDoc="0" locked="0" layoutInCell="1" allowOverlap="1">
                      <wp:simplePos x="0" y="0"/>
                      <wp:positionH relativeFrom="column">
                        <wp:posOffset>2164080</wp:posOffset>
                      </wp:positionH>
                      <wp:positionV relativeFrom="paragraph">
                        <wp:posOffset>328295</wp:posOffset>
                      </wp:positionV>
                      <wp:extent cx="1862455" cy="255905"/>
                      <wp:effectExtent l="4445" t="4445" r="12700" b="6350"/>
                      <wp:wrapNone/>
                      <wp:docPr id="136" name="矩形 136"/>
                      <wp:cNvGraphicFramePr/>
                      <a:graphic xmlns:a="http://schemas.openxmlformats.org/drawingml/2006/main">
                        <a:graphicData uri="http://schemas.microsoft.com/office/word/2010/wordprocessingShape">
                          <wps:wsp>
                            <wps:cNvSpPr/>
                            <wps:spPr>
                              <a:xfrm>
                                <a:off x="0" y="0"/>
                                <a:ext cx="186245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lang w:val="en-US" w:eastAsia="zh-CN"/>
                                    </w:rPr>
                                  </w:pPr>
                                  <w:r>
                                    <w:rPr>
                                      <w:rFonts w:hint="eastAsia"/>
                                      <w:lang w:val="en-US" w:eastAsia="zh-CN"/>
                                    </w:rPr>
                                    <w:t>东柳水厂原输水管道</w:t>
                                  </w:r>
                                </w:p>
                              </w:txbxContent>
                            </wps:txbx>
                            <wps:bodyPr upright="1"/>
                          </wps:wsp>
                        </a:graphicData>
                      </a:graphic>
                    </wp:anchor>
                  </w:drawing>
                </mc:Choice>
                <mc:Fallback>
                  <w:pict>
                    <v:rect id="_x0000_s1026" o:spid="_x0000_s1026" o:spt="1" style="position:absolute;left:0pt;margin-left:170.4pt;margin-top:25.85pt;height:20.15pt;width:146.65pt;z-index:251730944;mso-width-relative:page;mso-height-relative:page;" fillcolor="#FFFFFF" filled="t" stroked="t" coordsize="21600,21600" o:gfxdata="UEsDBAoAAAAAAIdO4kAAAAAAAAAAAAAAAAAEAAAAZHJzL1BLAwQUAAAACACHTuJAY89HVdgAAAAJ&#10;AQAADwAAAGRycy9kb3ducmV2LnhtbE2PQU+DQBSE7yb+h80z8WZ3gVotZelBUxOPLb14e8AroOxb&#10;wi4t+utdT/U4mcnMN9l2Nr040+g6yxqihQJBXNm640bDsdg9PINwHrnG3jJp+CYH2/z2JsO0thfe&#10;0/ngGxFK2KWoofV+SKV0VUsG3cIOxME72dGgD3JsZD3iJZSbXsZKraTBjsNCiwO9tFR9HSajoezi&#10;I/7sizdl1rvEv8/F5/TxqvX9XaQ2IDzN/hqGP/yADnlgKu3EtRO9hmSpArrX8Bg9gQiBVbKMQJQa&#10;1rECmWfy/4P8F1BLAwQUAAAACACHTuJAwvk34egBAADfAwAADgAAAGRycy9lMm9Eb2MueG1srVPN&#10;bhMxEL4j8Q6W72Q3gY3aVTY9EMIFQaWWB5j4Z9eS/2S72c3TIHHjIXgcxGswdkLaQg8VYg/eGc/4&#10;8zffjFdXk9FkL0JUznZ0PqspEZY5rmzf0c+321cXlMQEloN2VnT0ICK9Wr98sRp9KxZucJqLQBDE&#10;xnb0HR1S8m1VRTYIA3HmvLAYlC4YSOiGvuIBRkQ3ulrU9bIaXeA+OCZixN3NMUjXBV9KwdInKaNI&#10;RHcUuaWyhrLu8lqtV9D2Afyg2IkG/AMLA8ripWeoDSQgd0H9BWUUCy46mWbMmcpJqZgoNWA18/qP&#10;am4G8KLUguJEf5Yp/j9Y9nF/HYji2LvXS0osGGzSzy/ffnz/SvIO6jP62GLajb8OJy+imYudZDD5&#10;j2WQqWh6OGsqpkQYbs4vlos3TUMJw9iiaS7rJoNW96d9iOm9cIZko6MBe1akhP2HmI6pv1PyZdFp&#10;xbdK6+KEfvdWB7IH7O+2fCf0R2nakrGjl80i8wAcM6khoWk8Fh5tX+57dCI+BK7L9xRwJraBOBwJ&#10;FIScBq1RSYRiDQL4O8tJOniU1uIroJmMEZwSLfDRZKtkJlD6OZmonbYoYW7MsRXZStNuQphs7hw/&#10;YFfvfFD9gJLOC/UcwSkq2p8mPo/pQ7+A3r/L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jz0dV&#10;2AAAAAkBAAAPAAAAAAAAAAEAIAAAACIAAABkcnMvZG93bnJldi54bWxQSwECFAAUAAAACACHTuJA&#10;wvk34egBAADfAwAADgAAAAAAAAABACAAAAAnAQAAZHJzL2Uyb0RvYy54bWxQSwUGAAAAAAYABgBZ&#10;AQAAgQUAAAAA&#10;">
                      <v:fill on="t" focussize="0,0"/>
                      <v:stroke color="#000000" joinstyle="miter"/>
                      <v:imagedata o:title=""/>
                      <o:lock v:ext="edit" aspectratio="f"/>
                      <v:textbox>
                        <w:txbxContent>
                          <w:p>
                            <w:pPr>
                              <w:ind w:left="0" w:leftChars="0" w:firstLine="0" w:firstLineChars="0"/>
                              <w:jc w:val="center"/>
                              <w:rPr>
                                <w:rFonts w:hint="default"/>
                                <w:lang w:val="en-US" w:eastAsia="zh-CN"/>
                              </w:rPr>
                            </w:pPr>
                            <w:r>
                              <w:rPr>
                                <w:rFonts w:hint="eastAsia"/>
                                <w:lang w:val="en-US" w:eastAsia="zh-CN"/>
                              </w:rPr>
                              <w:t>东柳水厂原输水管道</w:t>
                            </w:r>
                          </w:p>
                        </w:txbxContent>
                      </v:textbox>
                    </v:rect>
                  </w:pict>
                </mc:Fallback>
              </mc:AlternateContent>
            </w:r>
          </w:p>
          <w:p>
            <w:pPr>
              <w:pStyle w:val="11"/>
              <w:keepNext w:val="0"/>
              <w:keepLines w:val="0"/>
              <w:pageBreakBefore w:val="0"/>
              <w:widowControl/>
              <w:tabs>
                <w:tab w:val="left" w:pos="0"/>
              </w:tabs>
              <w:kinsoku/>
              <w:wordWrap/>
              <w:overflowPunct/>
              <w:topLinePunct w:val="0"/>
              <w:autoSpaceDE/>
              <w:autoSpaceDN/>
              <w:bidi w:val="0"/>
              <w:adjustRightInd/>
              <w:snapToGrid w:val="0"/>
              <w:spacing w:before="0" w:after="0" w:line="240" w:lineRule="auto"/>
              <w:ind w:right="0"/>
              <w:textAlignment w:val="auto"/>
              <w:rPr>
                <w:rFonts w:hint="eastAsia"/>
                <w:color w:val="auto"/>
              </w:rPr>
            </w:pPr>
          </w:p>
          <w:p>
            <w:pPr>
              <w:pStyle w:val="11"/>
              <w:keepNext w:val="0"/>
              <w:keepLines w:val="0"/>
              <w:pageBreakBefore w:val="0"/>
              <w:widowControl/>
              <w:tabs>
                <w:tab w:val="left" w:pos="0"/>
              </w:tabs>
              <w:kinsoku/>
              <w:wordWrap/>
              <w:overflowPunct/>
              <w:topLinePunct w:val="0"/>
              <w:autoSpaceDE/>
              <w:autoSpaceDN/>
              <w:bidi w:val="0"/>
              <w:adjustRightInd/>
              <w:snapToGrid w:val="0"/>
              <w:spacing w:line="240" w:lineRule="auto"/>
              <w:ind w:right="113"/>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center"/>
              <w:textAlignment w:val="auto"/>
              <w:rPr>
                <w:rFonts w:hint="eastAsia" w:ascii="Times New Roman" w:hAnsi="Times New Roman" w:eastAsia="宋体" w:cs="Times New Roman"/>
                <w:b/>
                <w:bCs/>
                <w:color w:val="auto"/>
                <w:sz w:val="21"/>
                <w:szCs w:val="24"/>
                <w:lang w:val="en-US" w:eastAsia="zh-CN"/>
              </w:rPr>
            </w:pPr>
            <w:r>
              <w:rPr>
                <w:rFonts w:hint="eastAsia" w:ascii="Times New Roman" w:hAnsi="Times New Roman" w:eastAsia="宋体" w:cs="Times New Roman"/>
                <w:b/>
                <w:bCs/>
                <w:color w:val="auto"/>
                <w:sz w:val="21"/>
                <w:szCs w:val="24"/>
                <w:lang w:val="en-US" w:eastAsia="zh-CN"/>
              </w:rPr>
              <w:t>图2-6  项目生产工艺流程及产污环节图</w:t>
            </w:r>
            <w:r>
              <w:rPr>
                <w:rFonts w:hint="eastAsia" w:cs="Times New Roman"/>
                <w:b/>
                <w:bCs/>
                <w:color w:val="auto"/>
                <w:sz w:val="21"/>
                <w:szCs w:val="24"/>
                <w:lang w:val="en-US" w:eastAsia="zh-CN"/>
              </w:rPr>
              <w:t>（蓝色部分为本次评价内容）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bCs/>
                <w:color w:val="auto"/>
                <w:sz w:val="24"/>
                <w:lang w:val="en-US" w:eastAsia="zh-CN"/>
              </w:rPr>
            </w:pPr>
            <w:r>
              <w:rPr>
                <w:rFonts w:hint="eastAsia"/>
                <w:color w:val="auto"/>
                <w:sz w:val="24"/>
                <w:szCs w:val="24"/>
                <w:lang w:val="en-US" w:eastAsia="zh-CN"/>
              </w:rPr>
              <w:t>本次评价内容如下：</w:t>
            </w:r>
            <w:r>
              <w:rPr>
                <w:rFonts w:hint="eastAsia" w:ascii="Times New Roman" w:hAnsi="Times New Roman" w:eastAsia="宋体" w:cs="Times New Roman"/>
                <w:color w:val="auto"/>
                <w:sz w:val="24"/>
                <w:lang w:val="en-US" w:eastAsia="zh-CN"/>
              </w:rPr>
              <w:t>铺设DN600球墨管360</w:t>
            </w:r>
            <w:r>
              <w:rPr>
                <w:rFonts w:hint="eastAsia" w:cs="Times New Roman"/>
                <w:color w:val="auto"/>
                <w:sz w:val="24"/>
                <w:lang w:val="en-US" w:eastAsia="zh-CN"/>
              </w:rPr>
              <w:t>m，由经开大道老东柳老水厂原水输送管道接</w:t>
            </w:r>
            <w:r>
              <w:rPr>
                <w:rFonts w:hint="eastAsia" w:ascii="Times New Roman" w:hAnsi="Times New Roman" w:eastAsia="宋体" w:cs="Times New Roman"/>
                <w:color w:val="auto"/>
                <w:sz w:val="24"/>
                <w:lang w:val="en-US" w:eastAsia="zh-CN"/>
              </w:rPr>
              <w:t>大竹县宜美生态环保工程有限公司</w:t>
            </w:r>
            <w:r>
              <w:rPr>
                <w:rFonts w:hint="eastAsia" w:cs="Times New Roman"/>
                <w:color w:val="auto"/>
                <w:sz w:val="24"/>
                <w:lang w:val="en-US" w:eastAsia="zh-CN"/>
              </w:rPr>
              <w:t>建设的原水深度处理一体化设备；</w:t>
            </w:r>
            <w:r>
              <w:rPr>
                <w:rFonts w:hint="eastAsia" w:ascii="Times New Roman" w:hAnsi="Times New Roman" w:eastAsia="宋体" w:cs="Times New Roman"/>
                <w:color w:val="auto"/>
                <w:sz w:val="24"/>
                <w:lang w:val="en-US" w:eastAsia="zh-CN"/>
              </w:rPr>
              <w:t>铺设DN600球墨管</w:t>
            </w:r>
            <w:r>
              <w:rPr>
                <w:rFonts w:hint="eastAsia" w:cs="Times New Roman"/>
                <w:color w:val="auto"/>
                <w:sz w:val="24"/>
                <w:lang w:val="en-US" w:eastAsia="zh-CN"/>
              </w:rPr>
              <w:t>24</w:t>
            </w:r>
            <w:r>
              <w:rPr>
                <w:rFonts w:hint="eastAsia" w:ascii="Times New Roman" w:hAnsi="Times New Roman" w:eastAsia="宋体" w:cs="Times New Roman"/>
                <w:color w:val="auto"/>
                <w:sz w:val="24"/>
                <w:lang w:val="en-US" w:eastAsia="zh-CN"/>
              </w:rPr>
              <w:t>0</w:t>
            </w:r>
            <w:r>
              <w:rPr>
                <w:rFonts w:hint="eastAsia" w:cs="Times New Roman"/>
                <w:color w:val="auto"/>
                <w:sz w:val="24"/>
                <w:lang w:val="en-US" w:eastAsia="zh-CN"/>
              </w:rPr>
              <w:t>m，连接</w:t>
            </w:r>
            <w:r>
              <w:rPr>
                <w:rFonts w:hint="eastAsia" w:ascii="Times New Roman" w:hAnsi="Times New Roman" w:eastAsia="宋体" w:cs="Times New Roman"/>
                <w:color w:val="auto"/>
                <w:sz w:val="24"/>
                <w:lang w:val="en-US" w:eastAsia="zh-CN"/>
              </w:rPr>
              <w:t>新建泵房</w:t>
            </w:r>
            <w:r>
              <w:rPr>
                <w:rFonts w:hint="eastAsia" w:cs="Times New Roman"/>
                <w:color w:val="auto"/>
                <w:sz w:val="24"/>
                <w:lang w:val="en-US" w:eastAsia="zh-CN"/>
              </w:rPr>
              <w:t>至老东柳水厂原水输送管道；</w:t>
            </w:r>
            <w:r>
              <w:rPr>
                <w:rFonts w:hint="eastAsia" w:ascii="Times New Roman" w:hAnsi="Times New Roman" w:eastAsia="宋体" w:cs="Times New Roman"/>
                <w:color w:val="auto"/>
                <w:sz w:val="24"/>
                <w:lang w:val="en-US" w:eastAsia="zh-CN"/>
              </w:rPr>
              <w:t>从泵站新建1.0Mpa</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val="en-US" w:eastAsia="zh-CN"/>
              </w:rPr>
              <w:t>DN315</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val="en-US" w:eastAsia="zh-CN"/>
              </w:rPr>
              <w:t>PE输水管3600</w:t>
            </w:r>
            <w:r>
              <w:rPr>
                <w:rFonts w:hint="eastAsia" w:cs="Times New Roman"/>
                <w:color w:val="auto"/>
                <w:sz w:val="24"/>
                <w:lang w:val="en-US" w:eastAsia="zh-CN"/>
              </w:rPr>
              <w:t>m</w:t>
            </w:r>
            <w:r>
              <w:rPr>
                <w:rFonts w:hint="eastAsia" w:ascii="Times New Roman" w:hAnsi="Times New Roman" w:eastAsia="宋体" w:cs="Times New Roman"/>
                <w:color w:val="auto"/>
                <w:sz w:val="24"/>
                <w:lang w:val="en-US" w:eastAsia="zh-CN"/>
              </w:rPr>
              <w:t>至东柳</w:t>
            </w:r>
            <w:r>
              <w:rPr>
                <w:rFonts w:hint="eastAsia" w:cs="Times New Roman"/>
                <w:color w:val="auto"/>
                <w:sz w:val="24"/>
                <w:lang w:val="en-US" w:eastAsia="zh-CN"/>
              </w:rPr>
              <w:t>二</w:t>
            </w:r>
            <w:r>
              <w:rPr>
                <w:rFonts w:hint="eastAsia" w:ascii="Times New Roman" w:hAnsi="Times New Roman" w:eastAsia="宋体" w:cs="Times New Roman"/>
                <w:color w:val="auto"/>
                <w:sz w:val="24"/>
                <w:lang w:val="en-US" w:eastAsia="zh-CN"/>
              </w:rPr>
              <w:t>水厂；</w:t>
            </w:r>
            <w:r>
              <w:rPr>
                <w:rFonts w:hint="eastAsia" w:cs="Times New Roman"/>
                <w:color w:val="auto"/>
                <w:sz w:val="24"/>
                <w:lang w:val="en-US" w:eastAsia="zh-CN"/>
              </w:rPr>
              <w:t>从反冲洗水回用池</w:t>
            </w:r>
            <w:r>
              <w:rPr>
                <w:rFonts w:hint="eastAsia" w:ascii="Times New Roman" w:hAnsi="Times New Roman" w:eastAsia="宋体" w:cs="Times New Roman"/>
                <w:color w:val="auto"/>
                <w:sz w:val="24"/>
                <w:lang w:val="en-US" w:eastAsia="zh-CN"/>
              </w:rPr>
              <w:t>铺设DN500砼管300</w:t>
            </w:r>
            <w:r>
              <w:rPr>
                <w:rFonts w:hint="eastAsia" w:cs="Times New Roman"/>
                <w:color w:val="auto"/>
                <w:sz w:val="24"/>
                <w:lang w:val="en-US" w:eastAsia="zh-CN"/>
              </w:rPr>
              <w:t>m</w:t>
            </w:r>
            <w:r>
              <w:rPr>
                <w:rFonts w:hint="eastAsia" w:ascii="Times New Roman" w:hAnsi="Times New Roman" w:eastAsia="宋体" w:cs="Times New Roman"/>
                <w:color w:val="auto"/>
                <w:sz w:val="24"/>
                <w:lang w:val="en-US" w:eastAsia="zh-CN"/>
              </w:rPr>
              <w:t>至园区污水管网内；新建700</w:t>
            </w:r>
            <w:r>
              <w:rPr>
                <w:rFonts w:hint="eastAsia" w:cs="Times New Roman"/>
                <w:color w:val="auto"/>
                <w:sz w:val="24"/>
                <w:lang w:val="en-US" w:eastAsia="zh-CN"/>
              </w:rPr>
              <w:t>m</w:t>
            </w:r>
            <w:r>
              <w:rPr>
                <w:rFonts w:hint="eastAsia" w:cs="Times New Roman"/>
                <w:color w:val="auto"/>
                <w:sz w:val="24"/>
                <w:vertAlign w:val="superscript"/>
                <w:lang w:val="en-US" w:eastAsia="zh-CN"/>
              </w:rPr>
              <w:t>3</w:t>
            </w:r>
            <w:r>
              <w:rPr>
                <w:rFonts w:hint="eastAsia" w:cs="Times New Roman"/>
                <w:color w:val="auto"/>
                <w:sz w:val="24"/>
                <w:vertAlign w:val="baseline"/>
                <w:lang w:val="en-US" w:eastAsia="zh-CN"/>
              </w:rPr>
              <w:t>吸水</w:t>
            </w:r>
            <w:r>
              <w:rPr>
                <w:rFonts w:hint="eastAsia" w:ascii="Times New Roman" w:hAnsi="Times New Roman" w:eastAsia="宋体" w:cs="Times New Roman"/>
                <w:color w:val="auto"/>
                <w:sz w:val="24"/>
                <w:lang w:val="en-US" w:eastAsia="zh-CN"/>
              </w:rPr>
              <w:t>调节池1座</w:t>
            </w:r>
            <w:r>
              <w:rPr>
                <w:rFonts w:hint="eastAsia" w:cs="Times New Roman"/>
                <w:color w:val="auto"/>
                <w:sz w:val="24"/>
                <w:lang w:val="en-US" w:eastAsia="zh-CN"/>
              </w:rPr>
              <w:t>；新建值班室1间</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工艺图中其余部分</w:t>
            </w:r>
            <w:r>
              <w:rPr>
                <w:rFonts w:hint="eastAsia" w:cs="Times New Roman"/>
                <w:color w:val="auto"/>
                <w:sz w:val="24"/>
                <w:szCs w:val="24"/>
                <w:lang w:val="en-US" w:eastAsia="zh-CN"/>
              </w:rPr>
              <w:t>已</w:t>
            </w:r>
            <w:r>
              <w:rPr>
                <w:rFonts w:hint="eastAsia" w:ascii="Times New Roman" w:hAnsi="Times New Roman" w:eastAsia="宋体" w:cs="Times New Roman"/>
                <w:color w:val="auto"/>
                <w:sz w:val="24"/>
                <w:lang w:val="en-US" w:eastAsia="zh-CN"/>
              </w:rPr>
              <w:t>由大竹县宜美生态环保工程有限公司</w:t>
            </w:r>
            <w:r>
              <w:rPr>
                <w:rFonts w:hint="eastAsia" w:cs="Times New Roman"/>
                <w:color w:val="auto"/>
                <w:sz w:val="24"/>
                <w:lang w:val="en-US" w:eastAsia="zh-CN"/>
              </w:rPr>
              <w:t>建设完毕</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另行评价。</w:t>
            </w:r>
          </w:p>
          <w:p>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本项目生产过程中主要产污环节污染因子统计如下表：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center"/>
              <w:textAlignment w:val="auto"/>
              <w:rPr>
                <w:rFonts w:hint="eastAsia" w:ascii="Times New Roman" w:hAnsi="Times New Roman" w:eastAsia="宋体" w:cs="Times New Roman"/>
                <w:b/>
                <w:bCs/>
                <w:color w:val="auto"/>
                <w:sz w:val="21"/>
                <w:szCs w:val="24"/>
                <w:lang w:val="en-US" w:eastAsia="zh-CN"/>
              </w:rPr>
            </w:pPr>
            <w:r>
              <w:rPr>
                <w:rFonts w:hint="eastAsia" w:ascii="Times New Roman" w:hAnsi="Times New Roman" w:eastAsia="宋体" w:cs="Times New Roman"/>
                <w:b/>
                <w:bCs/>
                <w:color w:val="auto"/>
                <w:sz w:val="21"/>
                <w:szCs w:val="24"/>
                <w:lang w:val="en-US" w:eastAsia="zh-CN"/>
              </w:rPr>
              <w:t>表2-8  营运期产污环节及污染物类型</w:t>
            </w:r>
          </w:p>
          <w:tbl>
            <w:tblPr>
              <w:tblStyle w:val="28"/>
              <w:tblW w:w="819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8"/>
              <w:gridCol w:w="1391"/>
              <w:gridCol w:w="2000"/>
              <w:gridCol w:w="38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0" w:space="0"/>
                    <w:bottom w:val="single" w:color="auto" w:sz="4" w:space="0"/>
                    <w:right w:val="single" w:color="auto" w:sz="4" w:space="0"/>
                  </w:tcBorders>
                  <w:shd w:val="clear" w:color="auto" w:fill="auto"/>
                  <w:vAlign w:val="center"/>
                </w:tcPr>
                <w:p>
                  <w:pPr>
                    <w:jc w:val="center"/>
                    <w:rPr>
                      <w:b/>
                      <w:bCs/>
                      <w:color w:val="auto"/>
                      <w:szCs w:val="21"/>
                    </w:rPr>
                  </w:pPr>
                  <w:r>
                    <w:rPr>
                      <w:b/>
                      <w:bCs/>
                      <w:color w:val="auto"/>
                      <w:szCs w:val="21"/>
                    </w:rPr>
                    <w:t>污染类型</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szCs w:val="21"/>
                    </w:rPr>
                  </w:pPr>
                  <w:r>
                    <w:rPr>
                      <w:b/>
                      <w:bCs/>
                      <w:color w:val="auto"/>
                      <w:szCs w:val="21"/>
                    </w:rPr>
                    <w:t>产污环节</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szCs w:val="21"/>
                    </w:rPr>
                  </w:pPr>
                  <w:r>
                    <w:rPr>
                      <w:rFonts w:hint="eastAsia"/>
                      <w:b/>
                      <w:bCs/>
                      <w:color w:val="auto"/>
                      <w:szCs w:val="21"/>
                      <w:lang w:val="en-US" w:eastAsia="zh-CN"/>
                    </w:rPr>
                    <w:t>主要</w:t>
                  </w:r>
                  <w:r>
                    <w:rPr>
                      <w:b/>
                      <w:bCs/>
                      <w:color w:val="auto"/>
                      <w:szCs w:val="21"/>
                    </w:rPr>
                    <w:t>污染因子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废气</w:t>
                  </w:r>
                </w:p>
              </w:tc>
              <w:tc>
                <w:tcPr>
                  <w:tcW w:w="58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本项目营运期无废气排放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废水</w:t>
                  </w:r>
                </w:p>
              </w:tc>
              <w:tc>
                <w:tcPr>
                  <w:tcW w:w="58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营运期无生产废水排放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固废</w:t>
                  </w:r>
                </w:p>
              </w:tc>
              <w:tc>
                <w:tcPr>
                  <w:tcW w:w="13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危险废物</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设备</w:t>
                  </w:r>
                  <w:r>
                    <w:rPr>
                      <w:rFonts w:hint="eastAsia"/>
                      <w:color w:val="auto"/>
                      <w:szCs w:val="21"/>
                      <w:lang w:val="en-US" w:eastAsia="zh-CN"/>
                    </w:rPr>
                    <w:t>检修、</w:t>
                  </w:r>
                  <w:r>
                    <w:rPr>
                      <w:color w:val="auto"/>
                      <w:szCs w:val="21"/>
                    </w:rPr>
                    <w:t>维修</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废机油及含油棉纱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3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噪声</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生产过程中设备在运转时产生的噪声</w:t>
                  </w:r>
                </w:p>
              </w:tc>
              <w:tc>
                <w:tcPr>
                  <w:tcW w:w="38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Cs w:val="21"/>
                    </w:rPr>
                  </w:pPr>
                  <w:r>
                    <w:rPr>
                      <w:color w:val="auto"/>
                      <w:szCs w:val="21"/>
                    </w:rPr>
                    <w:t>设备噪声：LAeq</w:t>
                  </w:r>
                </w:p>
              </w:tc>
            </w:tr>
          </w:tbl>
          <w:p>
            <w:pPr>
              <w:pStyle w:val="11"/>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654" w:type="dxa"/>
            <w:vAlign w:val="center"/>
          </w:tcPr>
          <w:p>
            <w:pPr>
              <w:pStyle w:val="24"/>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406" w:type="dxa"/>
            <w:vAlign w:val="center"/>
          </w:tcPr>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r>
              <w:rPr>
                <w:color w:val="auto"/>
                <w:sz w:val="24"/>
              </w:rPr>
              <w:t>本项目为新建项目，</w:t>
            </w:r>
            <w:r>
              <w:rPr>
                <w:rFonts w:hint="eastAsia"/>
                <w:color w:val="auto"/>
                <w:sz w:val="24"/>
                <w:lang w:val="en-US" w:eastAsia="zh-CN"/>
              </w:rPr>
              <w:t>项目原用地范围为</w:t>
            </w:r>
            <w:r>
              <w:rPr>
                <w:color w:val="auto"/>
                <w:sz w:val="24"/>
              </w:rPr>
              <w:t>空地，无原有污染问题存在。</w:t>
            </w: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color w:val="auto"/>
                <w:sz w:val="24"/>
              </w:rPr>
            </w:pPr>
          </w:p>
          <w:p>
            <w:pPr>
              <w:pStyle w:val="11"/>
              <w:spacing w:before="0" w:after="0" w:line="360" w:lineRule="auto"/>
              <w:ind w:right="0"/>
              <w:jc w:val="center"/>
              <w:rPr>
                <w:bCs/>
                <w:color w:val="auto"/>
              </w:rPr>
            </w:pPr>
          </w:p>
        </w:tc>
      </w:tr>
    </w:tbl>
    <w:p>
      <w:pPr>
        <w:pStyle w:val="24"/>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bookmarkStart w:id="27" w:name="_Toc68596106"/>
      <w:r>
        <w:rPr>
          <w:rFonts w:ascii="Times New Roman" w:hAnsi="Times New Roman" w:eastAsia="黑体"/>
          <w:snapToGrid w:val="0"/>
          <w:color w:val="auto"/>
          <w:sz w:val="30"/>
          <w:szCs w:val="30"/>
        </w:rPr>
        <w:t>三、区域环境质量现状、环境保护目标及评价标准</w:t>
      </w:r>
      <w:bookmarkEnd w:id="27"/>
    </w:p>
    <w:tbl>
      <w:tblPr>
        <w:tblStyle w:val="28"/>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jc w:val="center"/>
        </w:trPr>
        <w:tc>
          <w:tcPr>
            <w:tcW w:w="948"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11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color w:val="auto"/>
                <w:kern w:val="0"/>
                <w:sz w:val="24"/>
              </w:rPr>
            </w:pPr>
            <w:r>
              <w:rPr>
                <w:b/>
                <w:color w:val="auto"/>
                <w:kern w:val="0"/>
                <w:sz w:val="24"/>
              </w:rPr>
              <w:t>一、大气环境</w:t>
            </w:r>
          </w:p>
          <w:p>
            <w:pPr>
              <w:spacing w:line="360" w:lineRule="auto"/>
              <w:ind w:firstLine="482" w:firstLineChars="200"/>
              <w:rPr>
                <w:rFonts w:hint="default" w:ascii="Times New Roman" w:hAnsi="Times New Roman" w:cs="Times New Roman"/>
                <w:b/>
                <w:bCs/>
                <w:color w:val="auto"/>
                <w:sz w:val="24"/>
                <w:szCs w:val="24"/>
                <w:lang w:val="en-US" w:eastAsia="zh-CN" w:bidi="ar"/>
              </w:rPr>
            </w:pPr>
            <w:r>
              <w:rPr>
                <w:rFonts w:hint="eastAsia" w:ascii="Times New Roman" w:hAnsi="Times New Roman" w:cs="Times New Roman"/>
                <w:b/>
                <w:bCs/>
                <w:color w:val="auto"/>
                <w:sz w:val="24"/>
                <w:szCs w:val="24"/>
                <w:lang w:val="en-US" w:eastAsia="zh-CN" w:bidi="ar"/>
              </w:rPr>
              <w:t>1、达标区判定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本次环境空气质量数据采用达州市生态环境局</w:t>
            </w:r>
            <w:r>
              <w:rPr>
                <w:rFonts w:hint="default" w:ascii="Times New Roman" w:hAnsi="Times New Roman" w:cs="Times New Roman"/>
                <w:color w:val="auto"/>
                <w:spacing w:val="-1"/>
                <w:sz w:val="24"/>
                <w:szCs w:val="24"/>
              </w:rPr>
              <w:t>官方网站</w:t>
            </w:r>
            <w:r>
              <w:rPr>
                <w:rFonts w:hint="default" w:ascii="Times New Roman" w:hAnsi="Times New Roman" w:cs="Times New Roman"/>
                <w:color w:val="auto"/>
                <w:spacing w:val="-50"/>
                <w:sz w:val="24"/>
                <w:szCs w:val="24"/>
              </w:rPr>
              <w:t xml:space="preserve"> </w:t>
            </w:r>
            <w:r>
              <w:rPr>
                <w:rFonts w:hint="default" w:ascii="Times New Roman" w:hAnsi="Times New Roman" w:cs="Times New Roman"/>
                <w:color w:val="auto"/>
                <w:spacing w:val="-1"/>
                <w:sz w:val="24"/>
                <w:szCs w:val="24"/>
              </w:rPr>
              <w:t>202</w:t>
            </w:r>
            <w:r>
              <w:rPr>
                <w:rFonts w:hint="default" w:ascii="Times New Roman" w:hAnsi="Times New Roman" w:cs="Times New Roman"/>
                <w:color w:val="auto"/>
                <w:spacing w:val="-2"/>
                <w:sz w:val="24"/>
                <w:szCs w:val="24"/>
              </w:rPr>
              <w:t>4年</w:t>
            </w:r>
            <w:r>
              <w:rPr>
                <w:rFonts w:hint="default" w:ascii="Times New Roman" w:hAnsi="Times New Roman" w:cs="Times New Roman"/>
                <w:color w:val="auto"/>
                <w:spacing w:val="-30"/>
                <w:sz w:val="24"/>
                <w:szCs w:val="24"/>
              </w:rPr>
              <w:t>1月18</w:t>
            </w:r>
            <w:r>
              <w:rPr>
                <w:rFonts w:hint="default" w:ascii="Times New Roman" w:hAnsi="Times New Roman" w:cs="Times New Roman"/>
                <w:color w:val="auto"/>
                <w:spacing w:val="-2"/>
                <w:sz w:val="24"/>
                <w:szCs w:val="24"/>
              </w:rPr>
              <w:t>日发布的</w:t>
            </w:r>
            <w:r>
              <w:rPr>
                <w:rFonts w:hint="default" w:ascii="Times New Roman" w:hAnsi="Times New Roman" w:cs="Times New Roman"/>
                <w:color w:val="auto"/>
                <w:spacing w:val="4"/>
                <w:sz w:val="24"/>
                <w:szCs w:val="24"/>
              </w:rPr>
              <w:t>《达州市</w:t>
            </w:r>
            <w:r>
              <w:rPr>
                <w:rFonts w:hint="default" w:ascii="Times New Roman" w:hAnsi="Times New Roman" w:cs="Times New Roman"/>
                <w:color w:val="auto"/>
                <w:spacing w:val="-49"/>
                <w:sz w:val="24"/>
                <w:szCs w:val="24"/>
              </w:rPr>
              <w:t xml:space="preserve"> </w:t>
            </w:r>
            <w:r>
              <w:rPr>
                <w:rFonts w:hint="default" w:ascii="Times New Roman" w:hAnsi="Times New Roman" w:cs="Times New Roman"/>
                <w:color w:val="auto"/>
                <w:spacing w:val="4"/>
                <w:sz w:val="24"/>
                <w:szCs w:val="24"/>
              </w:rPr>
              <w:t>2023年环境空气质量》：达州市市辖区空气质量状况——2023年</w:t>
            </w:r>
            <w:r>
              <w:rPr>
                <w:rFonts w:hint="default" w:ascii="Times New Roman" w:hAnsi="Times New Roman" w:cs="Times New Roman"/>
                <w:color w:val="auto"/>
                <w:spacing w:val="-3"/>
                <w:sz w:val="24"/>
                <w:szCs w:val="24"/>
              </w:rPr>
              <w:t>SO</w:t>
            </w:r>
            <w:r>
              <w:rPr>
                <w:rFonts w:hint="default" w:ascii="Times New Roman" w:hAnsi="Times New Roman" w:cs="Times New Roman"/>
                <w:color w:val="auto"/>
                <w:spacing w:val="-3"/>
                <w:position w:val="-1"/>
                <w:sz w:val="24"/>
                <w:szCs w:val="24"/>
                <w:vertAlign w:val="subscript"/>
              </w:rPr>
              <w:t>2</w:t>
            </w:r>
            <w:r>
              <w:rPr>
                <w:rFonts w:hint="default" w:ascii="Times New Roman" w:hAnsi="Times New Roman" w:cs="Times New Roman"/>
                <w:color w:val="auto"/>
                <w:spacing w:val="-3"/>
                <w:sz w:val="24"/>
                <w:szCs w:val="24"/>
              </w:rPr>
              <w:t>浓度达川区最高为</w:t>
            </w:r>
            <w:r>
              <w:rPr>
                <w:rFonts w:hint="default" w:ascii="Times New Roman" w:hAnsi="Times New Roman" w:cs="Times New Roman"/>
                <w:color w:val="auto"/>
                <w:spacing w:val="-46"/>
                <w:sz w:val="24"/>
                <w:szCs w:val="24"/>
              </w:rPr>
              <w:t xml:space="preserve"> </w:t>
            </w:r>
            <w:r>
              <w:rPr>
                <w:rFonts w:hint="default" w:ascii="Times New Roman" w:hAnsi="Times New Roman" w:cs="Times New Roman"/>
                <w:color w:val="auto"/>
                <w:sz w:val="24"/>
                <w:szCs w:val="24"/>
              </w:rPr>
              <w:t>10μg/m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，开江县最低为4μg/m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浓度达川区最高为39μg/m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，宣汉县最低为20μg/m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；CO浓度通川区最高为1.4mg/m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，开江县最低为0.9mg/m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w w:val="91"/>
                <w:sz w:val="24"/>
                <w:szCs w:val="24"/>
              </w:rPr>
              <w:t>；</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浓度通川区最高为124μg/m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，宣汉县最低为90μg/m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浓度大竹县最高为36μg/m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，万源最低为22μg/m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浓度大竹县最高为57μg/m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，万源最低为38μg/m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2023年大竹县的环境空气质量评价表见下表。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0"/>
                <w:lang w:val="en-US" w:eastAsia="zh-CN" w:bidi="ar"/>
              </w:rPr>
            </w:pPr>
            <w:r>
              <w:rPr>
                <w:rFonts w:hint="eastAsia" w:ascii="Times New Roman" w:hAnsi="Times New Roman" w:eastAsia="宋体" w:cs="Times New Roman"/>
                <w:b/>
                <w:color w:val="auto"/>
                <w:szCs w:val="20"/>
                <w:lang w:bidi="ar"/>
              </w:rPr>
              <w:t>表3-1   2023年大竹县环境空气污染物现状评价表</w:t>
            </w:r>
            <w:r>
              <w:rPr>
                <w:rFonts w:hint="eastAsia" w:cs="Times New Roman"/>
                <w:b/>
                <w:color w:val="auto"/>
                <w:szCs w:val="20"/>
                <w:lang w:val="en-US" w:eastAsia="zh-CN" w:bidi="ar"/>
              </w:rPr>
              <w:t xml:space="preserve"> 单位：</w:t>
            </w:r>
            <w:r>
              <w:rPr>
                <w:rFonts w:hint="default" w:ascii="Times New Roman" w:hAnsi="Times New Roman" w:cs="Times New Roman"/>
                <w:color w:val="auto"/>
                <w:spacing w:val="-3"/>
              </w:rPr>
              <w:t>μg/m</w:t>
            </w:r>
            <w:r>
              <w:rPr>
                <w:rFonts w:hint="default" w:ascii="Times New Roman" w:hAnsi="Times New Roman" w:cs="Times New Roman"/>
                <w:color w:val="auto"/>
                <w:spacing w:val="-3"/>
                <w:vertAlign w:val="superscript"/>
              </w:rPr>
              <w:t>3</w:t>
            </w:r>
          </w:p>
          <w:tbl>
            <w:tblPr>
              <w:tblStyle w:val="28"/>
              <w:tblW w:w="7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2"/>
              <w:gridCol w:w="3275"/>
              <w:gridCol w:w="960"/>
              <w:gridCol w:w="815"/>
              <w:gridCol w:w="900"/>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2" w:hRule="atLeast"/>
              </w:trPr>
              <w:tc>
                <w:tcPr>
                  <w:tcW w:w="892"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污染物</w:t>
                  </w:r>
                </w:p>
              </w:tc>
              <w:tc>
                <w:tcPr>
                  <w:tcW w:w="3275"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年评价指标</w:t>
                  </w:r>
                </w:p>
              </w:tc>
              <w:tc>
                <w:tcPr>
                  <w:tcW w:w="960"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现状浓度</w:t>
                  </w:r>
                </w:p>
              </w:tc>
              <w:tc>
                <w:tcPr>
                  <w:tcW w:w="815"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标准值</w:t>
                  </w:r>
                </w:p>
              </w:tc>
              <w:tc>
                <w:tcPr>
                  <w:tcW w:w="900" w:type="dxa"/>
                  <w:noWrap w:val="0"/>
                  <w:vAlign w:val="center"/>
                </w:tcPr>
                <w:p>
                  <w:pPr>
                    <w:pStyle w:val="171"/>
                    <w:spacing w:line="260" w:lineRule="exact"/>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lang w:eastAsia="zh-CN"/>
                    </w:rPr>
                    <w:t>占标率</w:t>
                  </w:r>
                  <w:r>
                    <w:rPr>
                      <w:rFonts w:hint="default" w:ascii="Times New Roman" w:hAnsi="Times New Roman" w:cs="Times New Roman"/>
                      <w:b/>
                      <w:bCs/>
                      <w:color w:val="auto"/>
                      <w:sz w:val="21"/>
                      <w:szCs w:val="21"/>
                    </w:rPr>
                    <w:t xml:space="preserve"> </w:t>
                  </w:r>
                </w:p>
              </w:tc>
              <w:tc>
                <w:tcPr>
                  <w:tcW w:w="1039" w:type="dxa"/>
                  <w:noWrap w:val="0"/>
                  <w:vAlign w:val="center"/>
                </w:tcPr>
                <w:p>
                  <w:pPr>
                    <w:pStyle w:val="171"/>
                    <w:spacing w:line="260" w:lineRule="exact"/>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SO</w:t>
                  </w:r>
                  <w:r>
                    <w:rPr>
                      <w:rFonts w:hint="default" w:ascii="Times New Roman" w:hAnsi="Times New Roman" w:cs="Times New Roman"/>
                      <w:color w:val="auto"/>
                      <w:spacing w:val="1"/>
                      <w:position w:val="-1"/>
                      <w:vertAlign w:val="subscript"/>
                    </w:rPr>
                    <w:t>2</w:t>
                  </w:r>
                </w:p>
              </w:tc>
              <w:tc>
                <w:tcPr>
                  <w:tcW w:w="3275" w:type="dxa"/>
                  <w:vMerge w:val="restart"/>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8"/>
                      <w:sz w:val="21"/>
                      <w:szCs w:val="21"/>
                    </w:rPr>
                    <w:t>年平均质量浓度</w:t>
                  </w: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7</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60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11.</w:t>
                  </w:r>
                  <w:r>
                    <w:rPr>
                      <w:rFonts w:hint="eastAsia" w:cs="Times New Roman"/>
                      <w:color w:val="auto"/>
                      <w:kern w:val="0"/>
                      <w:lang w:val="en-US" w:eastAsia="zh-CN"/>
                    </w:rPr>
                    <w:t>7</w:t>
                  </w:r>
                  <w:r>
                    <w:rPr>
                      <w:rFonts w:hint="default" w:ascii="Times New Roman" w:hAnsi="Times New Roman" w:cs="Times New Roman"/>
                      <w:color w:val="auto"/>
                      <w:kern w:val="0"/>
                    </w:rPr>
                    <w:t>%</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6"/>
                    </w:rPr>
                    <w:t>NO</w:t>
                  </w:r>
                  <w:r>
                    <w:rPr>
                      <w:rFonts w:hint="default" w:ascii="Times New Roman" w:hAnsi="Times New Roman" w:cs="Times New Roman"/>
                      <w:color w:val="auto"/>
                      <w:spacing w:val="6"/>
                      <w:position w:val="-1"/>
                      <w:vertAlign w:val="subscript"/>
                    </w:rPr>
                    <w:t>2</w:t>
                  </w:r>
                </w:p>
              </w:tc>
              <w:tc>
                <w:tcPr>
                  <w:tcW w:w="3275" w:type="dxa"/>
                  <w:vMerge w:val="continue"/>
                  <w:noWrap w:val="0"/>
                  <w:vAlign w:val="center"/>
                </w:tcPr>
                <w:p>
                  <w:pPr>
                    <w:spacing w:line="260" w:lineRule="exact"/>
                    <w:jc w:val="center"/>
                    <w:rPr>
                      <w:rFonts w:hint="default" w:ascii="Times New Roman" w:hAnsi="Times New Roman" w:cs="Times New Roman"/>
                      <w:color w:val="auto"/>
                      <w:kern w:val="0"/>
                    </w:rPr>
                  </w:pP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25</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3"/>
                    </w:rPr>
                    <w:t>40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62.5%</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PM</w:t>
                  </w:r>
                  <w:r>
                    <w:rPr>
                      <w:rFonts w:hint="default" w:ascii="Times New Roman" w:hAnsi="Times New Roman" w:cs="Times New Roman"/>
                      <w:color w:val="auto"/>
                      <w:spacing w:val="8"/>
                      <w:position w:val="-1"/>
                      <w:vertAlign w:val="subscript"/>
                    </w:rPr>
                    <w:t>10</w:t>
                  </w:r>
                </w:p>
              </w:tc>
              <w:tc>
                <w:tcPr>
                  <w:tcW w:w="3275" w:type="dxa"/>
                  <w:vMerge w:val="continue"/>
                  <w:noWrap w:val="0"/>
                  <w:vAlign w:val="center"/>
                </w:tcPr>
                <w:p>
                  <w:pPr>
                    <w:spacing w:line="260" w:lineRule="exact"/>
                    <w:jc w:val="center"/>
                    <w:rPr>
                      <w:rFonts w:hint="default" w:ascii="Times New Roman" w:hAnsi="Times New Roman" w:cs="Times New Roman"/>
                      <w:color w:val="auto"/>
                      <w:kern w:val="0"/>
                    </w:rPr>
                  </w:pP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57</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1"/>
                    </w:rPr>
                    <w:t>70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81.4%</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PM</w:t>
                  </w:r>
                  <w:r>
                    <w:rPr>
                      <w:rFonts w:hint="default" w:ascii="Times New Roman" w:hAnsi="Times New Roman" w:cs="Times New Roman"/>
                      <w:color w:val="auto"/>
                      <w:spacing w:val="6"/>
                      <w:position w:val="-1"/>
                      <w:vertAlign w:val="subscript"/>
                    </w:rPr>
                    <w:t>2.5</w:t>
                  </w:r>
                </w:p>
              </w:tc>
              <w:tc>
                <w:tcPr>
                  <w:tcW w:w="3275" w:type="dxa"/>
                  <w:vMerge w:val="continue"/>
                  <w:noWrap w:val="0"/>
                  <w:vAlign w:val="center"/>
                </w:tcPr>
                <w:p>
                  <w:pPr>
                    <w:spacing w:line="260" w:lineRule="exact"/>
                    <w:jc w:val="center"/>
                    <w:rPr>
                      <w:rFonts w:hint="default" w:ascii="Times New Roman" w:hAnsi="Times New Roman" w:cs="Times New Roman"/>
                      <w:color w:val="auto"/>
                      <w:kern w:val="0"/>
                    </w:rPr>
                  </w:pP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36</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rPr>
                    <w:t>35</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102.</w:t>
                  </w:r>
                  <w:r>
                    <w:rPr>
                      <w:rFonts w:hint="eastAsia" w:cs="Times New Roman"/>
                      <w:color w:val="auto"/>
                      <w:kern w:val="0"/>
                      <w:lang w:val="en-US" w:eastAsia="zh-CN"/>
                    </w:rPr>
                    <w:t>9</w:t>
                  </w:r>
                  <w:r>
                    <w:rPr>
                      <w:rFonts w:hint="default" w:ascii="Times New Roman" w:hAnsi="Times New Roman" w:cs="Times New Roman"/>
                      <w:color w:val="auto"/>
                      <w:kern w:val="0"/>
                    </w:rPr>
                    <w:t>%</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lang w:eastAsia="zh-CN"/>
                    </w:rPr>
                    <w:t>超</w:t>
                  </w:r>
                  <w:r>
                    <w:rPr>
                      <w:rFonts w:hint="default" w:ascii="Times New Roman" w:hAnsi="Times New Roman" w:cs="Times New Roman"/>
                      <w:color w:val="auto"/>
                      <w:spacing w:val="5"/>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2"/>
                    </w:rPr>
                    <w:t>CO</w:t>
                  </w:r>
                </w:p>
              </w:tc>
              <w:tc>
                <w:tcPr>
                  <w:tcW w:w="3275" w:type="dxa"/>
                  <w:noWrap w:val="0"/>
                  <w:vAlign w:val="center"/>
                </w:tcPr>
                <w:p>
                  <w:pPr>
                    <w:pStyle w:val="171"/>
                    <w:spacing w:line="260" w:lineRule="exact"/>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pacing w:val="1"/>
                      <w:sz w:val="21"/>
                      <w:szCs w:val="21"/>
                      <w:lang w:eastAsia="zh-CN"/>
                    </w:rPr>
                    <w:t>日均浓度的第</w:t>
                  </w:r>
                  <w:r>
                    <w:rPr>
                      <w:rFonts w:hint="default" w:ascii="Times New Roman" w:hAnsi="Times New Roman" w:cs="Times New Roman"/>
                      <w:color w:val="auto"/>
                      <w:spacing w:val="-33"/>
                      <w:sz w:val="21"/>
                      <w:szCs w:val="21"/>
                      <w:lang w:eastAsia="zh-CN"/>
                    </w:rPr>
                    <w:t xml:space="preserve"> </w:t>
                  </w:r>
                  <w:r>
                    <w:rPr>
                      <w:rFonts w:hint="default" w:ascii="Times New Roman" w:hAnsi="Times New Roman" w:cs="Times New Roman"/>
                      <w:color w:val="auto"/>
                      <w:spacing w:val="1"/>
                      <w:sz w:val="21"/>
                      <w:szCs w:val="21"/>
                      <w:lang w:eastAsia="zh-CN"/>
                    </w:rPr>
                    <w:t>95</w:t>
                  </w:r>
                  <w:r>
                    <w:rPr>
                      <w:rFonts w:hint="default" w:ascii="Times New Roman" w:hAnsi="Times New Roman" w:cs="Times New Roman"/>
                      <w:color w:val="auto"/>
                      <w:spacing w:val="5"/>
                      <w:sz w:val="21"/>
                      <w:szCs w:val="21"/>
                      <w:lang w:eastAsia="zh-CN"/>
                    </w:rPr>
                    <w:t>百分位数</w:t>
                  </w:r>
                </w:p>
              </w:tc>
              <w:tc>
                <w:tcPr>
                  <w:tcW w:w="960" w:type="dxa"/>
                  <w:noWrap w:val="0"/>
                  <w:vAlign w:val="center"/>
                </w:tcPr>
                <w:p>
                  <w:pPr>
                    <w:pStyle w:val="171"/>
                    <w:spacing w:line="260" w:lineRule="exact"/>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spacing w:val="3"/>
                      <w:sz w:val="21"/>
                      <w:szCs w:val="21"/>
                      <w:lang w:eastAsia="zh-CN"/>
                    </w:rPr>
                    <w:t>1</w:t>
                  </w:r>
                  <w:r>
                    <w:rPr>
                      <w:rFonts w:hint="eastAsia" w:ascii="Times New Roman" w:hAnsi="Times New Roman" w:cs="Times New Roman"/>
                      <w:color w:val="auto"/>
                      <w:spacing w:val="3"/>
                      <w:sz w:val="21"/>
                      <w:szCs w:val="21"/>
                      <w:lang w:val="en-US" w:eastAsia="zh-CN"/>
                    </w:rPr>
                    <w:t>300</w:t>
                  </w:r>
                </w:p>
              </w:tc>
              <w:tc>
                <w:tcPr>
                  <w:tcW w:w="815" w:type="dxa"/>
                  <w:noWrap w:val="0"/>
                  <w:vAlign w:val="center"/>
                </w:tcPr>
                <w:p>
                  <w:pPr>
                    <w:pStyle w:val="171"/>
                    <w:spacing w:line="26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pacing w:val="6"/>
                      <w:sz w:val="21"/>
                      <w:szCs w:val="21"/>
                    </w:rPr>
                    <w:t>4</w:t>
                  </w:r>
                  <w:r>
                    <w:rPr>
                      <w:rFonts w:hint="eastAsia" w:ascii="Times New Roman" w:hAnsi="Times New Roman" w:cs="Times New Roman"/>
                      <w:color w:val="auto"/>
                      <w:sz w:val="21"/>
                      <w:szCs w:val="21"/>
                      <w:lang w:val="en-US" w:eastAsia="zh-CN"/>
                    </w:rPr>
                    <w:t>000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32.5%</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5"/>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892"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1"/>
                    </w:rPr>
                    <w:t>O</w:t>
                  </w:r>
                  <w:r>
                    <w:rPr>
                      <w:rFonts w:hint="default" w:ascii="Times New Roman" w:hAnsi="Times New Roman" w:cs="Times New Roman"/>
                      <w:color w:val="auto"/>
                      <w:spacing w:val="1"/>
                      <w:position w:val="-1"/>
                      <w:vertAlign w:val="subscript"/>
                    </w:rPr>
                    <w:t>3</w:t>
                  </w:r>
                </w:p>
              </w:tc>
              <w:tc>
                <w:tcPr>
                  <w:tcW w:w="3275" w:type="dxa"/>
                  <w:noWrap w:val="0"/>
                  <w:vAlign w:val="center"/>
                </w:tcPr>
                <w:p>
                  <w:pPr>
                    <w:pStyle w:val="171"/>
                    <w:spacing w:line="260" w:lineRule="exact"/>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pacing w:val="1"/>
                      <w:sz w:val="21"/>
                      <w:szCs w:val="21"/>
                      <w:lang w:eastAsia="zh-CN"/>
                    </w:rPr>
                    <w:t>日最大</w:t>
                  </w:r>
                  <w:r>
                    <w:rPr>
                      <w:rFonts w:hint="default" w:ascii="Times New Roman" w:hAnsi="Times New Roman" w:cs="Times New Roman"/>
                      <w:color w:val="auto"/>
                      <w:spacing w:val="-30"/>
                      <w:sz w:val="21"/>
                      <w:szCs w:val="21"/>
                      <w:lang w:eastAsia="zh-CN"/>
                    </w:rPr>
                    <w:t xml:space="preserve"> </w:t>
                  </w:r>
                  <w:r>
                    <w:rPr>
                      <w:rFonts w:hint="default" w:ascii="Times New Roman" w:hAnsi="Times New Roman" w:cs="Times New Roman"/>
                      <w:color w:val="auto"/>
                      <w:spacing w:val="1"/>
                      <w:sz w:val="21"/>
                      <w:szCs w:val="21"/>
                      <w:lang w:eastAsia="zh-CN"/>
                    </w:rPr>
                    <w:t>8h评价浓</w:t>
                  </w:r>
                  <w:r>
                    <w:rPr>
                      <w:rFonts w:hint="default" w:ascii="Times New Roman" w:hAnsi="Times New Roman" w:cs="Times New Roman"/>
                      <w:color w:val="auto"/>
                      <w:spacing w:val="4"/>
                      <w:sz w:val="21"/>
                      <w:szCs w:val="21"/>
                      <w:lang w:eastAsia="zh-CN"/>
                    </w:rPr>
                    <w:t>度的第</w:t>
                  </w:r>
                  <w:r>
                    <w:rPr>
                      <w:rFonts w:hint="default" w:ascii="Times New Roman" w:hAnsi="Times New Roman" w:cs="Times New Roman"/>
                      <w:color w:val="auto"/>
                      <w:spacing w:val="-36"/>
                      <w:sz w:val="21"/>
                      <w:szCs w:val="21"/>
                      <w:lang w:eastAsia="zh-CN"/>
                    </w:rPr>
                    <w:t xml:space="preserve"> </w:t>
                  </w:r>
                  <w:r>
                    <w:rPr>
                      <w:rFonts w:hint="default" w:ascii="Times New Roman" w:hAnsi="Times New Roman" w:cs="Times New Roman"/>
                      <w:color w:val="auto"/>
                      <w:spacing w:val="4"/>
                      <w:sz w:val="21"/>
                      <w:szCs w:val="21"/>
                      <w:lang w:eastAsia="zh-CN"/>
                    </w:rPr>
                    <w:t>90百分位</w:t>
                  </w:r>
                </w:p>
              </w:tc>
              <w:tc>
                <w:tcPr>
                  <w:tcW w:w="96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6"/>
                    </w:rPr>
                    <w:t>112</w:t>
                  </w:r>
                </w:p>
              </w:tc>
              <w:tc>
                <w:tcPr>
                  <w:tcW w:w="815"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spacing w:val="-3"/>
                    </w:rPr>
                    <w:t>160</w:t>
                  </w:r>
                </w:p>
              </w:tc>
              <w:tc>
                <w:tcPr>
                  <w:tcW w:w="900" w:type="dxa"/>
                  <w:noWrap w:val="0"/>
                  <w:vAlign w:val="center"/>
                </w:tcPr>
                <w:p>
                  <w:pPr>
                    <w:spacing w:line="2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70%</w:t>
                  </w:r>
                </w:p>
              </w:tc>
              <w:tc>
                <w:tcPr>
                  <w:tcW w:w="1039" w:type="dxa"/>
                  <w:noWrap w:val="0"/>
                  <w:vAlign w:val="center"/>
                </w:tcPr>
                <w:p>
                  <w:pPr>
                    <w:pStyle w:val="171"/>
                    <w:spacing w:line="260" w:lineRule="exact"/>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pacing w:val="5"/>
                      <w:sz w:val="21"/>
                      <w:szCs w:val="21"/>
                      <w:lang w:eastAsia="zh-CN"/>
                    </w:rPr>
                    <w:t>达标</w:t>
                  </w:r>
                </w:p>
              </w:tc>
            </w:tr>
          </w:tbl>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根据《达州市2023年环境空气质量状况》，项目所在大竹县为环境空气质量不达标区。</w:t>
            </w:r>
          </w:p>
          <w:p>
            <w:pPr>
              <w:spacing w:line="360" w:lineRule="auto"/>
              <w:ind w:firstLine="482" w:firstLineChars="200"/>
              <w:rPr>
                <w:rFonts w:hint="default" w:ascii="Times New Roman" w:hAnsi="Times New Roman" w:cs="Times New Roman"/>
                <w:color w:val="auto"/>
                <w:sz w:val="24"/>
                <w:szCs w:val="24"/>
                <w:lang w:val="zh-CN" w:bidi="ar"/>
              </w:rPr>
            </w:pPr>
            <w:r>
              <w:rPr>
                <w:rFonts w:hint="eastAsia" w:cs="Times New Roman"/>
                <w:b/>
                <w:bCs/>
                <w:color w:val="auto"/>
                <w:sz w:val="24"/>
                <w:szCs w:val="24"/>
                <w:lang w:val="en-US" w:eastAsia="zh-CN" w:bidi="ar"/>
              </w:rPr>
              <w:t>2、</w:t>
            </w:r>
            <w:r>
              <w:rPr>
                <w:rFonts w:hint="default" w:ascii="Times New Roman" w:hAnsi="Times New Roman" w:cs="Times New Roman"/>
                <w:b/>
                <w:bCs/>
                <w:color w:val="auto"/>
                <w:sz w:val="24"/>
                <w:szCs w:val="24"/>
                <w:lang w:val="zh-CN" w:bidi="ar"/>
              </w:rPr>
              <w:t>大气环境质量限期达标规划</w:t>
            </w:r>
          </w:p>
          <w:p>
            <w:pPr>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目前《达州市大气环境质量限期达标规划（2018-2030年）》已发布实施，达州市空气质量达标规划具体指标见下表。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0"/>
                <w:lang w:val="en-US" w:eastAsia="zh-CN" w:bidi="ar"/>
              </w:rPr>
            </w:pPr>
            <w:r>
              <w:rPr>
                <w:rFonts w:hint="eastAsia" w:ascii="Times New Roman" w:hAnsi="Times New Roman" w:eastAsia="宋体" w:cs="Times New Roman"/>
                <w:b/>
                <w:color w:val="auto"/>
                <w:szCs w:val="20"/>
                <w:lang w:bidi="ar"/>
              </w:rPr>
              <w:t>表3-2   达州市空气质量达标规划具体指标</w:t>
            </w:r>
            <w:r>
              <w:rPr>
                <w:rFonts w:hint="eastAsia" w:cs="Times New Roman"/>
                <w:b/>
                <w:color w:val="auto"/>
                <w:szCs w:val="20"/>
                <w:lang w:val="en-US" w:eastAsia="zh-CN" w:bidi="ar"/>
              </w:rPr>
              <w:t xml:space="preserve"> 单位：</w:t>
            </w:r>
            <w:r>
              <w:rPr>
                <w:rFonts w:hint="default" w:ascii="Times New Roman" w:hAnsi="Times New Roman" w:cs="Times New Roman"/>
                <w:color w:val="auto"/>
                <w:spacing w:val="-3"/>
              </w:rPr>
              <w:t>μg/m</w:t>
            </w:r>
            <w:r>
              <w:rPr>
                <w:rFonts w:hint="default" w:ascii="Times New Roman" w:hAnsi="Times New Roman" w:cs="Times New Roman"/>
                <w:color w:val="auto"/>
                <w:spacing w:val="-3"/>
                <w:vertAlign w:val="superscript"/>
              </w:rPr>
              <w:t>3</w:t>
            </w:r>
          </w:p>
          <w:tbl>
            <w:tblPr>
              <w:tblStyle w:val="28"/>
              <w:tblW w:w="788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06"/>
              <w:gridCol w:w="1975"/>
              <w:gridCol w:w="1318"/>
              <w:gridCol w:w="1342"/>
              <w:gridCol w:w="1258"/>
              <w:gridCol w:w="857"/>
              <w:gridCol w:w="6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vMerge w:val="restart"/>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序号</w:t>
                  </w:r>
                </w:p>
              </w:tc>
              <w:tc>
                <w:tcPr>
                  <w:tcW w:w="1975" w:type="dxa"/>
                  <w:vMerge w:val="restart"/>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环境质量指标</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目标值</w:t>
                  </w:r>
                </w:p>
              </w:tc>
              <w:tc>
                <w:tcPr>
                  <w:tcW w:w="857" w:type="dxa"/>
                  <w:vMerge w:val="restart"/>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val="en-US"/>
                    </w:rPr>
                  </w:pPr>
                  <w:r>
                    <w:rPr>
                      <w:rFonts w:hint="eastAsia" w:ascii="Times New Roman" w:hAnsi="Times New Roman" w:cs="Times New Roman"/>
                      <w:color w:val="auto"/>
                      <w:spacing w:val="3"/>
                      <w:sz w:val="21"/>
                      <w:szCs w:val="21"/>
                      <w:lang w:val="en-US" w:eastAsia="zh-CN"/>
                    </w:rPr>
                    <w:t>标准值</w:t>
                  </w:r>
                </w:p>
              </w:tc>
              <w:tc>
                <w:tcPr>
                  <w:tcW w:w="633" w:type="dxa"/>
                  <w:vMerge w:val="restart"/>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属性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vMerge w:val="continue"/>
                  <w:tcBorders>
                    <w:top w:val="single" w:color="auto" w:sz="2" w:space="0"/>
                    <w:left w:val="single" w:color="auto" w:sz="2" w:space="0"/>
                    <w:bottom w:val="single" w:color="auto" w:sz="2" w:space="0"/>
                    <w:right w:val="single" w:color="auto" w:sz="2" w:space="0"/>
                  </w:tcBorders>
                  <w:noWrap w:val="0"/>
                  <w:vAlign w:val="center"/>
                </w:tcPr>
                <w:p>
                  <w:pPr>
                    <w:spacing w:line="280" w:lineRule="exact"/>
                    <w:rPr>
                      <w:rFonts w:hint="default" w:ascii="Times New Roman" w:hAnsi="Times New Roman" w:cs="Times New Roman"/>
                      <w:color w:val="auto"/>
                    </w:rPr>
                  </w:pPr>
                </w:p>
              </w:tc>
              <w:tc>
                <w:tcPr>
                  <w:tcW w:w="1975" w:type="dxa"/>
                  <w:vMerge w:val="continue"/>
                  <w:tcBorders>
                    <w:top w:val="single" w:color="auto" w:sz="2" w:space="0"/>
                    <w:left w:val="single" w:color="auto" w:sz="2" w:space="0"/>
                    <w:bottom w:val="single" w:color="auto" w:sz="2" w:space="0"/>
                    <w:right w:val="single" w:color="auto" w:sz="2" w:space="0"/>
                  </w:tcBorders>
                  <w:noWrap w:val="0"/>
                  <w:vAlign w:val="center"/>
                </w:tcPr>
                <w:p>
                  <w:pPr>
                    <w:spacing w:line="280" w:lineRule="exact"/>
                    <w:rPr>
                      <w:rFonts w:hint="default" w:ascii="Times New Roman" w:hAnsi="Times New Roman" w:cs="Times New Roman"/>
                      <w:color w:val="auto"/>
                    </w:rPr>
                  </w:pP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近期2020 年</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中期2025年</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远期2030年</w:t>
                  </w:r>
                </w:p>
              </w:tc>
              <w:tc>
                <w:tcPr>
                  <w:tcW w:w="857" w:type="dxa"/>
                  <w:vMerge w:val="continue"/>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p>
              </w:tc>
              <w:tc>
                <w:tcPr>
                  <w:tcW w:w="633" w:type="dxa"/>
                  <w:vMerge w:val="continue"/>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1</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SO</w:t>
                  </w:r>
                  <w:r>
                    <w:rPr>
                      <w:rFonts w:hint="default" w:ascii="Times New Roman" w:hAnsi="Times New Roman" w:cs="Times New Roman"/>
                      <w:color w:val="auto"/>
                      <w:kern w:val="2"/>
                      <w:sz w:val="21"/>
                      <w:szCs w:val="21"/>
                      <w:vertAlign w:val="subscript"/>
                      <w:lang w:bidi="ar"/>
                    </w:rPr>
                    <w:t>2</w:t>
                  </w:r>
                  <w:r>
                    <w:rPr>
                      <w:rFonts w:hint="default" w:ascii="Times New Roman" w:hAnsi="Times New Roman" w:cs="Times New Roman"/>
                      <w:color w:val="auto"/>
                      <w:kern w:val="2"/>
                      <w:sz w:val="21"/>
                      <w:szCs w:val="21"/>
                      <w:lang w:bidi="ar"/>
                    </w:rPr>
                    <w:t>年均浓度</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≤60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≤60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2</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NO</w:t>
                  </w:r>
                  <w:r>
                    <w:rPr>
                      <w:rFonts w:hint="default" w:ascii="Times New Roman" w:hAnsi="Times New Roman" w:cs="Times New Roman"/>
                      <w:color w:val="auto"/>
                      <w:kern w:val="2"/>
                      <w:sz w:val="21"/>
                      <w:szCs w:val="21"/>
                      <w:vertAlign w:val="subscript"/>
                      <w:lang w:bidi="ar"/>
                    </w:rPr>
                    <w:t>2</w:t>
                  </w:r>
                  <w:r>
                    <w:rPr>
                      <w:rFonts w:hint="default" w:ascii="Times New Roman" w:hAnsi="Times New Roman" w:cs="Times New Roman"/>
                      <w:color w:val="auto"/>
                      <w:kern w:val="2"/>
                      <w:sz w:val="21"/>
                      <w:szCs w:val="21"/>
                      <w:lang w:bidi="ar"/>
                    </w:rPr>
                    <w:t>年均浓度</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≤40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≤40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3</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PM</w:t>
                  </w:r>
                  <w:r>
                    <w:rPr>
                      <w:rFonts w:hint="default" w:ascii="Times New Roman" w:hAnsi="Times New Roman" w:cs="Times New Roman"/>
                      <w:color w:val="auto"/>
                      <w:kern w:val="2"/>
                      <w:sz w:val="21"/>
                      <w:szCs w:val="21"/>
                      <w:vertAlign w:val="subscript"/>
                      <w:lang w:bidi="ar"/>
                    </w:rPr>
                    <w:t>10</w:t>
                  </w:r>
                  <w:r>
                    <w:rPr>
                      <w:rFonts w:hint="default" w:ascii="Times New Roman" w:hAnsi="Times New Roman" w:cs="Times New Roman"/>
                      <w:color w:val="auto"/>
                      <w:kern w:val="2"/>
                      <w:sz w:val="21"/>
                      <w:szCs w:val="21"/>
                      <w:lang w:bidi="ar"/>
                    </w:rPr>
                    <w:t>年均浓度</w:t>
                  </w: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≤70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≤70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4</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PM</w:t>
                  </w:r>
                  <w:r>
                    <w:rPr>
                      <w:rFonts w:hint="default" w:ascii="Times New Roman" w:hAnsi="Times New Roman" w:cs="Times New Roman"/>
                      <w:color w:val="auto"/>
                      <w:kern w:val="2"/>
                      <w:sz w:val="21"/>
                      <w:szCs w:val="21"/>
                      <w:vertAlign w:val="subscript"/>
                      <w:lang w:bidi="ar"/>
                    </w:rPr>
                    <w:t>2.5</w:t>
                  </w:r>
                  <w:r>
                    <w:rPr>
                      <w:rFonts w:hint="default" w:ascii="Times New Roman" w:hAnsi="Times New Roman" w:cs="Times New Roman"/>
                      <w:color w:val="auto"/>
                      <w:kern w:val="2"/>
                      <w:sz w:val="21"/>
                      <w:szCs w:val="21"/>
                      <w:lang w:bidi="ar"/>
                    </w:rPr>
                    <w:t>年均浓度</w:t>
                  </w: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≤48.9</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≤39.9</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≤34.3</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≤35</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5</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CO日平均值的第95百分位数</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val="en-US"/>
                    </w:rPr>
                  </w:pPr>
                  <w:r>
                    <w:rPr>
                      <w:rFonts w:hint="default" w:ascii="Times New Roman" w:hAnsi="Times New Roman" w:cs="Times New Roman"/>
                      <w:color w:val="auto"/>
                      <w:spacing w:val="3"/>
                      <w:sz w:val="21"/>
                      <w:szCs w:val="21"/>
                      <w:lang w:eastAsia="zh-CN"/>
                    </w:rPr>
                    <w:t>≤4</w:t>
                  </w:r>
                  <w:r>
                    <w:rPr>
                      <w:rFonts w:hint="eastAsia" w:ascii="Times New Roman" w:hAnsi="Times New Roman" w:cs="Times New Roman"/>
                      <w:color w:val="auto"/>
                      <w:spacing w:val="3"/>
                      <w:sz w:val="21"/>
                      <w:szCs w:val="21"/>
                      <w:lang w:val="en-US" w:eastAsia="zh-CN"/>
                    </w:rPr>
                    <w:t>000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val="en-US"/>
                    </w:rPr>
                  </w:pPr>
                  <w:r>
                    <w:rPr>
                      <w:rFonts w:hint="default" w:ascii="Times New Roman" w:hAnsi="Times New Roman" w:cs="Times New Roman"/>
                      <w:color w:val="auto"/>
                      <w:spacing w:val="3"/>
                      <w:sz w:val="21"/>
                      <w:szCs w:val="21"/>
                      <w:lang w:eastAsia="zh-CN"/>
                    </w:rPr>
                    <w:t>≤4</w:t>
                  </w:r>
                  <w:r>
                    <w:rPr>
                      <w:rFonts w:hint="eastAsia" w:ascii="Times New Roman" w:hAnsi="Times New Roman" w:cs="Times New Roman"/>
                      <w:color w:val="auto"/>
                      <w:spacing w:val="3"/>
                      <w:sz w:val="21"/>
                      <w:szCs w:val="21"/>
                      <w:lang w:val="en-US" w:eastAsia="zh-CN"/>
                    </w:rPr>
                    <w:t>000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77"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6</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O</w:t>
                  </w:r>
                  <w:r>
                    <w:rPr>
                      <w:rFonts w:hint="default" w:ascii="Times New Roman" w:hAnsi="Times New Roman" w:cs="Times New Roman"/>
                      <w:color w:val="auto"/>
                      <w:kern w:val="2"/>
                      <w:position w:val="-2"/>
                      <w:sz w:val="21"/>
                      <w:szCs w:val="21"/>
                      <w:vertAlign w:val="subscript"/>
                      <w:lang w:bidi="ar"/>
                    </w:rPr>
                    <w:t>3</w:t>
                  </w:r>
                  <w:r>
                    <w:rPr>
                      <w:rFonts w:hint="default" w:ascii="Times New Roman" w:hAnsi="Times New Roman" w:cs="Times New Roman"/>
                      <w:color w:val="auto"/>
                      <w:kern w:val="2"/>
                      <w:sz w:val="21"/>
                      <w:szCs w:val="21"/>
                      <w:lang w:bidi="ar"/>
                    </w:rPr>
                    <w:t>日最大8小时平均值的第90百分位数</w:t>
                  </w:r>
                </w:p>
              </w:tc>
              <w:tc>
                <w:tcPr>
                  <w:tcW w:w="3918" w:type="dxa"/>
                  <w:gridSpan w:val="3"/>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≤160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≤160</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lang w:eastAsia="zh-CN"/>
                    </w:rPr>
                    <w:t>指导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06"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975" w:type="dxa"/>
                  <w:tcBorders>
                    <w:top w:val="single" w:color="auto" w:sz="2" w:space="0"/>
                    <w:left w:val="single" w:color="auto" w:sz="2" w:space="0"/>
                    <w:bottom w:val="single" w:color="auto" w:sz="2" w:space="0"/>
                    <w:right w:val="single" w:color="auto" w:sz="2" w:space="0"/>
                  </w:tcBorders>
                  <w:noWrap w:val="0"/>
                  <w:vAlign w:val="center"/>
                </w:tcPr>
                <w:p>
                  <w:pPr>
                    <w:pStyle w:val="24"/>
                    <w:widowControl w:val="0"/>
                    <w:adjustRightInd w:val="0"/>
                    <w:snapToGrid w:val="0"/>
                    <w:spacing w:before="0" w:beforeAutospacing="0" w:after="0" w:afterAutospacing="0"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pacing w:val="21"/>
                      <w:kern w:val="2"/>
                      <w:sz w:val="21"/>
                      <w:szCs w:val="21"/>
                      <w:lang w:bidi="ar"/>
                    </w:rPr>
                    <w:t>空气质量优良天数比例</w:t>
                  </w:r>
                  <w:r>
                    <w:rPr>
                      <w:rFonts w:hint="default" w:ascii="Times New Roman" w:hAnsi="Times New Roman" w:cs="Times New Roman"/>
                      <w:color w:val="auto"/>
                      <w:kern w:val="2"/>
                      <w:sz w:val="21"/>
                      <w:szCs w:val="21"/>
                      <w:lang w:bidi="ar"/>
                    </w:rPr>
                    <w:t>（%）</w:t>
                  </w:r>
                </w:p>
              </w:tc>
              <w:tc>
                <w:tcPr>
                  <w:tcW w:w="131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≥78.2</w:t>
                  </w:r>
                </w:p>
              </w:tc>
              <w:tc>
                <w:tcPr>
                  <w:tcW w:w="1342"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≥85</w:t>
                  </w:r>
                </w:p>
              </w:tc>
              <w:tc>
                <w:tcPr>
                  <w:tcW w:w="1258"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≥90</w:t>
                  </w:r>
                </w:p>
              </w:tc>
              <w:tc>
                <w:tcPr>
                  <w:tcW w:w="857"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w:t>
                  </w:r>
                </w:p>
              </w:tc>
              <w:tc>
                <w:tcPr>
                  <w:tcW w:w="633" w:type="dxa"/>
                  <w:tcBorders>
                    <w:top w:val="single" w:color="auto" w:sz="2" w:space="0"/>
                    <w:left w:val="single" w:color="auto" w:sz="2" w:space="0"/>
                    <w:bottom w:val="single" w:color="auto" w:sz="2" w:space="0"/>
                    <w:right w:val="single" w:color="auto" w:sz="2" w:space="0"/>
                  </w:tcBorders>
                  <w:noWrap w:val="0"/>
                  <w:vAlign w:val="center"/>
                </w:tcPr>
                <w:p>
                  <w:pPr>
                    <w:pStyle w:val="171"/>
                    <w:spacing w:line="280" w:lineRule="exact"/>
                    <w:jc w:val="center"/>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预期</w:t>
                  </w:r>
                </w:p>
              </w:tc>
            </w:tr>
          </w:tbl>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bidi="ar"/>
              </w:rPr>
              <w:t>大气质量限期达标战略：</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bidi="ar"/>
              </w:rPr>
              <w:t>（1）总体战略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以大气环境质量达标为核心，以PM</w:t>
            </w:r>
            <w:r>
              <w:rPr>
                <w:rFonts w:hint="default" w:ascii="Times New Roman" w:hAnsi="Times New Roman" w:cs="Times New Roman"/>
                <w:color w:val="auto"/>
                <w:sz w:val="24"/>
                <w:szCs w:val="24"/>
                <w:vertAlign w:val="subscript"/>
                <w:lang w:bidi="ar"/>
              </w:rPr>
              <w:t>2.5</w:t>
            </w:r>
            <w:r>
              <w:rPr>
                <w:rFonts w:hint="default" w:ascii="Times New Roman" w:hAnsi="Times New Roman" w:cs="Times New Roman"/>
                <w:color w:val="auto"/>
                <w:sz w:val="24"/>
                <w:szCs w:val="24"/>
                <w:lang w:bidi="ar"/>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hint="default" w:ascii="Times New Roman" w:hAnsi="Times New Roman" w:cs="Times New Roman"/>
                <w:color w:val="auto"/>
                <w:sz w:val="24"/>
                <w:szCs w:val="24"/>
                <w:vertAlign w:val="subscript"/>
                <w:lang w:bidi="ar"/>
              </w:rPr>
              <w:t>S</w:t>
            </w:r>
            <w:r>
              <w:rPr>
                <w:rFonts w:hint="default" w:ascii="Times New Roman" w:hAnsi="Times New Roman" w:cs="Times New Roman"/>
                <w:color w:val="auto"/>
                <w:sz w:val="24"/>
                <w:szCs w:val="24"/>
                <w:lang w:bidi="ar"/>
              </w:rPr>
              <w:t>综合整治，促进多污染物协同控制及区域联防联控，提升大气污染精细化防控能力。</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bidi="ar"/>
              </w:rPr>
              <w:t>（2）分阶段战略</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bidi="ar"/>
              </w:rPr>
              <w:t>近期（2018-2020年）：协同减排促改善，实现空气质量初步改善。</w:t>
            </w:r>
            <w:r>
              <w:rPr>
                <w:rFonts w:hint="default" w:ascii="Times New Roman" w:hAnsi="Times New Roman" w:cs="Times New Roman"/>
                <w:color w:val="auto"/>
                <w:sz w:val="24"/>
                <w:szCs w:val="24"/>
                <w:lang w:bidi="ar"/>
              </w:rPr>
              <w:t>“十三五”期间，通过调整优化产业结构和布局、优化能源结构，强化污染减排，逐步推进大气污染源头控制；加快淘汰落后和化解过剩产能，提高行业准入的技术和规模门槛，减轻污染排放负荷；全面取缔、整治分散燃煤锅炉，推动煤炭清洁利用、热电联产，实现煤炭消费总量控制；将重点行业工业企业治污减排作为大气环境质量改善的重要着力点，通过提升污染物排放控制技术和管理水平、增强企业的污染治理能力等手段，大幅降低大气污染物排放量；通过淘汰黄标车、油品升级、机动车排放标准升级等综合管理措施，提升机动车综合管理水平，减少机动车尾气排放；通过控制扬尘污染、控制秸秆露天焚烧、控制餐饮油烟污染等手段深化面源综合治理，大力减少颗粒物排放量；通过全面落实</w:t>
            </w:r>
            <w:r>
              <w:rPr>
                <w:rFonts w:hint="eastAsia" w:ascii="宋体" w:hAnsi="宋体" w:eastAsia="宋体" w:cs="宋体"/>
                <w:color w:val="auto"/>
                <w:sz w:val="24"/>
                <w:szCs w:val="24"/>
                <w:lang w:bidi="ar"/>
              </w:rPr>
              <w:t>“减排、控煤、抑尘、治车、控秸”等</w:t>
            </w:r>
            <w:r>
              <w:rPr>
                <w:rFonts w:hint="default" w:ascii="Times New Roman" w:hAnsi="Times New Roman" w:cs="Times New Roman"/>
                <w:color w:val="auto"/>
                <w:sz w:val="24"/>
                <w:szCs w:val="24"/>
                <w:lang w:bidi="ar"/>
              </w:rPr>
              <w:t>综合措施，切实有效减少污染物排放量。到2020年，实现PM</w:t>
            </w:r>
            <w:r>
              <w:rPr>
                <w:rFonts w:hint="default" w:ascii="Times New Roman" w:hAnsi="Times New Roman" w:cs="Times New Roman"/>
                <w:color w:val="auto"/>
                <w:sz w:val="24"/>
                <w:szCs w:val="24"/>
                <w:vertAlign w:val="subscript"/>
                <w:lang w:bidi="ar"/>
              </w:rPr>
              <w:t>2.5</w:t>
            </w:r>
            <w:r>
              <w:rPr>
                <w:rFonts w:hint="default" w:ascii="Times New Roman" w:hAnsi="Times New Roman" w:cs="Times New Roman"/>
                <w:color w:val="auto"/>
                <w:sz w:val="24"/>
                <w:szCs w:val="24"/>
                <w:lang w:bidi="ar"/>
              </w:rPr>
              <w:t>、PM</w:t>
            </w:r>
            <w:r>
              <w:rPr>
                <w:rFonts w:hint="default" w:ascii="Times New Roman" w:hAnsi="Times New Roman" w:cs="Times New Roman"/>
                <w:color w:val="auto"/>
                <w:sz w:val="24"/>
                <w:szCs w:val="24"/>
                <w:vertAlign w:val="subscript"/>
                <w:lang w:bidi="ar"/>
              </w:rPr>
              <w:t>10</w:t>
            </w:r>
            <w:r>
              <w:rPr>
                <w:rFonts w:hint="default" w:ascii="Times New Roman" w:hAnsi="Times New Roman" w:cs="Times New Roman"/>
                <w:color w:val="auto"/>
                <w:sz w:val="24"/>
                <w:szCs w:val="24"/>
                <w:lang w:bidi="ar"/>
              </w:rPr>
              <w:t>浓度明显下降，其余指标全部达标，重污染天气显著降低，环境空气质量得到初步改善。</w:t>
            </w:r>
          </w:p>
          <w:p>
            <w:pPr>
              <w:widowControl/>
              <w:spacing w:line="360" w:lineRule="auto"/>
              <w:ind w:firstLine="466" w:firstLineChars="200"/>
              <w:jc w:val="left"/>
              <w:rPr>
                <w:rFonts w:hint="default" w:ascii="Times New Roman" w:hAnsi="Times New Roman" w:cs="Times New Roman"/>
                <w:color w:val="auto"/>
                <w:sz w:val="24"/>
                <w:szCs w:val="24"/>
                <w:lang w:bidi="ar"/>
              </w:rPr>
            </w:pPr>
            <w:r>
              <w:rPr>
                <w:rFonts w:hint="default" w:ascii="Times New Roman" w:hAnsi="Times New Roman" w:cs="Times New Roman"/>
                <w:b/>
                <w:color w:val="auto"/>
                <w:spacing w:val="-4"/>
                <w:sz w:val="24"/>
                <w:szCs w:val="24"/>
                <w:lang w:bidi="ar"/>
              </w:rPr>
              <w:t>中长期（2021-2030年）：调整结构促转型，力争空气质量稳定达标。</w:t>
            </w:r>
            <w:r>
              <w:rPr>
                <w:rFonts w:hint="default" w:ascii="Times New Roman" w:hAnsi="Times New Roman" w:cs="Times New Roman"/>
                <w:color w:val="auto"/>
                <w:sz w:val="24"/>
                <w:szCs w:val="24"/>
                <w:lang w:bidi="ar"/>
              </w:rPr>
              <w:t>在不断巩固和</w:t>
            </w:r>
            <w:r>
              <w:rPr>
                <w:rFonts w:hint="default" w:ascii="宋体" w:hAnsi="宋体" w:eastAsia="宋体" w:cs="宋体"/>
                <w:color w:val="auto"/>
                <w:sz w:val="24"/>
                <w:szCs w:val="24"/>
                <w:lang w:bidi="ar"/>
              </w:rPr>
              <w:t>深化“十三五”大气污染防</w:t>
            </w:r>
            <w:r>
              <w:rPr>
                <w:rFonts w:hint="default" w:ascii="Times New Roman" w:hAnsi="Times New Roman" w:cs="Times New Roman"/>
                <w:color w:val="auto"/>
                <w:sz w:val="24"/>
                <w:szCs w:val="24"/>
                <w:lang w:bidi="ar"/>
              </w:rPr>
              <w:t>治工作成效的基础上，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2030年实现空气质量稳定达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color w:val="auto"/>
                <w:kern w:val="0"/>
                <w:sz w:val="24"/>
              </w:rPr>
            </w:pPr>
            <w:r>
              <w:rPr>
                <w:b/>
                <w:color w:val="auto"/>
                <w:kern w:val="0"/>
                <w:sz w:val="24"/>
              </w:rPr>
              <w:t>二、地表水环境</w:t>
            </w:r>
          </w:p>
          <w:p>
            <w:pPr>
              <w:pStyle w:val="11"/>
              <w:keepNext w:val="0"/>
              <w:keepLines w:val="0"/>
              <w:pageBreakBefore w:val="0"/>
              <w:widowControl w:val="0"/>
              <w:kinsoku/>
              <w:wordWrap/>
              <w:overflowPunct w:val="0"/>
              <w:topLinePunct w:val="0"/>
              <w:autoSpaceDE/>
              <w:autoSpaceDN/>
              <w:bidi w:val="0"/>
              <w:adjustRightInd/>
              <w:snapToGrid/>
              <w:spacing w:after="0" w:line="360" w:lineRule="auto"/>
              <w:ind w:left="0" w:leftChars="0" w:right="0" w:rightChars="0" w:firstLine="480" w:firstLineChars="200"/>
              <w:jc w:val="both"/>
              <w:textAlignment w:val="auto"/>
              <w:rPr>
                <w:rFonts w:ascii="Times New Roman" w:hAnsi="Times New Roman" w:eastAsia="宋体" w:cs="Times New Roman"/>
                <w:i w:val="0"/>
                <w:iCs w:val="0"/>
                <w:caps w:val="0"/>
                <w:snapToGrid/>
                <w:color w:val="auto"/>
                <w:spacing w:val="0"/>
                <w:w w:val="100"/>
                <w:kern w:val="21"/>
                <w:position w:val="0"/>
                <w:sz w:val="24"/>
              </w:rPr>
            </w:pPr>
            <w:r>
              <w:rPr>
                <w:rFonts w:ascii="Times New Roman" w:hAnsi="Times New Roman" w:eastAsia="宋体" w:cs="Times New Roman"/>
                <w:i w:val="0"/>
                <w:iCs w:val="0"/>
                <w:caps w:val="0"/>
                <w:snapToGrid/>
                <w:color w:val="auto"/>
                <w:spacing w:val="0"/>
                <w:w w:val="100"/>
                <w:kern w:val="21"/>
                <w:position w:val="0"/>
                <w:sz w:val="24"/>
              </w:rPr>
              <w:t>根据</w:t>
            </w:r>
            <w:r>
              <w:rPr>
                <w:rFonts w:hint="eastAsia" w:cs="Times New Roman"/>
                <w:i w:val="0"/>
                <w:iCs w:val="0"/>
                <w:caps w:val="0"/>
                <w:snapToGrid/>
                <w:color w:val="auto"/>
                <w:spacing w:val="0"/>
                <w:w w:val="100"/>
                <w:kern w:val="21"/>
                <w:position w:val="0"/>
                <w:sz w:val="24"/>
                <w:lang w:eastAsia="zh-CN"/>
              </w:rPr>
              <w:t>《</w:t>
            </w:r>
            <w:r>
              <w:rPr>
                <w:rFonts w:ascii="Times New Roman" w:hAnsi="Times New Roman" w:eastAsia="宋体" w:cs="Times New Roman"/>
                <w:i w:val="0"/>
                <w:iCs w:val="0"/>
                <w:caps w:val="0"/>
                <w:snapToGrid/>
                <w:color w:val="auto"/>
                <w:spacing w:val="0"/>
                <w:w w:val="100"/>
                <w:kern w:val="21"/>
                <w:position w:val="0"/>
                <w:sz w:val="24"/>
                <w:lang w:val="en-US" w:eastAsia="zh-CN"/>
              </w:rPr>
              <w:t xml:space="preserve">建设项目环境影响报告表编制技术指南 </w:t>
            </w:r>
            <w:r>
              <w:rPr>
                <w:rFonts w:hint="default" w:ascii="Times New Roman" w:hAnsi="Times New Roman" w:eastAsia="宋体" w:cs="Times New Roman"/>
                <w:i w:val="0"/>
                <w:iCs w:val="0"/>
                <w:caps w:val="0"/>
                <w:snapToGrid/>
                <w:color w:val="auto"/>
                <w:spacing w:val="0"/>
                <w:w w:val="100"/>
                <w:kern w:val="21"/>
                <w:position w:val="0"/>
                <w:sz w:val="24"/>
                <w:lang w:val="en-US" w:eastAsia="zh-CN"/>
              </w:rPr>
              <w:t>（污染影响类）（试行）</w:t>
            </w:r>
            <w:r>
              <w:rPr>
                <w:rFonts w:hint="eastAsia" w:cs="Times New Roman"/>
                <w:i w:val="0"/>
                <w:iCs w:val="0"/>
                <w:caps w:val="0"/>
                <w:snapToGrid/>
                <w:color w:val="auto"/>
                <w:spacing w:val="0"/>
                <w:w w:val="100"/>
                <w:kern w:val="21"/>
                <w:position w:val="0"/>
                <w:sz w:val="24"/>
                <w:lang w:eastAsia="zh-CN"/>
              </w:rPr>
              <w:t>》</w:t>
            </w:r>
            <w:r>
              <w:rPr>
                <w:rFonts w:ascii="Times New Roman" w:hAnsi="Times New Roman" w:eastAsia="宋体" w:cs="Times New Roman"/>
                <w:i w:val="0"/>
                <w:iCs w:val="0"/>
                <w:caps w:val="0"/>
                <w:snapToGrid/>
                <w:color w:val="auto"/>
                <w:spacing w:val="0"/>
                <w:w w:val="100"/>
                <w:kern w:val="21"/>
                <w:position w:val="0"/>
                <w:sz w:val="24"/>
              </w:rPr>
              <w:t>，地表水环境</w:t>
            </w:r>
            <w:r>
              <w:rPr>
                <w:rFonts w:hint="eastAsia" w:cs="Times New Roman"/>
                <w:i w:val="0"/>
                <w:iCs w:val="0"/>
                <w:caps w:val="0"/>
                <w:snapToGrid/>
                <w:color w:val="auto"/>
                <w:spacing w:val="0"/>
                <w:w w:val="100"/>
                <w:kern w:val="21"/>
                <w:position w:val="0"/>
                <w:sz w:val="24"/>
                <w:lang w:val="en-US" w:eastAsia="zh-CN"/>
              </w:rPr>
              <w:t>质量现状，</w:t>
            </w:r>
            <w:r>
              <w:rPr>
                <w:rFonts w:ascii="Times New Roman" w:hAnsi="Times New Roman" w:eastAsia="宋体" w:cs="Times New Roman"/>
                <w:i w:val="0"/>
                <w:iCs w:val="0"/>
                <w:caps w:val="0"/>
                <w:snapToGrid/>
                <w:color w:val="auto"/>
                <w:spacing w:val="0"/>
                <w:w w:val="100"/>
                <w:kern w:val="21"/>
                <w:position w:val="0"/>
                <w:sz w:val="24"/>
                <w:lang w:val="en-US" w:eastAsia="zh-CN"/>
              </w:rPr>
              <w:t>引用与建设项目距离近的有效数据，包括近3</w:t>
            </w:r>
            <w:r>
              <w:rPr>
                <w:rFonts w:hint="eastAsia" w:ascii="Times New Roman" w:hAnsi="Times New Roman" w:eastAsia="宋体" w:cs="Times New Roman"/>
                <w:i w:val="0"/>
                <w:iCs w:val="0"/>
                <w:caps w:val="0"/>
                <w:snapToGrid/>
                <w:color w:val="auto"/>
                <w:spacing w:val="0"/>
                <w:w w:val="100"/>
                <w:kern w:val="21"/>
                <w:position w:val="0"/>
                <w:sz w:val="24"/>
                <w:lang w:val="en-US" w:eastAsia="zh-CN"/>
              </w:rPr>
              <w:t>年的规划环境影响评价的监测数据，所在流域控制单元内国家、地方控制断面监测数据，生态环境主管部门发布的水环境质量数据或地表水达标情况的结论。</w:t>
            </w:r>
          </w:p>
          <w:p>
            <w:pPr>
              <w:pStyle w:val="172"/>
              <w:keepNext w:val="0"/>
              <w:keepLines w:val="0"/>
              <w:pageBreakBefore w:val="0"/>
              <w:kinsoku/>
              <w:wordWrap/>
              <w:topLinePunct w:val="0"/>
              <w:autoSpaceDE/>
              <w:autoSpaceDN/>
              <w:bidi w:val="0"/>
              <w:adjustRightInd/>
              <w:snapToGrid/>
              <w:spacing w:line="360" w:lineRule="auto"/>
              <w:ind w:left="0" w:leftChars="0" w:right="0" w:firstLine="482" w:firstLineChars="200"/>
              <w:rPr>
                <w:rFonts w:ascii="Times New Roman" w:cs="Times New Roman"/>
                <w:b/>
                <w:color w:val="auto"/>
              </w:rPr>
            </w:pPr>
            <w:r>
              <w:rPr>
                <w:rFonts w:hint="eastAsia" w:ascii="Times New Roman" w:cs="Times New Roman"/>
                <w:b/>
                <w:color w:val="auto"/>
              </w:rPr>
              <w:t>1、</w:t>
            </w:r>
            <w:r>
              <w:rPr>
                <w:rFonts w:hint="eastAsia" w:ascii="Times New Roman" w:cs="Times New Roman"/>
                <w:b/>
                <w:color w:val="auto"/>
                <w:lang w:val="en-US" w:eastAsia="zh-CN"/>
              </w:rPr>
              <w:t>受纳水体</w:t>
            </w:r>
            <w:r>
              <w:rPr>
                <w:rFonts w:hint="eastAsia" w:ascii="Times New Roman" w:cs="Times New Roman"/>
                <w:b/>
                <w:color w:val="auto"/>
              </w:rPr>
              <w:t>环境质量达标状况</w:t>
            </w:r>
          </w:p>
          <w:p>
            <w:pPr>
              <w:spacing w:line="360" w:lineRule="auto"/>
              <w:ind w:firstLine="480" w:firstLineChars="200"/>
              <w:rPr>
                <w:color w:val="auto"/>
                <w:sz w:val="24"/>
              </w:rPr>
            </w:pPr>
            <w:r>
              <w:rPr>
                <w:rFonts w:hint="eastAsia" w:cs="Times New Roman"/>
                <w:i w:val="0"/>
                <w:iCs w:val="0"/>
                <w:caps w:val="0"/>
                <w:snapToGrid/>
                <w:color w:val="auto"/>
                <w:spacing w:val="0"/>
                <w:w w:val="100"/>
                <w:kern w:val="21"/>
                <w:position w:val="0"/>
                <w:sz w:val="24"/>
                <w:lang w:val="en-US" w:eastAsia="zh-CN"/>
              </w:rPr>
              <w:t>本项目所在大竹经开区园区污水处理厂处理达标后，排入东柳河</w:t>
            </w:r>
            <w:r>
              <w:rPr>
                <w:rFonts w:hint="eastAsia" w:cs="Times New Roman"/>
                <w:i w:val="0"/>
                <w:iCs w:val="0"/>
                <w:caps w:val="0"/>
                <w:snapToGrid/>
                <w:color w:val="auto"/>
                <w:spacing w:val="0"/>
                <w:w w:val="100"/>
                <w:kern w:val="21"/>
                <w:position w:val="0"/>
                <w:sz w:val="24"/>
                <w:lang w:eastAsia="zh-CN"/>
              </w:rPr>
              <w:t>，本</w:t>
            </w:r>
            <w:r>
              <w:rPr>
                <w:rFonts w:hint="eastAsia" w:cs="Times New Roman"/>
                <w:i w:val="0"/>
                <w:iCs w:val="0"/>
                <w:caps w:val="0"/>
                <w:snapToGrid/>
                <w:color w:val="auto"/>
                <w:spacing w:val="0"/>
                <w:w w:val="100"/>
                <w:kern w:val="21"/>
                <w:position w:val="0"/>
                <w:sz w:val="24"/>
                <w:lang w:val="en-US" w:eastAsia="zh-CN"/>
              </w:rPr>
              <w:t>次评价</w:t>
            </w:r>
            <w:r>
              <w:rPr>
                <w:rFonts w:hint="eastAsia" w:cs="Times New Roman"/>
                <w:i w:val="0"/>
                <w:iCs w:val="0"/>
                <w:caps w:val="0"/>
                <w:snapToGrid/>
                <w:color w:val="auto"/>
                <w:spacing w:val="0"/>
                <w:w w:val="100"/>
                <w:kern w:val="21"/>
                <w:position w:val="0"/>
                <w:sz w:val="24"/>
                <w:lang w:eastAsia="zh-CN"/>
              </w:rPr>
              <w:t>采用</w:t>
            </w:r>
            <w:r>
              <w:rPr>
                <w:rFonts w:hint="eastAsia" w:cs="Times New Roman"/>
                <w:i w:val="0"/>
                <w:iCs w:val="0"/>
                <w:caps w:val="0"/>
                <w:snapToGrid/>
                <w:color w:val="auto"/>
                <w:spacing w:val="0"/>
                <w:w w:val="100"/>
                <w:kern w:val="21"/>
                <w:position w:val="0"/>
                <w:sz w:val="24"/>
                <w:lang w:val="en-US" w:eastAsia="zh-CN"/>
              </w:rPr>
              <w:t>东柳河</w:t>
            </w:r>
            <w:r>
              <w:rPr>
                <w:rFonts w:hint="eastAsia" w:cs="Times New Roman"/>
                <w:i w:val="0"/>
                <w:iCs w:val="0"/>
                <w:caps w:val="0"/>
                <w:snapToGrid/>
                <w:color w:val="auto"/>
                <w:spacing w:val="0"/>
                <w:w w:val="100"/>
                <w:kern w:val="21"/>
                <w:position w:val="0"/>
                <w:sz w:val="24"/>
                <w:lang w:eastAsia="zh-CN"/>
              </w:rPr>
              <w:t>的水质月报数据说明区域的水环境质量。根据</w:t>
            </w:r>
            <w:r>
              <w:rPr>
                <w:rFonts w:hint="eastAsia" w:cs="Times New Roman"/>
                <w:i w:val="0"/>
                <w:iCs w:val="0"/>
                <w:caps w:val="0"/>
                <w:snapToGrid/>
                <w:color w:val="auto"/>
                <w:spacing w:val="0"/>
                <w:w w:val="100"/>
                <w:kern w:val="21"/>
                <w:position w:val="0"/>
                <w:sz w:val="24"/>
                <w:lang w:val="en-US" w:eastAsia="zh-CN"/>
              </w:rPr>
              <w:t>达州市生态环境局发布的</w:t>
            </w:r>
            <w:r>
              <w:rPr>
                <w:rFonts w:hint="eastAsia" w:cs="Times New Roman"/>
                <w:i w:val="0"/>
                <w:iCs w:val="0"/>
                <w:caps w:val="0"/>
                <w:snapToGrid/>
                <w:color w:val="auto"/>
                <w:spacing w:val="0"/>
                <w:w w:val="100"/>
                <w:kern w:val="21"/>
                <w:position w:val="0"/>
                <w:sz w:val="24"/>
                <w:lang w:eastAsia="zh-CN"/>
              </w:rPr>
              <w:t>达州市地表水水质</w:t>
            </w:r>
            <w:r>
              <w:rPr>
                <w:rFonts w:hint="eastAsia" w:cs="Times New Roman"/>
                <w:i w:val="0"/>
                <w:iCs w:val="0"/>
                <w:caps w:val="0"/>
                <w:snapToGrid/>
                <w:color w:val="auto"/>
                <w:spacing w:val="0"/>
                <w:w w:val="100"/>
                <w:kern w:val="21"/>
                <w:position w:val="0"/>
                <w:sz w:val="24"/>
                <w:lang w:val="en-US" w:eastAsia="zh-CN"/>
              </w:rPr>
              <w:t>公报</w:t>
            </w:r>
            <w:r>
              <w:rPr>
                <w:rFonts w:hint="eastAsia" w:cs="Times New Roman"/>
                <w:i w:val="0"/>
                <w:iCs w:val="0"/>
                <w:caps w:val="0"/>
                <w:snapToGrid/>
                <w:color w:val="auto"/>
                <w:spacing w:val="0"/>
                <w:w w:val="100"/>
                <w:kern w:val="21"/>
                <w:position w:val="0"/>
                <w:sz w:val="24"/>
                <w:lang w:eastAsia="zh-CN"/>
              </w:rPr>
              <w:t>，</w:t>
            </w:r>
            <w:r>
              <w:rPr>
                <w:rFonts w:hint="eastAsia" w:cs="Times New Roman"/>
                <w:i w:val="0"/>
                <w:iCs w:val="0"/>
                <w:caps w:val="0"/>
                <w:snapToGrid/>
                <w:color w:val="auto"/>
                <w:spacing w:val="0"/>
                <w:w w:val="100"/>
                <w:kern w:val="21"/>
                <w:position w:val="0"/>
                <w:sz w:val="24"/>
                <w:lang w:val="en-US" w:eastAsia="zh-CN"/>
              </w:rPr>
              <w:t>东柳河</w:t>
            </w:r>
            <w:r>
              <w:rPr>
                <w:rFonts w:hint="eastAsia"/>
                <w:color w:val="auto"/>
                <w:sz w:val="24"/>
                <w:lang w:val="en-US" w:eastAsia="zh-CN"/>
              </w:rPr>
              <w:t>例行</w:t>
            </w:r>
            <w:r>
              <w:rPr>
                <w:rFonts w:hint="eastAsia"/>
                <w:color w:val="auto"/>
                <w:sz w:val="24"/>
              </w:rPr>
              <w:t>监测断面水质评价结果情况见下表所示。</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lang w:eastAsia="zh-CN"/>
              </w:rPr>
            </w:pPr>
            <w:r>
              <w:rPr>
                <w:rFonts w:hint="eastAsia" w:ascii="Times New Roman" w:hAnsi="Times New Roman" w:eastAsia="宋体" w:cs="Times New Roman"/>
                <w:b/>
                <w:bCs/>
                <w:snapToGrid/>
                <w:color w:val="auto"/>
                <w:spacing w:val="0"/>
                <w:w w:val="100"/>
                <w:kern w:val="21"/>
                <w:position w:val="0"/>
                <w:sz w:val="21"/>
                <w:szCs w:val="21"/>
                <w:lang w:eastAsia="zh-CN"/>
              </w:rPr>
              <w:t>表</w:t>
            </w:r>
            <w:r>
              <w:rPr>
                <w:rFonts w:hint="eastAsia" w:ascii="Times New Roman" w:hAnsi="Times New Roman" w:eastAsia="宋体" w:cs="Times New Roman"/>
                <w:b/>
                <w:bCs/>
                <w:snapToGrid/>
                <w:color w:val="auto"/>
                <w:spacing w:val="0"/>
                <w:w w:val="100"/>
                <w:kern w:val="21"/>
                <w:position w:val="0"/>
                <w:sz w:val="21"/>
                <w:szCs w:val="21"/>
                <w:lang w:val="en-US" w:eastAsia="zh-CN"/>
              </w:rPr>
              <w:t>3-</w:t>
            </w:r>
            <w:r>
              <w:rPr>
                <w:rFonts w:hint="eastAsia" w:cs="Times New Roman"/>
                <w:b/>
                <w:bCs/>
                <w:snapToGrid/>
                <w:color w:val="auto"/>
                <w:spacing w:val="0"/>
                <w:w w:val="100"/>
                <w:kern w:val="21"/>
                <w:position w:val="0"/>
                <w:sz w:val="21"/>
                <w:szCs w:val="21"/>
                <w:lang w:val="en-US" w:eastAsia="zh-CN"/>
              </w:rPr>
              <w:t>3</w:t>
            </w:r>
            <w:r>
              <w:rPr>
                <w:rFonts w:hint="eastAsia" w:ascii="Times New Roman" w:hAnsi="Times New Roman" w:eastAsia="宋体" w:cs="Times New Roman"/>
                <w:b/>
                <w:bCs/>
                <w:snapToGrid/>
                <w:color w:val="auto"/>
                <w:spacing w:val="0"/>
                <w:w w:val="100"/>
                <w:kern w:val="21"/>
                <w:position w:val="0"/>
                <w:sz w:val="21"/>
                <w:szCs w:val="21"/>
                <w:lang w:val="en-US" w:eastAsia="zh-CN"/>
              </w:rPr>
              <w:t xml:space="preserve"> </w:t>
            </w:r>
            <w:r>
              <w:rPr>
                <w:rFonts w:hint="eastAsia" w:cs="Times New Roman"/>
                <w:b/>
                <w:bCs/>
                <w:snapToGrid/>
                <w:color w:val="auto"/>
                <w:spacing w:val="0"/>
                <w:w w:val="100"/>
                <w:kern w:val="21"/>
                <w:position w:val="0"/>
                <w:sz w:val="21"/>
                <w:szCs w:val="21"/>
                <w:lang w:val="en-US" w:eastAsia="zh-CN"/>
              </w:rPr>
              <w:t>东柳河</w:t>
            </w:r>
            <w:r>
              <w:rPr>
                <w:rFonts w:hint="eastAsia" w:ascii="Times New Roman" w:hAnsi="Times New Roman" w:eastAsia="宋体" w:cs="Times New Roman"/>
                <w:b/>
                <w:bCs/>
                <w:snapToGrid/>
                <w:color w:val="auto"/>
                <w:spacing w:val="0"/>
                <w:w w:val="100"/>
                <w:kern w:val="21"/>
                <w:position w:val="0"/>
                <w:sz w:val="21"/>
                <w:szCs w:val="21"/>
                <w:lang w:eastAsia="zh-CN"/>
              </w:rPr>
              <w:t>水质评价结果表</w:t>
            </w:r>
            <w:r>
              <w:rPr>
                <w:rFonts w:hint="eastAsia" w:cs="Times New Roman"/>
                <w:b/>
                <w:bCs/>
                <w:snapToGrid/>
                <w:color w:val="auto"/>
                <w:spacing w:val="0"/>
                <w:w w:val="100"/>
                <w:kern w:val="21"/>
                <w:position w:val="0"/>
                <w:sz w:val="21"/>
                <w:szCs w:val="21"/>
                <w:lang w:eastAsia="zh-CN"/>
              </w:rPr>
              <w:t>（</w:t>
            </w:r>
            <w:r>
              <w:rPr>
                <w:rFonts w:hint="eastAsia" w:cs="Times New Roman"/>
                <w:b/>
                <w:bCs/>
                <w:snapToGrid/>
                <w:color w:val="auto"/>
                <w:spacing w:val="0"/>
                <w:w w:val="100"/>
                <w:kern w:val="21"/>
                <w:position w:val="0"/>
                <w:sz w:val="21"/>
                <w:szCs w:val="21"/>
                <w:lang w:val="en-US" w:eastAsia="zh-CN"/>
              </w:rPr>
              <w:t>近一年</w:t>
            </w:r>
            <w:r>
              <w:rPr>
                <w:rFonts w:hint="eastAsia" w:cs="Times New Roman"/>
                <w:b/>
                <w:bCs/>
                <w:snapToGrid/>
                <w:color w:val="auto"/>
                <w:spacing w:val="0"/>
                <w:w w:val="100"/>
                <w:kern w:val="21"/>
                <w:position w:val="0"/>
                <w:sz w:val="21"/>
                <w:szCs w:val="21"/>
                <w:lang w:eastAsia="zh-CN"/>
              </w:rPr>
              <w:t>）</w:t>
            </w:r>
          </w:p>
          <w:tbl>
            <w:tblPr>
              <w:tblStyle w:val="29"/>
              <w:tblW w:w="78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21"/>
              <w:gridCol w:w="962"/>
              <w:gridCol w:w="762"/>
              <w:gridCol w:w="2454"/>
              <w:gridCol w:w="1482"/>
              <w:gridCol w:w="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1321" w:type="dxa"/>
                  <w:tcBorders>
                    <w:top w:val="single" w:color="auto" w:sz="4" w:space="0"/>
                    <w:left w:val="single" w:color="auto" w:sz="0" w:space="0"/>
                  </w:tcBorders>
                  <w:vAlign w:val="center"/>
                </w:tcPr>
                <w:p>
                  <w:pPr>
                    <w:jc w:val="center"/>
                    <w:rPr>
                      <w:rFonts w:hint="eastAsia" w:eastAsia="宋体"/>
                      <w:b/>
                      <w:bCs/>
                      <w:color w:val="auto"/>
                      <w:szCs w:val="21"/>
                      <w:lang w:eastAsia="zh-CN"/>
                    </w:rPr>
                  </w:pPr>
                  <w:r>
                    <w:rPr>
                      <w:rFonts w:hint="eastAsia"/>
                      <w:b/>
                      <w:bCs/>
                      <w:color w:val="auto"/>
                      <w:szCs w:val="21"/>
                      <w:lang w:val="en-US" w:eastAsia="zh-CN"/>
                    </w:rPr>
                    <w:t>时间</w:t>
                  </w:r>
                </w:p>
              </w:tc>
              <w:tc>
                <w:tcPr>
                  <w:tcW w:w="1724" w:type="dxa"/>
                  <w:gridSpan w:val="2"/>
                  <w:tcBorders>
                    <w:top w:val="single" w:color="auto" w:sz="4" w:space="0"/>
                  </w:tcBorders>
                  <w:vAlign w:val="center"/>
                </w:tcPr>
                <w:p>
                  <w:pPr>
                    <w:jc w:val="center"/>
                    <w:rPr>
                      <w:b/>
                      <w:bCs/>
                      <w:color w:val="auto"/>
                      <w:szCs w:val="21"/>
                    </w:rPr>
                  </w:pPr>
                  <w:r>
                    <w:rPr>
                      <w:rFonts w:hint="eastAsia"/>
                      <w:b/>
                      <w:bCs/>
                      <w:color w:val="auto"/>
                      <w:szCs w:val="21"/>
                    </w:rPr>
                    <w:t>河流</w:t>
                  </w:r>
                </w:p>
              </w:tc>
              <w:tc>
                <w:tcPr>
                  <w:tcW w:w="2454" w:type="dxa"/>
                  <w:tcBorders>
                    <w:top w:val="single" w:color="auto" w:sz="4" w:space="0"/>
                  </w:tcBorders>
                  <w:vAlign w:val="center"/>
                </w:tcPr>
                <w:p>
                  <w:pPr>
                    <w:jc w:val="center"/>
                    <w:rPr>
                      <w:b/>
                      <w:bCs/>
                      <w:color w:val="auto"/>
                      <w:szCs w:val="21"/>
                    </w:rPr>
                  </w:pPr>
                  <w:r>
                    <w:rPr>
                      <w:rFonts w:hint="eastAsia"/>
                      <w:b/>
                      <w:bCs/>
                      <w:color w:val="auto"/>
                      <w:szCs w:val="21"/>
                    </w:rPr>
                    <w:t>断面名称</w:t>
                  </w:r>
                </w:p>
              </w:tc>
              <w:tc>
                <w:tcPr>
                  <w:tcW w:w="1482" w:type="dxa"/>
                  <w:tcBorders>
                    <w:top w:val="single" w:color="auto" w:sz="4" w:space="0"/>
                  </w:tcBorders>
                  <w:vAlign w:val="center"/>
                </w:tcPr>
                <w:p>
                  <w:pPr>
                    <w:jc w:val="center"/>
                    <w:rPr>
                      <w:b/>
                      <w:bCs/>
                      <w:color w:val="auto"/>
                      <w:szCs w:val="21"/>
                    </w:rPr>
                  </w:pPr>
                  <w:r>
                    <w:rPr>
                      <w:rFonts w:hint="eastAsia"/>
                      <w:b/>
                      <w:bCs/>
                      <w:color w:val="auto"/>
                      <w:szCs w:val="21"/>
                    </w:rPr>
                    <w:t>断面属性</w:t>
                  </w:r>
                </w:p>
              </w:tc>
              <w:tc>
                <w:tcPr>
                  <w:tcW w:w="916" w:type="dxa"/>
                  <w:tcBorders>
                    <w:top w:val="single" w:color="auto" w:sz="4" w:space="0"/>
                    <w:right w:val="single" w:color="auto" w:sz="4" w:space="0"/>
                  </w:tcBorders>
                  <w:vAlign w:val="center"/>
                </w:tcPr>
                <w:p>
                  <w:pPr>
                    <w:jc w:val="center"/>
                    <w:rPr>
                      <w:b/>
                      <w:bCs/>
                      <w:color w:val="auto"/>
                      <w:szCs w:val="21"/>
                    </w:rPr>
                  </w:pPr>
                  <w:r>
                    <w:rPr>
                      <w:rFonts w:hint="eastAsia"/>
                      <w:b/>
                      <w:bCs/>
                      <w:color w:val="auto"/>
                      <w:szCs w:val="21"/>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321" w:type="dxa"/>
                  <w:tcBorders>
                    <w:left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2024年5月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rFonts w:hint="default" w:eastAsia="宋体"/>
                      <w:color w:val="auto"/>
                      <w:szCs w:val="21"/>
                      <w:lang w:val="en-US" w:eastAsia="zh-CN"/>
                    </w:rPr>
                  </w:pPr>
                  <w:r>
                    <w:rPr>
                      <w:rFonts w:hint="eastAsia"/>
                      <w:color w:val="auto"/>
                      <w:szCs w:val="21"/>
                      <w:lang w:val="en-US" w:eastAsia="zh-CN"/>
                    </w:rPr>
                    <w:t>东柳河</w:t>
                  </w:r>
                </w:p>
              </w:tc>
              <w:tc>
                <w:tcPr>
                  <w:tcW w:w="2454" w:type="dxa"/>
                  <w:vAlign w:val="center"/>
                </w:tcPr>
                <w:p>
                  <w:pPr>
                    <w:jc w:val="center"/>
                    <w:rPr>
                      <w:rFonts w:hint="default" w:eastAsia="宋体"/>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default" w:eastAsia="宋体"/>
                      <w:color w:val="auto"/>
                      <w:szCs w:val="21"/>
                      <w:lang w:val="en-US" w:eastAsia="zh-CN"/>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2024年4月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2024年3月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rFonts w:hint="eastAsia"/>
                      <w:color w:val="auto"/>
                      <w:szCs w:val="21"/>
                      <w:lang w:val="en-US" w:eastAsia="zh-CN"/>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2024年2月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2024年1月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2023年12月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2023年11月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2023年10月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2023年9月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2023年8月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321" w:type="dxa"/>
                  <w:tcBorders>
                    <w:left w:val="single" w:color="auto" w:sz="4" w:space="0"/>
                  </w:tcBorders>
                  <w:vAlign w:val="center"/>
                </w:tcPr>
                <w:p>
                  <w:pPr>
                    <w:jc w:val="center"/>
                    <w:rPr>
                      <w:rFonts w:hint="eastAsia"/>
                      <w:color w:val="auto"/>
                      <w:szCs w:val="21"/>
                    </w:rPr>
                  </w:pPr>
                  <w:r>
                    <w:rPr>
                      <w:rFonts w:hint="eastAsia"/>
                      <w:color w:val="auto"/>
                      <w:szCs w:val="21"/>
                      <w:lang w:val="en-US" w:eastAsia="zh-CN"/>
                    </w:rPr>
                    <w:t>2023年7月</w:t>
                  </w:r>
                </w:p>
              </w:tc>
              <w:tc>
                <w:tcPr>
                  <w:tcW w:w="962" w:type="dxa"/>
                  <w:vAlign w:val="center"/>
                </w:tcPr>
                <w:p>
                  <w:pPr>
                    <w:jc w:val="center"/>
                    <w:rPr>
                      <w:color w:val="auto"/>
                      <w:szCs w:val="21"/>
                    </w:rPr>
                  </w:pPr>
                  <w:r>
                    <w:rPr>
                      <w:rFonts w:hint="eastAsia"/>
                      <w:color w:val="auto"/>
                      <w:szCs w:val="21"/>
                    </w:rPr>
                    <w:t>州河水系</w:t>
                  </w:r>
                </w:p>
              </w:tc>
              <w:tc>
                <w:tcPr>
                  <w:tcW w:w="762" w:type="dxa"/>
                  <w:vAlign w:val="center"/>
                </w:tcPr>
                <w:p>
                  <w:pPr>
                    <w:jc w:val="center"/>
                    <w:rPr>
                      <w:color w:val="auto"/>
                      <w:szCs w:val="21"/>
                    </w:rPr>
                  </w:pPr>
                  <w:r>
                    <w:rPr>
                      <w:rFonts w:hint="eastAsia"/>
                      <w:color w:val="auto"/>
                      <w:szCs w:val="21"/>
                      <w:lang w:val="en-US" w:eastAsia="zh-CN"/>
                    </w:rPr>
                    <w:t>东柳河</w:t>
                  </w:r>
                </w:p>
              </w:tc>
              <w:tc>
                <w:tcPr>
                  <w:tcW w:w="2454" w:type="dxa"/>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3" w:hRule="atLeast"/>
              </w:trPr>
              <w:tc>
                <w:tcPr>
                  <w:tcW w:w="1321" w:type="dxa"/>
                  <w:tcBorders>
                    <w:left w:val="single" w:color="auto" w:sz="4" w:space="0"/>
                    <w:bottom w:val="single" w:color="auto" w:sz="4" w:space="0"/>
                  </w:tcBorders>
                  <w:vAlign w:val="center"/>
                </w:tcPr>
                <w:p>
                  <w:pPr>
                    <w:jc w:val="center"/>
                    <w:rPr>
                      <w:rFonts w:hint="eastAsia"/>
                      <w:color w:val="auto"/>
                      <w:szCs w:val="21"/>
                    </w:rPr>
                  </w:pPr>
                  <w:r>
                    <w:rPr>
                      <w:rFonts w:hint="eastAsia"/>
                      <w:color w:val="auto"/>
                      <w:szCs w:val="21"/>
                      <w:lang w:val="en-US" w:eastAsia="zh-CN"/>
                    </w:rPr>
                    <w:t>2023年6月</w:t>
                  </w:r>
                </w:p>
              </w:tc>
              <w:tc>
                <w:tcPr>
                  <w:tcW w:w="962" w:type="dxa"/>
                  <w:tcBorders>
                    <w:bottom w:val="single" w:color="auto" w:sz="4" w:space="0"/>
                  </w:tcBorders>
                  <w:vAlign w:val="center"/>
                </w:tcPr>
                <w:p>
                  <w:pPr>
                    <w:jc w:val="center"/>
                    <w:rPr>
                      <w:color w:val="auto"/>
                      <w:szCs w:val="21"/>
                    </w:rPr>
                  </w:pPr>
                  <w:r>
                    <w:rPr>
                      <w:rFonts w:hint="eastAsia"/>
                      <w:color w:val="auto"/>
                      <w:szCs w:val="21"/>
                    </w:rPr>
                    <w:t>州河水系</w:t>
                  </w:r>
                </w:p>
              </w:tc>
              <w:tc>
                <w:tcPr>
                  <w:tcW w:w="762" w:type="dxa"/>
                  <w:tcBorders>
                    <w:bottom w:val="single" w:color="auto" w:sz="4" w:space="0"/>
                  </w:tcBorders>
                  <w:vAlign w:val="center"/>
                </w:tcPr>
                <w:p>
                  <w:pPr>
                    <w:jc w:val="center"/>
                    <w:rPr>
                      <w:color w:val="auto"/>
                      <w:szCs w:val="21"/>
                    </w:rPr>
                  </w:pPr>
                  <w:r>
                    <w:rPr>
                      <w:rFonts w:hint="eastAsia"/>
                      <w:color w:val="auto"/>
                      <w:szCs w:val="21"/>
                      <w:lang w:val="en-US" w:eastAsia="zh-CN"/>
                    </w:rPr>
                    <w:t>东柳河</w:t>
                  </w:r>
                </w:p>
              </w:tc>
              <w:tc>
                <w:tcPr>
                  <w:tcW w:w="2454" w:type="dxa"/>
                  <w:tcBorders>
                    <w:bottom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县界(大竹县→渠县)</w:t>
                  </w:r>
                </w:p>
              </w:tc>
              <w:tc>
                <w:tcPr>
                  <w:tcW w:w="1482" w:type="dxa"/>
                  <w:tcBorders>
                    <w:bottom w:val="single" w:color="auto" w:sz="4" w:space="0"/>
                  </w:tcBorders>
                  <w:vAlign w:val="center"/>
                </w:tcPr>
                <w:p>
                  <w:pPr>
                    <w:jc w:val="center"/>
                    <w:rPr>
                      <w:rFonts w:hint="eastAsia"/>
                      <w:color w:val="auto"/>
                      <w:szCs w:val="21"/>
                    </w:rPr>
                  </w:pPr>
                  <w:r>
                    <w:rPr>
                      <w:rFonts w:hint="eastAsia"/>
                      <w:color w:val="auto"/>
                      <w:szCs w:val="21"/>
                      <w:lang w:val="en-US" w:eastAsia="zh-CN"/>
                    </w:rPr>
                    <w:t>省控考核评价</w:t>
                  </w:r>
                </w:p>
              </w:tc>
              <w:tc>
                <w:tcPr>
                  <w:tcW w:w="916" w:type="dxa"/>
                  <w:tcBorders>
                    <w:bottom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rPr>
                    <w:t>III</w:t>
                  </w:r>
                </w:p>
              </w:tc>
            </w:tr>
          </w:tbl>
          <w:p>
            <w:pPr>
              <w:spacing w:line="360" w:lineRule="auto"/>
              <w:ind w:firstLine="480" w:firstLineChars="200"/>
              <w:rPr>
                <w:color w:val="auto"/>
                <w:sz w:val="24"/>
              </w:rPr>
            </w:pPr>
            <w:r>
              <w:rPr>
                <w:rFonts w:hint="eastAsia"/>
                <w:color w:val="auto"/>
                <w:sz w:val="24"/>
                <w:lang w:val="en-US" w:eastAsia="zh-CN"/>
              </w:rPr>
              <w:t>本项目受纳水体东柳河</w:t>
            </w:r>
            <w:r>
              <w:rPr>
                <w:rFonts w:hint="eastAsia"/>
                <w:color w:val="auto"/>
                <w:sz w:val="24"/>
              </w:rPr>
              <w:t>执行《地表水环境质量标准》（GB3838-2002）III类标准，根据上表可知，</w:t>
            </w:r>
            <w:r>
              <w:rPr>
                <w:rFonts w:hint="eastAsia"/>
                <w:color w:val="auto"/>
                <w:sz w:val="24"/>
                <w:lang w:val="en-US" w:eastAsia="zh-CN"/>
              </w:rPr>
              <w:t>东柳河例行</w:t>
            </w:r>
            <w:r>
              <w:rPr>
                <w:rFonts w:hint="eastAsia"/>
                <w:color w:val="auto"/>
                <w:sz w:val="24"/>
              </w:rPr>
              <w:t>监测断面水质能够满足《地表水环境质量标准》（GB3838-2002）III类标准，项目所在区地表水环境质量良好。</w:t>
            </w:r>
          </w:p>
          <w:p>
            <w:pPr>
              <w:widowControl/>
              <w:spacing w:line="360" w:lineRule="auto"/>
              <w:ind w:firstLine="482" w:firstLineChars="200"/>
              <w:jc w:val="left"/>
              <w:rPr>
                <w:rFonts w:hint="default" w:cs="Times New Roman"/>
                <w:b/>
                <w:bCs/>
                <w:color w:val="auto"/>
                <w:sz w:val="24"/>
                <w:szCs w:val="24"/>
                <w:lang w:val="en-US" w:eastAsia="zh-CN" w:bidi="ar"/>
              </w:rPr>
            </w:pPr>
            <w:r>
              <w:rPr>
                <w:rFonts w:hint="eastAsia" w:cs="Times New Roman"/>
                <w:b/>
                <w:bCs/>
                <w:color w:val="auto"/>
                <w:sz w:val="24"/>
                <w:szCs w:val="24"/>
                <w:lang w:val="en-US" w:eastAsia="zh-CN" w:bidi="ar"/>
              </w:rPr>
              <w:t>2、乌木滩水库地表水环境质量</w:t>
            </w:r>
          </w:p>
          <w:p>
            <w:pPr>
              <w:widowControl/>
              <w:spacing w:line="360" w:lineRule="auto"/>
              <w:ind w:firstLine="482" w:firstLineChars="200"/>
              <w:jc w:val="left"/>
              <w:rPr>
                <w:rFonts w:hint="default" w:ascii="Times New Roman" w:hAnsi="Times New Roman" w:cs="Times New Roman"/>
                <w:b/>
                <w:bCs/>
                <w:color w:val="auto"/>
                <w:sz w:val="24"/>
                <w:szCs w:val="24"/>
                <w:lang w:val="en-US" w:eastAsia="zh-CN" w:bidi="ar"/>
              </w:rPr>
            </w:pPr>
            <w:r>
              <w:rPr>
                <w:rFonts w:hint="eastAsia" w:cs="Times New Roman"/>
                <w:b/>
                <w:bCs/>
                <w:color w:val="auto"/>
                <w:sz w:val="24"/>
                <w:szCs w:val="24"/>
                <w:lang w:val="en-US" w:eastAsia="zh-CN" w:bidi="ar"/>
              </w:rPr>
              <w:t>（1）乌木滩水库地表水环境质量实测数据</w:t>
            </w:r>
          </w:p>
          <w:p>
            <w:pPr>
              <w:widowControl/>
              <w:spacing w:line="360" w:lineRule="auto"/>
              <w:ind w:firstLine="480" w:firstLineChars="200"/>
              <w:jc w:val="left"/>
              <w:rPr>
                <w:rFonts w:hint="default" w:ascii="Times New Roman" w:hAnsi="Times New Roman" w:cs="Times New Roman"/>
                <w:color w:val="auto"/>
                <w:sz w:val="24"/>
                <w:szCs w:val="24"/>
                <w:lang w:val="en-US" w:bidi="ar"/>
              </w:rPr>
            </w:pPr>
            <w:r>
              <w:rPr>
                <w:rFonts w:hint="eastAsia" w:ascii="Times New Roman" w:hAnsi="Times New Roman" w:cs="Times New Roman"/>
                <w:color w:val="auto"/>
                <w:sz w:val="24"/>
                <w:szCs w:val="24"/>
                <w:lang w:val="en-US" w:eastAsia="zh-CN" w:bidi="ar"/>
              </w:rPr>
              <w:t>本项目</w:t>
            </w:r>
            <w:r>
              <w:rPr>
                <w:rFonts w:hint="eastAsia" w:cs="Times New Roman"/>
                <w:color w:val="auto"/>
                <w:sz w:val="24"/>
                <w:szCs w:val="24"/>
                <w:lang w:val="en-US" w:eastAsia="zh-CN" w:bidi="ar"/>
              </w:rPr>
              <w:t>原水由</w:t>
            </w:r>
            <w:r>
              <w:rPr>
                <w:rFonts w:hint="eastAsia" w:ascii="Times New Roman" w:hAnsi="Times New Roman" w:cs="Times New Roman"/>
                <w:color w:val="auto"/>
                <w:sz w:val="24"/>
                <w:szCs w:val="24"/>
                <w:lang w:val="en-US" w:eastAsia="zh-CN" w:bidi="ar"/>
              </w:rPr>
              <w:t>乌木滩水库取水，</w:t>
            </w:r>
            <w:r>
              <w:rPr>
                <w:rFonts w:hint="eastAsia" w:cs="Times New Roman"/>
                <w:color w:val="auto"/>
                <w:sz w:val="24"/>
                <w:szCs w:val="24"/>
                <w:lang w:val="en-US" w:eastAsia="zh-CN" w:bidi="ar"/>
              </w:rPr>
              <w:t>本次评价</w:t>
            </w:r>
            <w:r>
              <w:rPr>
                <w:rFonts w:hint="eastAsia" w:ascii="Times New Roman" w:hAnsi="Times New Roman" w:cs="Times New Roman"/>
                <w:color w:val="auto"/>
                <w:sz w:val="24"/>
                <w:szCs w:val="24"/>
                <w:lang w:val="en-US" w:eastAsia="zh-CN" w:bidi="ar"/>
              </w:rPr>
              <w:t>引用</w:t>
            </w:r>
            <w:r>
              <w:rPr>
                <w:rFonts w:hint="eastAsia" w:cs="Times New Roman"/>
                <w:color w:val="auto"/>
                <w:sz w:val="24"/>
                <w:szCs w:val="24"/>
                <w:lang w:val="en-US" w:eastAsia="zh-CN" w:bidi="ar"/>
              </w:rPr>
              <w:t>2023年1月15日、17日达州市生态环境局委托四川省达州生态环境监测中心站、成都市华测检测技术有限公司对</w:t>
            </w:r>
            <w:r>
              <w:rPr>
                <w:rFonts w:hint="eastAsia" w:ascii="Times New Roman" w:hAnsi="Times New Roman" w:cs="Times New Roman"/>
                <w:color w:val="auto"/>
                <w:sz w:val="24"/>
                <w:szCs w:val="24"/>
                <w:lang w:val="en-US" w:eastAsia="zh-CN" w:bidi="ar"/>
              </w:rPr>
              <w:t>乌木滩水库水质的</w:t>
            </w:r>
            <w:r>
              <w:rPr>
                <w:rFonts w:hint="eastAsia" w:cs="Times New Roman"/>
                <w:color w:val="auto"/>
                <w:sz w:val="24"/>
                <w:szCs w:val="24"/>
                <w:lang w:val="en-US" w:eastAsia="zh-CN" w:bidi="ar"/>
              </w:rPr>
              <w:t>监测数据。</w: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jc w:val="both"/>
              <w:textAlignment w:val="auto"/>
              <w:rPr>
                <w:rFonts w:ascii="Times New Roman" w:hAnsi="Times New Roman" w:eastAsia="宋体" w:cs="Times New Roman"/>
                <w:b/>
                <w:bCs/>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①</w:t>
            </w:r>
            <w:r>
              <w:rPr>
                <w:rFonts w:ascii="Times New Roman" w:hAnsi="Times New Roman" w:eastAsia="宋体" w:cs="Times New Roman"/>
                <w:b/>
                <w:bCs/>
                <w:snapToGrid/>
                <w:color w:val="auto"/>
                <w:spacing w:val="0"/>
                <w:w w:val="100"/>
                <w:kern w:val="21"/>
                <w:position w:val="0"/>
              </w:rPr>
              <w:t>监测点位设置</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eastAsia="zh-CN"/>
              </w:rPr>
            </w:pPr>
            <w:r>
              <w:rPr>
                <w:rFonts w:hint="eastAsia" w:ascii="Times New Roman" w:hAnsi="Times New Roman" w:eastAsia="宋体" w:cs="Times New Roman"/>
                <w:b/>
                <w:bCs/>
                <w:snapToGrid/>
                <w:color w:val="auto"/>
                <w:spacing w:val="0"/>
                <w:w w:val="100"/>
                <w:kern w:val="21"/>
                <w:position w:val="0"/>
                <w:sz w:val="21"/>
                <w:szCs w:val="21"/>
                <w:lang w:eastAsia="zh-CN"/>
              </w:rPr>
              <w:t>表</w:t>
            </w:r>
            <w:r>
              <w:rPr>
                <w:rFonts w:hint="eastAsia" w:ascii="Times New Roman" w:hAnsi="Times New Roman" w:eastAsia="宋体" w:cs="Times New Roman"/>
                <w:b/>
                <w:bCs/>
                <w:snapToGrid/>
                <w:color w:val="auto"/>
                <w:spacing w:val="0"/>
                <w:w w:val="100"/>
                <w:kern w:val="21"/>
                <w:position w:val="0"/>
                <w:sz w:val="21"/>
                <w:szCs w:val="21"/>
                <w:lang w:val="en-US" w:eastAsia="zh-CN"/>
              </w:rPr>
              <w:t>3-</w:t>
            </w:r>
            <w:r>
              <w:rPr>
                <w:rFonts w:hint="eastAsia" w:cs="Times New Roman"/>
                <w:b/>
                <w:bCs/>
                <w:snapToGrid/>
                <w:color w:val="auto"/>
                <w:spacing w:val="0"/>
                <w:w w:val="100"/>
                <w:kern w:val="21"/>
                <w:position w:val="0"/>
                <w:sz w:val="21"/>
                <w:szCs w:val="21"/>
                <w:lang w:val="en-US" w:eastAsia="zh-CN"/>
              </w:rPr>
              <w:t>4</w:t>
            </w:r>
            <w:r>
              <w:rPr>
                <w:rFonts w:hint="eastAsia" w:ascii="Times New Roman" w:hAnsi="Times New Roman" w:eastAsia="宋体" w:cs="Times New Roman"/>
                <w:b/>
                <w:bCs/>
                <w:snapToGrid/>
                <w:color w:val="auto"/>
                <w:spacing w:val="0"/>
                <w:w w:val="100"/>
                <w:kern w:val="21"/>
                <w:position w:val="0"/>
                <w:sz w:val="21"/>
                <w:szCs w:val="21"/>
                <w:lang w:val="en-US" w:eastAsia="zh-CN"/>
              </w:rPr>
              <w:t xml:space="preserve"> </w:t>
            </w:r>
            <w:r>
              <w:rPr>
                <w:rFonts w:hint="eastAsia" w:ascii="Times New Roman" w:hAnsi="Times New Roman" w:eastAsia="宋体" w:cs="Times New Roman"/>
                <w:b/>
                <w:bCs/>
                <w:snapToGrid/>
                <w:color w:val="auto"/>
                <w:spacing w:val="0"/>
                <w:w w:val="100"/>
                <w:kern w:val="21"/>
                <w:position w:val="0"/>
                <w:sz w:val="21"/>
                <w:szCs w:val="21"/>
                <w:lang w:eastAsia="zh-CN"/>
              </w:rPr>
              <w:t xml:space="preserve"> 地表水环境现状监测断面布设一览表</w:t>
            </w:r>
          </w:p>
          <w:tbl>
            <w:tblPr>
              <w:tblStyle w:val="28"/>
              <w:tblW w:w="78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5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1975" w:type="dxa"/>
                  <w:tcBorders>
                    <w:top w:val="single" w:color="auto" w:sz="4" w:space="0"/>
                    <w:left w:val="single" w:color="auto" w:sz="0"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监测点位</w:t>
                  </w:r>
                </w:p>
              </w:tc>
              <w:tc>
                <w:tcPr>
                  <w:tcW w:w="5920" w:type="dxa"/>
                  <w:tcBorders>
                    <w:top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w:t>
                  </w:r>
                  <w:r>
                    <w:rPr>
                      <w:rFonts w:hint="eastAsia" w:cs="Times New Roman"/>
                      <w:b/>
                      <w:snapToGrid/>
                      <w:color w:val="auto"/>
                      <w:spacing w:val="0"/>
                      <w:w w:val="100"/>
                      <w:kern w:val="21"/>
                      <w:position w:val="0"/>
                      <w:sz w:val="21"/>
                      <w:szCs w:val="21"/>
                      <w:lang w:val="en-US" w:eastAsia="zh-CN"/>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975" w:type="dxa"/>
                  <w:tcBorders>
                    <w:left w:val="single" w:color="auto" w:sz="4" w:space="0"/>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ascii="Times New Roman" w:hAnsi="Times New Roman" w:eastAsia="宋体" w:cs="Times New Roman"/>
                      <w:snapToGrid/>
                      <w:color w:val="auto"/>
                      <w:spacing w:val="0"/>
                      <w:w w:val="100"/>
                      <w:kern w:val="21"/>
                      <w:position w:val="0"/>
                      <w:sz w:val="21"/>
                      <w:szCs w:val="21"/>
                    </w:rPr>
                    <w:t>1#</w:t>
                  </w:r>
                </w:p>
              </w:tc>
              <w:tc>
                <w:tcPr>
                  <w:tcW w:w="5920" w:type="dxa"/>
                  <w:tcBorders>
                    <w:bottom w:val="single" w:color="auto" w:sz="4" w:space="0"/>
                    <w:right w:val="single" w:color="auto" w:sz="4" w:space="0"/>
                  </w:tcBorders>
                  <w:vAlign w:val="center"/>
                </w:tcPr>
                <w:p>
                  <w:pPr>
                    <w:pStyle w:val="1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ascii="Times New Roman" w:hAnsi="Times New Roman" w:eastAsia="宋体" w:cs="Times New Roman"/>
                      <w:color w:val="auto"/>
                      <w:sz w:val="21"/>
                      <w:szCs w:val="21"/>
                      <w:vertAlign w:val="baseline"/>
                      <w:lang w:val="en-US" w:eastAsia="zh-CN"/>
                    </w:rPr>
                    <w:t>乌木滩水库</w:t>
                  </w:r>
                </w:p>
              </w:tc>
            </w:tr>
          </w:tbl>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②</w:t>
            </w:r>
            <w:r>
              <w:rPr>
                <w:rFonts w:ascii="Times New Roman" w:hAnsi="Times New Roman" w:eastAsia="宋体" w:cs="Times New Roman"/>
                <w:b/>
                <w:snapToGrid/>
                <w:color w:val="auto"/>
                <w:spacing w:val="0"/>
                <w:w w:val="100"/>
                <w:kern w:val="21"/>
                <w:position w:val="0"/>
              </w:rPr>
              <w:t>监测项目、时间和频次</w: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rPr>
            </w:pPr>
            <w:r>
              <w:rPr>
                <w:rFonts w:hint="eastAsia" w:ascii="Times New Roman" w:cs="Times New Roman"/>
                <w:snapToGrid/>
                <w:color w:val="auto"/>
                <w:spacing w:val="0"/>
                <w:w w:val="100"/>
                <w:kern w:val="21"/>
                <w:position w:val="0"/>
                <w:lang w:val="en-US" w:eastAsia="zh-CN"/>
              </w:rPr>
              <w:t>乌木滩水库</w:t>
            </w:r>
            <w:r>
              <w:rPr>
                <w:rFonts w:ascii="Times New Roman" w:hAnsi="Times New Roman" w:eastAsia="宋体" w:cs="Times New Roman"/>
                <w:snapToGrid/>
                <w:color w:val="auto"/>
                <w:spacing w:val="0"/>
                <w:w w:val="100"/>
                <w:kern w:val="21"/>
                <w:position w:val="0"/>
              </w:rPr>
              <w:t>监测项目、监测时间及频率见下表。</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lang w:eastAsia="zh-CN"/>
              </w:rPr>
            </w:pPr>
            <w:r>
              <w:rPr>
                <w:rFonts w:hint="eastAsia" w:ascii="Times New Roman" w:hAnsi="Times New Roman" w:eastAsia="宋体" w:cs="Times New Roman"/>
                <w:b/>
                <w:bCs/>
                <w:snapToGrid/>
                <w:color w:val="auto"/>
                <w:spacing w:val="0"/>
                <w:w w:val="100"/>
                <w:kern w:val="21"/>
                <w:position w:val="0"/>
                <w:sz w:val="21"/>
                <w:szCs w:val="21"/>
                <w:lang w:eastAsia="zh-CN"/>
              </w:rPr>
              <w:t>表</w:t>
            </w:r>
            <w:r>
              <w:rPr>
                <w:rFonts w:hint="eastAsia" w:ascii="Times New Roman" w:hAnsi="Times New Roman" w:eastAsia="宋体" w:cs="Times New Roman"/>
                <w:b/>
                <w:bCs/>
                <w:snapToGrid/>
                <w:color w:val="auto"/>
                <w:spacing w:val="0"/>
                <w:w w:val="100"/>
                <w:kern w:val="21"/>
                <w:position w:val="0"/>
                <w:sz w:val="21"/>
                <w:szCs w:val="21"/>
                <w:lang w:val="en-US" w:eastAsia="zh-CN"/>
              </w:rPr>
              <w:t>3-</w:t>
            </w:r>
            <w:r>
              <w:rPr>
                <w:rFonts w:hint="eastAsia" w:cs="Times New Roman"/>
                <w:b/>
                <w:bCs/>
                <w:snapToGrid/>
                <w:color w:val="auto"/>
                <w:spacing w:val="0"/>
                <w:w w:val="100"/>
                <w:kern w:val="21"/>
                <w:position w:val="0"/>
                <w:sz w:val="21"/>
                <w:szCs w:val="21"/>
                <w:lang w:val="en-US" w:eastAsia="zh-CN"/>
              </w:rPr>
              <w:t>5</w:t>
            </w:r>
            <w:r>
              <w:rPr>
                <w:rFonts w:hint="eastAsia" w:ascii="Times New Roman" w:hAnsi="Times New Roman" w:eastAsia="宋体" w:cs="Times New Roman"/>
                <w:b/>
                <w:bCs/>
                <w:snapToGrid/>
                <w:color w:val="auto"/>
                <w:spacing w:val="0"/>
                <w:w w:val="100"/>
                <w:kern w:val="21"/>
                <w:position w:val="0"/>
                <w:sz w:val="21"/>
                <w:szCs w:val="21"/>
                <w:lang w:eastAsia="zh-CN"/>
              </w:rPr>
              <w:t xml:space="preserve">  </w:t>
            </w:r>
            <w:r>
              <w:rPr>
                <w:rFonts w:hint="eastAsia" w:cs="Times New Roman"/>
                <w:b/>
                <w:bCs/>
                <w:snapToGrid/>
                <w:color w:val="auto"/>
                <w:spacing w:val="0"/>
                <w:w w:val="100"/>
                <w:kern w:val="21"/>
                <w:position w:val="0"/>
                <w:sz w:val="21"/>
                <w:szCs w:val="21"/>
                <w:lang w:val="en-US" w:eastAsia="zh-CN"/>
              </w:rPr>
              <w:t>乌木滩水库地表水环境质量</w:t>
            </w:r>
            <w:r>
              <w:rPr>
                <w:rFonts w:hint="eastAsia" w:ascii="Times New Roman" w:hAnsi="Times New Roman" w:eastAsia="宋体" w:cs="Times New Roman"/>
                <w:b/>
                <w:bCs/>
                <w:snapToGrid/>
                <w:color w:val="auto"/>
                <w:spacing w:val="0"/>
                <w:w w:val="100"/>
                <w:kern w:val="21"/>
                <w:position w:val="0"/>
                <w:sz w:val="21"/>
                <w:szCs w:val="21"/>
                <w:lang w:eastAsia="zh-CN"/>
              </w:rPr>
              <w:t>监测情况一览表</w:t>
            </w:r>
          </w:p>
          <w:tbl>
            <w:tblPr>
              <w:tblStyle w:val="28"/>
              <w:tblW w:w="78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84"/>
              <w:gridCol w:w="5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blHeader/>
              </w:trPr>
              <w:tc>
                <w:tcPr>
                  <w:tcW w:w="1198" w:type="dxa"/>
                  <w:tcBorders>
                    <w:top w:val="single" w:color="auto" w:sz="4" w:space="0"/>
                    <w:left w:val="single" w:color="auto" w:sz="0"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highlight w:val="none"/>
                    </w:rPr>
                    <w:t>监测时间</w:t>
                  </w:r>
                </w:p>
              </w:tc>
              <w:tc>
                <w:tcPr>
                  <w:tcW w:w="1084" w:type="dxa"/>
                  <w:tcBorders>
                    <w:top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监测频次</w:t>
                  </w:r>
                </w:p>
              </w:tc>
              <w:tc>
                <w:tcPr>
                  <w:tcW w:w="5609" w:type="dxa"/>
                  <w:tcBorders>
                    <w:top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198" w:type="dxa"/>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2023年1月15日（取样日期）</w:t>
                  </w:r>
                </w:p>
              </w:tc>
              <w:tc>
                <w:tcPr>
                  <w:tcW w:w="1084"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snapToGrid/>
                      <w:color w:val="auto"/>
                      <w:spacing w:val="0"/>
                      <w:w w:val="100"/>
                      <w:kern w:val="21"/>
                      <w:position w:val="0"/>
                      <w:sz w:val="21"/>
                      <w:szCs w:val="21"/>
                    </w:rPr>
                  </w:pPr>
                  <w:r>
                    <w:rPr>
                      <w:rFonts w:hint="eastAsia" w:cs="Times New Roman"/>
                      <w:snapToGrid/>
                      <w:color w:val="auto"/>
                      <w:spacing w:val="0"/>
                      <w:w w:val="100"/>
                      <w:kern w:val="21"/>
                      <w:position w:val="0"/>
                      <w:sz w:val="21"/>
                      <w:szCs w:val="21"/>
                      <w:lang w:val="en-US" w:eastAsia="zh-CN"/>
                    </w:rPr>
                    <w:t>一次采样监测</w:t>
                  </w:r>
                </w:p>
              </w:tc>
              <w:tc>
                <w:tcPr>
                  <w:tcW w:w="5609"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right="0" w:rightChars="0"/>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总计37项：环氧氯丙烷、氯乙烯、丙烯醛、三氯乙醛、1,2,3-三氯苯、1,2,4-三氯苯、1,3,5-三氯苯、1,2,3,4-四氯苯、1,2,3,5-四氯苯、1,2,4,5-四氯苯、六氯苯、2,4-二氯苯酚、2,4,6-三氯苯酚、五氯酚、苯胺、联苯胺、丙烯酰胺、丙烯腈、肼（以水合肼计）、四乙基铅、吡啶、松节油、苦味酸、丁基黄原酸、滴滴涕（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-DDE、2,4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-DDD、4,4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-DDT）、γ-六六六（林丹）、环氧七氯、对硫磷、甲基对硫磷、乐果、马拉硫磷、敌敌畏、敌百虫、内吸磷、百菌清、甲萘威、溴氰菊酯、甲基汞、多氯联苯（总量）、微囊藻毒素-LR、黄磷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1198" w:type="dxa"/>
                  <w:tcBorders>
                    <w:left w:val="single" w:color="auto" w:sz="4" w:space="0"/>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2023年1月15日</w:t>
                  </w:r>
                </w:p>
              </w:tc>
              <w:tc>
                <w:tcPr>
                  <w:tcW w:w="1084" w:type="dxa"/>
                  <w:vMerge w:val="continue"/>
                  <w:tcBorders>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snapToGrid/>
                      <w:color w:val="auto"/>
                      <w:spacing w:val="0"/>
                      <w:w w:val="100"/>
                      <w:kern w:val="21"/>
                      <w:position w:val="0"/>
                      <w:sz w:val="21"/>
                      <w:szCs w:val="21"/>
                    </w:rPr>
                  </w:pPr>
                </w:p>
              </w:tc>
              <w:tc>
                <w:tcPr>
                  <w:tcW w:w="5609" w:type="dxa"/>
                  <w:tcBorders>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right="0" w:rightChars="0"/>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总计72项：水温、</w:t>
                  </w:r>
                  <w:r>
                    <w:rPr>
                      <w:rFonts w:hint="eastAsia" w:ascii="Times New Roman" w:hAnsi="Times New Roman" w:cs="Times New Roman"/>
                      <w:color w:val="auto"/>
                      <w:sz w:val="21"/>
                      <w:szCs w:val="21"/>
                      <w:lang w:val="en-US" w:eastAsia="zh-CN"/>
                    </w:rPr>
                    <w:t>溶解氧、</w:t>
                  </w:r>
                  <w:r>
                    <w:rPr>
                      <w:rFonts w:hint="eastAsia" w:cs="Times New Roman"/>
                      <w:color w:val="auto"/>
                      <w:sz w:val="21"/>
                      <w:szCs w:val="21"/>
                      <w:lang w:val="en-US" w:eastAsia="zh-CN"/>
                    </w:rPr>
                    <w:t>p</w:t>
                  </w:r>
                  <w:r>
                    <w:rPr>
                      <w:rFonts w:hint="default"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lang w:val="en-US" w:eastAsia="zh-CN"/>
                    </w:rPr>
                    <w:t>、高锰酸盐指数</w:t>
                  </w:r>
                  <w:r>
                    <w:rPr>
                      <w:rFonts w:hint="eastAsia" w:cs="Times New Roman"/>
                      <w:color w:val="auto"/>
                      <w:sz w:val="21"/>
                      <w:szCs w:val="21"/>
                      <w:lang w:val="en-US" w:eastAsia="zh-CN"/>
                    </w:rPr>
                    <w:t>、化学需氧量（COD）</w:t>
                  </w:r>
                  <w:r>
                    <w:rPr>
                      <w:rFonts w:hint="eastAsia" w:ascii="Times New Roman" w:hAnsi="Times New Roman" w:cs="Times New Roman"/>
                      <w:color w:val="auto"/>
                      <w:sz w:val="21"/>
                      <w:szCs w:val="21"/>
                      <w:lang w:val="en-US" w:eastAsia="zh-CN"/>
                    </w:rPr>
                    <w:t>、五日生化需氧量</w:t>
                  </w:r>
                  <w:r>
                    <w:rPr>
                      <w:rFonts w:hint="eastAsia" w:cs="Times New Roman"/>
                      <w:color w:val="auto"/>
                      <w:sz w:val="21"/>
                      <w:szCs w:val="21"/>
                      <w:lang w:val="en-US" w:eastAsia="zh-CN"/>
                    </w:rPr>
                    <w:t>（BOD</w:t>
                  </w:r>
                  <w:r>
                    <w:rPr>
                      <w:rFonts w:hint="eastAsia" w:cs="Times New Roman"/>
                      <w:color w:val="auto"/>
                      <w:sz w:val="21"/>
                      <w:szCs w:val="21"/>
                      <w:vertAlign w:val="subscript"/>
                      <w:lang w:val="en-US" w:eastAsia="zh-CN"/>
                    </w:rPr>
                    <w:t>5</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、氨氮、铬</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六价</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总氮、</w:t>
                  </w:r>
                  <w:r>
                    <w:rPr>
                      <w:rFonts w:hint="eastAsia" w:ascii="Times New Roman" w:hAnsi="Times New Roman" w:cs="Times New Roman"/>
                      <w:color w:val="auto"/>
                      <w:sz w:val="21"/>
                      <w:szCs w:val="21"/>
                      <w:lang w:val="en-US" w:eastAsia="zh-CN"/>
                    </w:rPr>
                    <w:t>总磷</w:t>
                  </w:r>
                  <w:r>
                    <w:rPr>
                      <w:rFonts w:hint="eastAsia" w:cs="Times New Roman"/>
                      <w:color w:val="auto"/>
                      <w:sz w:val="21"/>
                      <w:szCs w:val="21"/>
                      <w:lang w:val="en-US" w:eastAsia="zh-CN"/>
                    </w:rPr>
                    <w:t>（以P计）</w:t>
                  </w:r>
                  <w:r>
                    <w:rPr>
                      <w:rFonts w:hint="eastAsia" w:ascii="Times New Roman" w:hAnsi="Times New Roman" w:cs="Times New Roman"/>
                      <w:color w:val="auto"/>
                      <w:sz w:val="21"/>
                      <w:szCs w:val="21"/>
                      <w:lang w:val="en-US" w:eastAsia="zh-CN"/>
                    </w:rPr>
                    <w:t>、氰化物</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挥发酚、阴离子表面活性剂、硫化物</w:t>
                  </w:r>
                  <w:r>
                    <w:rPr>
                      <w:rFonts w:hint="eastAsia" w:cs="Times New Roman"/>
                      <w:color w:val="auto"/>
                      <w:sz w:val="21"/>
                      <w:szCs w:val="21"/>
                      <w:lang w:val="en-US" w:eastAsia="zh-CN"/>
                    </w:rPr>
                    <w:t>、石油类、粪大肠菌群、氟化物（以F</w:t>
                  </w:r>
                  <w:r>
                    <w:rPr>
                      <w:rFonts w:hint="eastAsia" w:cs="Times New Roman"/>
                      <w:color w:val="auto"/>
                      <w:sz w:val="21"/>
                      <w:szCs w:val="21"/>
                      <w:vertAlign w:val="superscript"/>
                      <w:lang w:val="en-US" w:eastAsia="zh-CN"/>
                    </w:rPr>
                    <w:t>-</w:t>
                  </w:r>
                  <w:r>
                    <w:rPr>
                      <w:rFonts w:hint="eastAsia" w:cs="Times New Roman"/>
                      <w:color w:val="auto"/>
                      <w:sz w:val="21"/>
                      <w:szCs w:val="21"/>
                      <w:lang w:val="en-US" w:eastAsia="zh-CN"/>
                    </w:rPr>
                    <w:t>计）</w:t>
                  </w:r>
                  <w:r>
                    <w:rPr>
                      <w:rFonts w:hint="eastAsia" w:ascii="Times New Roman" w:hAnsi="Times New Roman" w:cs="Times New Roman"/>
                      <w:color w:val="auto"/>
                      <w:sz w:val="21"/>
                      <w:szCs w:val="21"/>
                      <w:lang w:val="en-US" w:eastAsia="zh-CN"/>
                    </w:rPr>
                    <w:t>、氯化物</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硫酸盐、硝酸盐</w:t>
                  </w:r>
                  <w:r>
                    <w:rPr>
                      <w:rFonts w:hint="eastAsia" w:cs="Times New Roman"/>
                      <w:color w:val="auto"/>
                      <w:sz w:val="21"/>
                      <w:szCs w:val="21"/>
                      <w:lang w:val="en-US" w:eastAsia="zh-CN"/>
                    </w:rPr>
                    <w:t>(以N计)、</w:t>
                  </w:r>
                  <w:r>
                    <w:rPr>
                      <w:rFonts w:hint="eastAsia" w:ascii="Times New Roman" w:hAnsi="Times New Roman" w:cs="Times New Roman"/>
                      <w:color w:val="auto"/>
                      <w:sz w:val="21"/>
                      <w:szCs w:val="21"/>
                      <w:lang w:val="en-US" w:eastAsia="zh-CN"/>
                    </w:rPr>
                    <w:t>汞、铜、锌、</w:t>
                  </w:r>
                  <w:r>
                    <w:rPr>
                      <w:rFonts w:hint="eastAsia" w:cs="Times New Roman"/>
                      <w:color w:val="auto"/>
                      <w:sz w:val="21"/>
                      <w:szCs w:val="21"/>
                      <w:lang w:val="en-US" w:eastAsia="zh-CN"/>
                    </w:rPr>
                    <w:t>镉、</w:t>
                  </w:r>
                  <w:r>
                    <w:rPr>
                      <w:rFonts w:hint="eastAsia" w:ascii="Times New Roman" w:hAnsi="Times New Roman" w:cs="Times New Roman"/>
                      <w:color w:val="auto"/>
                      <w:sz w:val="21"/>
                      <w:szCs w:val="21"/>
                      <w:lang w:val="en-US" w:eastAsia="zh-CN"/>
                    </w:rPr>
                    <w:t>铅、硒、砷、铁、锰</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三氯甲烷、四氯化碳、三溴甲烷、二氯甲烷、1,2-二氯乙烷、1,1-二氯乙烯、1,2-二氯乙烯、三氯乙烯、四氯乙烯、氯丁二烯、六氯丁二烯、苯乙烯、甲醛、乙醛、苯、甲苯、乙苯、二甲苯、异丙苯、氯苯、1,2-二氯苯、1.4 二氯苯、硝基苯、二硝基苯、2,4 二硝基甲苯、2,4,6-三硝基甲苯、硝基氣苯、2,4-二硝基氯苯、活性氯、阿特拉津、苯并(</w:t>
                  </w:r>
                  <w:r>
                    <w:rPr>
                      <w:rFonts w:hint="eastAsia" w:cs="Times New Roman"/>
                      <w:color w:val="auto"/>
                      <w:sz w:val="21"/>
                      <w:szCs w:val="21"/>
                      <w:lang w:val="en-US" w:eastAsia="zh-CN"/>
                    </w:rPr>
                    <w:t>α</w:t>
                  </w:r>
                  <w:r>
                    <w:rPr>
                      <w:rFonts w:hint="eastAsia" w:ascii="Times New Roman" w:hAnsi="Times New Roman" w:cs="Times New Roman"/>
                      <w:color w:val="auto"/>
                      <w:sz w:val="21"/>
                      <w:szCs w:val="21"/>
                      <w:lang w:val="en-US" w:eastAsia="zh-CN"/>
                    </w:rPr>
                    <w:t>)芘、邻苯二甲酸二丁酯、邻苯二甲酸二(2-乙基已基)酯、钼、钴、铍、硼、锑、镍、钡、钒、钛、铊</w:t>
                  </w:r>
                </w:p>
              </w:tc>
            </w:tr>
          </w:tbl>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③</w:t>
            </w:r>
            <w:r>
              <w:rPr>
                <w:rFonts w:ascii="Times New Roman" w:hAnsi="Times New Roman" w:eastAsia="宋体" w:cs="Times New Roman"/>
                <w:b/>
                <w:snapToGrid/>
                <w:color w:val="auto"/>
                <w:spacing w:val="0"/>
                <w:w w:val="100"/>
                <w:kern w:val="21"/>
                <w:position w:val="0"/>
              </w:rPr>
              <w:t>评价标准</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napToGrid/>
                <w:color w:val="auto"/>
                <w:spacing w:val="0"/>
                <w:w w:val="100"/>
                <w:kern w:val="21"/>
                <w:position w:val="0"/>
                <w:sz w:val="24"/>
                <w:szCs w:val="24"/>
                <w:lang w:val="en-US" w:eastAsia="zh-CN"/>
              </w:rPr>
            </w:pPr>
            <w:r>
              <w:rPr>
                <w:rFonts w:hint="default" w:ascii="Times New Roman" w:hAnsi="Times New Roman" w:eastAsia="宋体" w:cs="Times New Roman"/>
                <w:snapToGrid/>
                <w:color w:val="auto"/>
                <w:spacing w:val="0"/>
                <w:w w:val="100"/>
                <w:kern w:val="21"/>
                <w:position w:val="0"/>
                <w:sz w:val="24"/>
                <w:szCs w:val="24"/>
              </w:rPr>
              <w:t>执行《地</w:t>
            </w:r>
            <w:r>
              <w:rPr>
                <w:rFonts w:hint="default" w:ascii="Times New Roman" w:hAnsi="Times New Roman" w:eastAsia="宋体" w:cs="Times New Roman"/>
                <w:snapToGrid/>
                <w:color w:val="auto"/>
                <w:spacing w:val="0"/>
                <w:w w:val="100"/>
                <w:kern w:val="21"/>
                <w:position w:val="0"/>
                <w:sz w:val="24"/>
                <w:szCs w:val="24"/>
                <w:lang w:eastAsia="zh-CN"/>
              </w:rPr>
              <w:t>表</w:t>
            </w:r>
            <w:r>
              <w:rPr>
                <w:rFonts w:hint="default" w:ascii="Times New Roman" w:hAnsi="Times New Roman" w:eastAsia="宋体" w:cs="Times New Roman"/>
                <w:snapToGrid/>
                <w:color w:val="auto"/>
                <w:spacing w:val="0"/>
                <w:w w:val="100"/>
                <w:kern w:val="21"/>
                <w:position w:val="0"/>
                <w:sz w:val="24"/>
                <w:szCs w:val="24"/>
              </w:rPr>
              <w:t>水</w:t>
            </w:r>
            <w:r>
              <w:rPr>
                <w:rFonts w:hint="default" w:ascii="Times New Roman" w:hAnsi="Times New Roman" w:eastAsia="宋体" w:cs="Times New Roman"/>
                <w:snapToGrid/>
                <w:color w:val="auto"/>
                <w:spacing w:val="0"/>
                <w:w w:val="100"/>
                <w:kern w:val="21"/>
                <w:position w:val="0"/>
                <w:sz w:val="24"/>
                <w:szCs w:val="24"/>
                <w:lang w:eastAsia="zh-CN"/>
              </w:rPr>
              <w:t>环境</w:t>
            </w:r>
            <w:r>
              <w:rPr>
                <w:rFonts w:hint="default" w:ascii="Times New Roman" w:hAnsi="Times New Roman" w:eastAsia="宋体" w:cs="Times New Roman"/>
                <w:snapToGrid/>
                <w:color w:val="auto"/>
                <w:spacing w:val="0"/>
                <w:w w:val="100"/>
                <w:kern w:val="21"/>
                <w:position w:val="0"/>
                <w:sz w:val="24"/>
                <w:szCs w:val="24"/>
              </w:rPr>
              <w:t>质量标准》（GB</w:t>
            </w:r>
            <w:r>
              <w:rPr>
                <w:rFonts w:hint="default" w:ascii="Times New Roman" w:hAnsi="Times New Roman" w:eastAsia="宋体" w:cs="Times New Roman"/>
                <w:snapToGrid/>
                <w:color w:val="auto"/>
                <w:spacing w:val="0"/>
                <w:w w:val="100"/>
                <w:kern w:val="21"/>
                <w:position w:val="0"/>
                <w:sz w:val="24"/>
                <w:szCs w:val="24"/>
                <w:lang w:val="en-US" w:eastAsia="zh-CN"/>
              </w:rPr>
              <w:t>3838</w:t>
            </w:r>
            <w:r>
              <w:rPr>
                <w:rFonts w:hint="default" w:ascii="Times New Roman" w:hAnsi="Times New Roman" w:eastAsia="宋体" w:cs="Times New Roman"/>
                <w:snapToGrid/>
                <w:color w:val="auto"/>
                <w:spacing w:val="0"/>
                <w:w w:val="100"/>
                <w:kern w:val="21"/>
                <w:position w:val="0"/>
                <w:sz w:val="24"/>
                <w:szCs w:val="24"/>
              </w:rPr>
              <w:t>-20</w:t>
            </w:r>
            <w:r>
              <w:rPr>
                <w:rFonts w:hint="default" w:ascii="Times New Roman" w:hAnsi="Times New Roman" w:eastAsia="宋体" w:cs="Times New Roman"/>
                <w:snapToGrid/>
                <w:color w:val="auto"/>
                <w:spacing w:val="0"/>
                <w:w w:val="100"/>
                <w:kern w:val="21"/>
                <w:position w:val="0"/>
                <w:sz w:val="24"/>
                <w:szCs w:val="24"/>
                <w:lang w:val="en-US" w:eastAsia="zh-CN"/>
              </w:rPr>
              <w:t>02</w:t>
            </w:r>
            <w:r>
              <w:rPr>
                <w:rFonts w:hint="default" w:ascii="Times New Roman" w:hAnsi="Times New Roman" w:eastAsia="宋体" w:cs="Times New Roman"/>
                <w:snapToGrid/>
                <w:color w:val="auto"/>
                <w:spacing w:val="0"/>
                <w:w w:val="100"/>
                <w:kern w:val="21"/>
                <w:position w:val="0"/>
                <w:sz w:val="24"/>
                <w:szCs w:val="24"/>
              </w:rPr>
              <w:t>）</w:t>
            </w:r>
            <w:r>
              <w:rPr>
                <w:rFonts w:hint="eastAsia" w:cs="Times New Roman"/>
                <w:snapToGrid/>
                <w:color w:val="auto"/>
                <w:spacing w:val="0"/>
                <w:w w:val="100"/>
                <w:kern w:val="21"/>
                <w:position w:val="0"/>
                <w:sz w:val="24"/>
                <w:szCs w:val="24"/>
                <w:lang w:val="en-US" w:eastAsia="zh-CN"/>
              </w:rPr>
              <w:t>表1</w:t>
            </w:r>
            <w:r>
              <w:rPr>
                <w:rFonts w:hint="default" w:ascii="Times New Roman" w:hAnsi="Times New Roman" w:eastAsia="宋体" w:cs="Times New Roman"/>
                <w:snapToGrid/>
                <w:color w:val="auto"/>
                <w:spacing w:val="0"/>
                <w:w w:val="100"/>
                <w:kern w:val="21"/>
                <w:position w:val="0"/>
                <w:sz w:val="24"/>
                <w:szCs w:val="24"/>
              </w:rPr>
              <w:t>中Ⅲ类水质标准</w:t>
            </w:r>
            <w:r>
              <w:rPr>
                <w:rFonts w:hint="default" w:ascii="Times New Roman" w:hAnsi="Times New Roman" w:eastAsia="宋体" w:cs="Times New Roman"/>
                <w:snapToGrid/>
                <w:color w:val="auto"/>
                <w:spacing w:val="0"/>
                <w:w w:val="100"/>
                <w:kern w:val="21"/>
                <w:position w:val="0"/>
                <w:sz w:val="24"/>
                <w:szCs w:val="24"/>
                <w:lang w:eastAsia="zh-CN"/>
              </w:rPr>
              <w:t>和表</w:t>
            </w:r>
            <w:r>
              <w:rPr>
                <w:rFonts w:hint="eastAsia" w:cs="Times New Roman"/>
                <w:snapToGrid/>
                <w:color w:val="auto"/>
                <w:spacing w:val="0"/>
                <w:w w:val="100"/>
                <w:kern w:val="21"/>
                <w:position w:val="0"/>
                <w:sz w:val="24"/>
                <w:szCs w:val="24"/>
                <w:lang w:val="en-US" w:eastAsia="zh-CN"/>
              </w:rPr>
              <w:t>2</w:t>
            </w:r>
            <w:r>
              <w:rPr>
                <w:rFonts w:hint="default" w:ascii="Times New Roman" w:hAnsi="Times New Roman" w:eastAsia="宋体" w:cs="Times New Roman"/>
                <w:snapToGrid/>
                <w:color w:val="auto"/>
                <w:spacing w:val="0"/>
                <w:w w:val="100"/>
                <w:kern w:val="21"/>
                <w:position w:val="0"/>
                <w:sz w:val="24"/>
                <w:szCs w:val="24"/>
                <w:lang w:val="en-US" w:eastAsia="zh-CN"/>
              </w:rPr>
              <w:t>、表</w:t>
            </w:r>
            <w:r>
              <w:rPr>
                <w:rFonts w:hint="eastAsia" w:cs="Times New Roman"/>
                <w:snapToGrid/>
                <w:color w:val="auto"/>
                <w:spacing w:val="0"/>
                <w:w w:val="100"/>
                <w:kern w:val="21"/>
                <w:position w:val="0"/>
                <w:sz w:val="24"/>
                <w:szCs w:val="24"/>
                <w:lang w:val="en-US" w:eastAsia="zh-CN"/>
              </w:rPr>
              <w:t>3中标准限值</w:t>
            </w:r>
            <w:r>
              <w:rPr>
                <w:rFonts w:hint="default" w:ascii="Times New Roman" w:hAnsi="Times New Roman" w:eastAsia="宋体" w:cs="Times New Roman"/>
                <w:snapToGrid/>
                <w:color w:val="auto"/>
                <w:spacing w:val="0"/>
                <w:w w:val="100"/>
                <w:kern w:val="21"/>
                <w:position w:val="0"/>
                <w:sz w:val="24"/>
                <w:szCs w:val="24"/>
                <w:lang w:eastAsia="zh-CN"/>
              </w:rPr>
              <w:t>。</w:t>
            </w:r>
            <w:r>
              <w:rPr>
                <w:rFonts w:hint="eastAsia" w:cs="Times New Roman"/>
                <w:snapToGrid/>
                <w:color w:val="auto"/>
                <w:spacing w:val="0"/>
                <w:w w:val="100"/>
                <w:kern w:val="21"/>
                <w:position w:val="0"/>
                <w:sz w:val="24"/>
                <w:szCs w:val="24"/>
                <w:lang w:val="en-US" w:eastAsia="zh-CN"/>
              </w:rPr>
              <w:t>其中水温不纳入评价，总氮、粪大肠菌群作为参考指标单独评价。</w: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④</w:t>
            </w:r>
            <w:r>
              <w:rPr>
                <w:rFonts w:ascii="Times New Roman" w:hAnsi="Times New Roman" w:eastAsia="宋体" w:cs="Times New Roman"/>
                <w:b/>
                <w:snapToGrid/>
                <w:color w:val="auto"/>
                <w:spacing w:val="0"/>
                <w:w w:val="100"/>
                <w:kern w:val="21"/>
                <w:position w:val="0"/>
              </w:rPr>
              <w:t>评价方法</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①对于一般污染物：</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采用单项质量指数法对各评价因子进行单项水质参数评价，计算方法如下：</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Sij=Cij/Csi</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式中：Sij——i污染物在第j点的标准指数；</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1200" w:firstLineChars="5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Cij——i污染物在第j点的实测浓度（mg/L）；</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1200" w:firstLineChars="5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Csi——i污染物的标准限值（mg/L</w:t>
            </w:r>
            <w:r>
              <w:rPr>
                <w:rFonts w:hint="eastAsia" w:ascii="Times New Roman" w:hAnsi="Times New Roman" w:eastAsia="宋体"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②pH的标准指数为：</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napToGrid/>
                <w:color w:val="auto"/>
                <w:spacing w:val="0"/>
                <w:w w:val="100"/>
                <w:kern w:val="21"/>
                <w:position w:val="0"/>
                <w:sz w:val="24"/>
                <w:szCs w:val="24"/>
                <w:lang w:eastAsia="zh-CN"/>
              </w:rPr>
            </w:pPr>
            <w:r>
              <w:rPr>
                <w:rFonts w:ascii="Times New Roman" w:hAnsi="Times New Roman" w:eastAsia="宋体" w:cs="Times New Roman"/>
                <w:snapToGrid/>
                <w:color w:val="auto"/>
                <w:spacing w:val="0"/>
                <w:w w:val="100"/>
                <w:kern w:val="21"/>
                <w:position w:val="0"/>
                <w:sz w:val="24"/>
                <w:szCs w:val="24"/>
              </w:rPr>
              <w:t>SpH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7.0-pH</w:t>
            </w:r>
            <w:r>
              <w:rPr>
                <w:rFonts w:ascii="Times New Roman" w:hAnsi="Times New Roman" w:eastAsia="宋体" w:cs="Times New Roman"/>
                <w:snapToGrid/>
                <w:color w:val="auto"/>
                <w:spacing w:val="0"/>
                <w:w w:val="100"/>
                <w:kern w:val="21"/>
                <w:position w:val="0"/>
                <w:sz w:val="24"/>
                <w:szCs w:val="24"/>
                <w:vertAlign w:val="subscript"/>
              </w:rPr>
              <w:t>j</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/7.0-pH</w:t>
            </w:r>
            <w:r>
              <w:rPr>
                <w:rFonts w:ascii="Times New Roman" w:hAnsi="Times New Roman" w:eastAsia="宋体" w:cs="Times New Roman"/>
                <w:snapToGrid/>
                <w:color w:val="auto"/>
                <w:spacing w:val="0"/>
                <w:w w:val="100"/>
                <w:kern w:val="21"/>
                <w:position w:val="0"/>
                <w:sz w:val="24"/>
                <w:szCs w:val="24"/>
                <w:vertAlign w:val="subscript"/>
              </w:rPr>
              <w:t>sd</w:t>
            </w:r>
            <w:r>
              <w:rPr>
                <w:rFonts w:ascii="Times New Roman" w:hAnsi="Times New Roman" w:eastAsia="宋体" w:cs="Times New Roman"/>
                <w:snapToGrid/>
                <w:color w:val="auto"/>
                <w:spacing w:val="0"/>
                <w:w w:val="100"/>
                <w:kern w:val="21"/>
                <w:position w:val="0"/>
                <w:sz w:val="24"/>
                <w:szCs w:val="24"/>
              </w:rPr>
              <w:t xml:space="preserve">     </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i</w:t>
            </w:r>
            <w:r>
              <w:rPr>
                <w:rFonts w:ascii="Times New Roman" w:hAnsi="Times New Roman" w:eastAsia="宋体" w:cs="Times New Roman"/>
                <w:snapToGrid/>
                <w:color w:val="auto"/>
                <w:spacing w:val="0"/>
                <w:w w:val="100"/>
                <w:kern w:val="21"/>
                <w:position w:val="0"/>
                <w:sz w:val="24"/>
                <w:szCs w:val="24"/>
              </w:rPr>
              <w:t>≤7.0时</w:t>
            </w:r>
            <w:r>
              <w:rPr>
                <w:rFonts w:hint="eastAsia" w:cs="Times New Roman"/>
                <w:snapToGrid/>
                <w:color w:val="auto"/>
                <w:spacing w:val="0"/>
                <w:w w:val="100"/>
                <w:kern w:val="21"/>
                <w:position w:val="0"/>
                <w:sz w:val="24"/>
                <w:szCs w:val="24"/>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napToGrid/>
                <w:color w:val="auto"/>
                <w:spacing w:val="0"/>
                <w:w w:val="100"/>
                <w:kern w:val="21"/>
                <w:position w:val="0"/>
                <w:sz w:val="24"/>
                <w:szCs w:val="24"/>
                <w:lang w:eastAsia="zh-CN"/>
              </w:rPr>
            </w:pPr>
            <w:r>
              <w:rPr>
                <w:rFonts w:ascii="Times New Roman" w:hAnsi="Times New Roman" w:eastAsia="宋体" w:cs="Times New Roman"/>
                <w:snapToGrid/>
                <w:color w:val="auto"/>
                <w:spacing w:val="0"/>
                <w:w w:val="100"/>
                <w:kern w:val="21"/>
                <w:position w:val="0"/>
                <w:sz w:val="24"/>
                <w:szCs w:val="24"/>
              </w:rPr>
              <w:t>SpH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-7.0</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su</w:t>
            </w:r>
            <w:r>
              <w:rPr>
                <w:rFonts w:ascii="Times New Roman" w:hAnsi="Times New Roman" w:eastAsia="宋体" w:cs="Times New Roman"/>
                <w:snapToGrid/>
                <w:color w:val="auto"/>
                <w:spacing w:val="0"/>
                <w:w w:val="100"/>
                <w:kern w:val="21"/>
                <w:position w:val="0"/>
                <w:sz w:val="24"/>
                <w:szCs w:val="24"/>
              </w:rPr>
              <w:t xml:space="preserve">-7.0     </w:t>
            </w:r>
            <w:r>
              <w:rPr>
                <w:rFonts w:hint="eastAsia" w:cs="Times New Roman"/>
                <w:snapToGrid/>
                <w:color w:val="auto"/>
                <w:spacing w:val="0"/>
                <w:w w:val="100"/>
                <w:kern w:val="21"/>
                <w:position w:val="0"/>
                <w:sz w:val="24"/>
                <w:szCs w:val="24"/>
                <w:lang w:eastAsia="zh-CN"/>
              </w:rPr>
              <w:t>（</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i</w:t>
            </w:r>
            <w:r>
              <w:rPr>
                <w:rFonts w:ascii="Times New Roman" w:hAnsi="Times New Roman" w:eastAsia="宋体" w:cs="Times New Roman"/>
                <w:snapToGrid/>
                <w:color w:val="auto"/>
                <w:spacing w:val="0"/>
                <w:w w:val="100"/>
                <w:kern w:val="21"/>
                <w:position w:val="0"/>
                <w:sz w:val="24"/>
                <w:szCs w:val="24"/>
              </w:rPr>
              <w:t>＞7.0时</w:t>
            </w:r>
            <w:r>
              <w:rPr>
                <w:rFonts w:hint="eastAsia" w:cs="Times New Roman"/>
                <w:snapToGrid/>
                <w:color w:val="auto"/>
                <w:spacing w:val="0"/>
                <w:w w:val="100"/>
                <w:kern w:val="21"/>
                <w:position w:val="0"/>
                <w:sz w:val="24"/>
                <w:szCs w:val="24"/>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720" w:firstLineChars="3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式中：SpH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——第j点pH的标准指数；</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1440" w:firstLineChars="6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j</w:t>
            </w:r>
            <w:r>
              <w:rPr>
                <w:rFonts w:ascii="Times New Roman" w:hAnsi="Times New Roman" w:eastAsia="宋体" w:cs="Times New Roman"/>
                <w:snapToGrid/>
                <w:color w:val="auto"/>
                <w:spacing w:val="0"/>
                <w:w w:val="100"/>
                <w:kern w:val="21"/>
                <w:position w:val="0"/>
                <w:sz w:val="24"/>
                <w:szCs w:val="24"/>
              </w:rPr>
              <w:t>——第j点的监测值；</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firstLine="1440" w:firstLineChars="600"/>
              <w:textAlignment w:val="auto"/>
              <w:rPr>
                <w:rFonts w:ascii="Times New Roman" w:hAnsi="Times New Roman" w:eastAsia="宋体" w:cs="Times New Roman"/>
                <w:snapToGrid/>
                <w:color w:val="auto"/>
                <w:spacing w:val="0"/>
                <w:w w:val="100"/>
                <w:kern w:val="21"/>
                <w:position w:val="0"/>
                <w:sz w:val="24"/>
                <w:szCs w:val="24"/>
              </w:rPr>
            </w:pP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su</w:t>
            </w:r>
            <w:r>
              <w:rPr>
                <w:rFonts w:ascii="Times New Roman" w:hAnsi="Times New Roman" w:eastAsia="宋体" w:cs="Times New Roman"/>
                <w:snapToGrid/>
                <w:color w:val="auto"/>
                <w:spacing w:val="0"/>
                <w:w w:val="100"/>
                <w:kern w:val="21"/>
                <w:position w:val="0"/>
                <w:sz w:val="24"/>
                <w:szCs w:val="24"/>
              </w:rPr>
              <w:t>、pH</w:t>
            </w:r>
            <w:r>
              <w:rPr>
                <w:rFonts w:ascii="Times New Roman" w:hAnsi="Times New Roman" w:eastAsia="宋体" w:cs="Times New Roman"/>
                <w:snapToGrid/>
                <w:color w:val="auto"/>
                <w:spacing w:val="0"/>
                <w:w w:val="100"/>
                <w:kern w:val="21"/>
                <w:position w:val="0"/>
                <w:sz w:val="24"/>
                <w:szCs w:val="24"/>
                <w:vertAlign w:val="subscript"/>
              </w:rPr>
              <w:t>sd</w:t>
            </w:r>
            <w:r>
              <w:rPr>
                <w:rFonts w:ascii="Times New Roman" w:hAnsi="Times New Roman" w:eastAsia="宋体" w:cs="Times New Roman"/>
                <w:snapToGrid/>
                <w:color w:val="auto"/>
                <w:spacing w:val="0"/>
                <w:w w:val="100"/>
                <w:kern w:val="21"/>
                <w:position w:val="0"/>
                <w:sz w:val="24"/>
                <w:szCs w:val="24"/>
              </w:rPr>
              <w:t>——pH标准限值的上、下限值。</w:t>
            </w:r>
          </w:p>
          <w:p>
            <w:pPr>
              <w:adjustRightInd w:val="0"/>
              <w:snapToGrid w:val="0"/>
              <w:spacing w:line="360" w:lineRule="auto"/>
              <w:ind w:firstLine="480" w:firstLineChars="200"/>
              <w:rPr>
                <w:color w:val="auto"/>
                <w:sz w:val="24"/>
              </w:rPr>
            </w:pPr>
            <w:r>
              <w:rPr>
                <w:rFonts w:hint="eastAsia"/>
                <w:color w:val="auto"/>
                <w:sz w:val="24"/>
              </w:rPr>
              <w:t>③溶解氧评价指标</w:t>
            </w:r>
          </w:p>
          <w:p>
            <w:pPr>
              <w:adjustRightInd w:val="0"/>
              <w:snapToGrid w:val="0"/>
              <w:spacing w:line="360" w:lineRule="auto"/>
              <w:jc w:val="center"/>
              <w:rPr>
                <w:color w:val="auto"/>
                <w:sz w:val="24"/>
              </w:rPr>
            </w:pPr>
            <w:r>
              <w:rPr>
                <w:color w:val="auto"/>
                <w:position w:val="-32"/>
                <w:sz w:val="24"/>
              </w:rPr>
              <w:object>
                <v:shape id="_x0000_i1026" o:spt="75" type="#_x0000_t75" style="height:37.5pt;width:95.2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color w:val="auto"/>
                <w:position w:val="-14"/>
                <w:sz w:val="24"/>
              </w:rPr>
              <w:object>
                <v:shape id="_x0000_i1027" o:spt="75" type="#_x0000_t75" style="height:18.75pt;width:59.2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p>
          <w:p>
            <w:pPr>
              <w:adjustRightInd w:val="0"/>
              <w:snapToGrid w:val="0"/>
              <w:spacing w:line="360" w:lineRule="auto"/>
              <w:ind w:firstLine="480" w:firstLineChars="200"/>
              <w:jc w:val="center"/>
              <w:rPr>
                <w:color w:val="auto"/>
                <w:sz w:val="24"/>
              </w:rPr>
            </w:pPr>
            <w:r>
              <w:rPr>
                <w:color w:val="auto"/>
                <w:position w:val="-30"/>
                <w:sz w:val="24"/>
              </w:rPr>
              <w:object>
                <v:shape id="_x0000_i1028" o:spt="75" type="#_x0000_t75" style="height:36pt;width:95.2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color w:val="auto"/>
                <w:position w:val="-14"/>
                <w:sz w:val="24"/>
              </w:rPr>
              <w:object>
                <v:shape id="_x0000_i1029" o:spt="75" type="#_x0000_t75" style="height:20.25pt;width:65.2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p>
          <w:p>
            <w:pPr>
              <w:adjustRightInd w:val="0"/>
              <w:snapToGrid w:val="0"/>
              <w:spacing w:line="360" w:lineRule="auto"/>
              <w:ind w:firstLine="480" w:firstLineChars="200"/>
              <w:jc w:val="center"/>
              <w:rPr>
                <w:color w:val="auto"/>
                <w:sz w:val="24"/>
              </w:rPr>
            </w:pPr>
            <w:r>
              <w:rPr>
                <w:color w:val="auto"/>
                <w:position w:val="-14"/>
                <w:sz w:val="24"/>
              </w:rPr>
              <w:object>
                <v:shape id="_x0000_i1030" o:spt="75" type="#_x0000_t75" style="height:18.75pt;width:111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p>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cs="Times New Roman"/>
                <w:b/>
                <w:bCs/>
                <w:snapToGrid/>
                <w:color w:val="auto"/>
                <w:spacing w:val="0"/>
                <w:w w:val="100"/>
                <w:kern w:val="21"/>
                <w:position w:val="0"/>
                <w:lang w:eastAsia="zh-CN"/>
              </w:rPr>
              <w:t>⑤</w:t>
            </w:r>
            <w:r>
              <w:rPr>
                <w:rFonts w:ascii="Times New Roman" w:hAnsi="Times New Roman" w:eastAsia="宋体" w:cs="Times New Roman"/>
                <w:b/>
                <w:snapToGrid/>
                <w:color w:val="auto"/>
                <w:spacing w:val="0"/>
                <w:w w:val="100"/>
                <w:kern w:val="21"/>
                <w:position w:val="0"/>
              </w:rPr>
              <w:t>监测统计及评价结果</w:t>
            </w:r>
          </w:p>
          <w:p>
            <w:pPr>
              <w:spacing w:line="36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color w:val="auto"/>
                <w:sz w:val="21"/>
                <w:szCs w:val="21"/>
              </w:rPr>
              <w:t>表</w:t>
            </w:r>
            <w:r>
              <w:rPr>
                <w:rFonts w:hint="eastAsia" w:eastAsia="宋体" w:cs="Times New Roman"/>
                <w:b/>
                <w:color w:val="auto"/>
                <w:sz w:val="21"/>
                <w:szCs w:val="21"/>
                <w:lang w:val="en-US" w:eastAsia="zh-CN"/>
              </w:rPr>
              <w:t>3-</w:t>
            </w:r>
            <w:r>
              <w:rPr>
                <w:rFonts w:hint="eastAsia" w:cs="Times New Roman"/>
                <w:b/>
                <w:color w:val="auto"/>
                <w:sz w:val="21"/>
                <w:szCs w:val="21"/>
                <w:lang w:val="en-US" w:eastAsia="zh-CN"/>
              </w:rPr>
              <w:t>6  乌木滩水库水质监</w:t>
            </w:r>
            <w:r>
              <w:rPr>
                <w:rFonts w:hint="eastAsia" w:ascii="宋体" w:hAnsi="宋体" w:eastAsia="宋体" w:cs="宋体"/>
                <w:b/>
                <w:color w:val="auto"/>
                <w:sz w:val="22"/>
                <w:szCs w:val="22"/>
                <w:highlight w:val="none"/>
              </w:rPr>
              <w:t>测结果</w:t>
            </w:r>
            <w:r>
              <w:rPr>
                <w:rFonts w:hint="eastAsia" w:ascii="宋体" w:hAnsi="宋体" w:cs="宋体"/>
                <w:b/>
                <w:color w:val="auto"/>
                <w:sz w:val="22"/>
                <w:szCs w:val="22"/>
                <w:highlight w:val="none"/>
                <w:lang w:val="en-US" w:eastAsia="zh-CN"/>
              </w:rPr>
              <w:t>及评价表</w:t>
            </w:r>
          </w:p>
          <w:tbl>
            <w:tblPr>
              <w:tblStyle w:val="28"/>
              <w:tblW w:w="78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9"/>
              <w:gridCol w:w="361"/>
              <w:gridCol w:w="1493"/>
              <w:gridCol w:w="1271"/>
              <w:gridCol w:w="1580"/>
              <w:gridCol w:w="1041"/>
              <w:gridCol w:w="850"/>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序号</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检测项目</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单位</w:t>
                  </w:r>
                </w:p>
              </w:tc>
              <w:tc>
                <w:tcPr>
                  <w:tcW w:w="1580"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监测结果</w:t>
                  </w:r>
                </w:p>
              </w:tc>
              <w:tc>
                <w:tcPr>
                  <w:tcW w:w="1041"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标准值</w:t>
                  </w:r>
                </w:p>
              </w:tc>
              <w:tc>
                <w:tcPr>
                  <w:tcW w:w="850" w:type="dxa"/>
                  <w:tcBorders>
                    <w:tl2br w:val="nil"/>
                    <w:tr2bl w:val="nil"/>
                  </w:tcBorders>
                  <w:noWrap w:val="0"/>
                  <w:vAlign w:val="center"/>
                </w:tcPr>
                <w:p>
                  <w:pPr>
                    <w:autoSpaceDE w:val="0"/>
                    <w:autoSpaceDN w:val="0"/>
                    <w:adjustRightInd w:val="0"/>
                    <w:spacing w:line="24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单因子</w:t>
                  </w:r>
                </w:p>
                <w:p>
                  <w:pPr>
                    <w:autoSpaceDE w:val="0"/>
                    <w:autoSpaceDN w:val="0"/>
                    <w:adjustRightInd w:val="0"/>
                    <w:spacing w:line="24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指数</w:t>
                  </w:r>
                </w:p>
              </w:tc>
              <w:tc>
                <w:tcPr>
                  <w:tcW w:w="744" w:type="dxa"/>
                  <w:tcBorders>
                    <w:tl2br w:val="nil"/>
                    <w:tr2bl w:val="nil"/>
                  </w:tcBorders>
                  <w:noWrap w:val="0"/>
                  <w:vAlign w:val="center"/>
                </w:tcPr>
                <w:p>
                  <w:pPr>
                    <w:autoSpaceDE w:val="0"/>
                    <w:autoSpaceDN w:val="0"/>
                    <w:adjustRightInd w:val="0"/>
                    <w:spacing w:line="24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达标判定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rPr>
                  </w:pPr>
                  <w:r>
                    <w:rPr>
                      <w:rFonts w:hint="eastAsia" w:cs="Times New Roman"/>
                      <w:snapToGrid/>
                      <w:color w:val="auto"/>
                      <w:spacing w:val="0"/>
                      <w:w w:val="100"/>
                      <w:kern w:val="21"/>
                      <w:position w:val="0"/>
                      <w:sz w:val="21"/>
                      <w:szCs w:val="21"/>
                      <w:lang w:val="en-US" w:eastAsia="zh-CN"/>
                    </w:rPr>
                    <w:t>环氧氯丙烷</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氯乙烯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854" w:type="dxa"/>
                  <w:gridSpan w:val="2"/>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eastAsia" w:cs="Times New Roman"/>
                      <w:snapToGrid/>
                      <w:color w:val="auto"/>
                      <w:spacing w:val="0"/>
                      <w:w w:val="100"/>
                      <w:kern w:val="21"/>
                      <w:position w:val="0"/>
                      <w:sz w:val="21"/>
                      <w:szCs w:val="21"/>
                      <w:lang w:val="en-US" w:eastAsia="zh-CN"/>
                    </w:rPr>
                    <w:t>丙烯醛</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三氯乙醛</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bCs/>
                      <w:snapToGrid/>
                      <w:color w:val="auto"/>
                      <w:spacing w:val="0"/>
                      <w:w w:val="100"/>
                      <w:kern w:val="21"/>
                      <w:position w:val="0"/>
                      <w:sz w:val="21"/>
                      <w:szCs w:val="21"/>
                      <w:lang w:val="en-US" w:eastAsia="zh-CN"/>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54" w:type="dxa"/>
                  <w:gridSpan w:val="2"/>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1,2,3-三氯苯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104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jc w:val="center"/>
                    <w:rPr>
                      <w:color w:val="auto"/>
                    </w:rPr>
                  </w:pPr>
                </w:p>
              </w:tc>
              <w:tc>
                <w:tcPr>
                  <w:tcW w:w="1854" w:type="dxa"/>
                  <w:gridSpan w:val="2"/>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1,2,4-三氯苯</w:t>
                  </w:r>
                </w:p>
              </w:tc>
              <w:tc>
                <w:tcPr>
                  <w:tcW w:w="1271"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1854" w:type="dxa"/>
                  <w:gridSpan w:val="2"/>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1,3,5-三氯苯</w:t>
                  </w:r>
                </w:p>
              </w:tc>
              <w:tc>
                <w:tcPr>
                  <w:tcW w:w="1271"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color w:val="auto"/>
                      <w:spacing w:val="0"/>
                      <w:w w:val="100"/>
                      <w:kern w:val="21"/>
                      <w:position w:val="0"/>
                      <w:sz w:val="21"/>
                      <w:szCs w:val="21"/>
                      <w:lang w:val="en-US" w:eastAsia="zh-CN"/>
                    </w:rPr>
                    <w:t>1,2,3,4-四氯苯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spacing w:line="240" w:lineRule="auto"/>
                    <w:jc w:val="center"/>
                    <w:rPr>
                      <w:color w:val="auto"/>
                    </w:rPr>
                  </w:pPr>
                </w:p>
              </w:tc>
              <w:tc>
                <w:tcPr>
                  <w:tcW w:w="1854" w:type="dxa"/>
                  <w:gridSpan w:val="2"/>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1,2,3,5-四氯苯</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9" w:hRule="atLeast"/>
                <w:jc w:val="center"/>
              </w:trPr>
              <w:tc>
                <w:tcPr>
                  <w:tcW w:w="539"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1854" w:type="dxa"/>
                  <w:gridSpan w:val="2"/>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1,2,4,5-四氯苯</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color w:val="auto"/>
                      <w:spacing w:val="0"/>
                      <w:w w:val="100"/>
                      <w:kern w:val="21"/>
                      <w:position w:val="0"/>
                      <w:sz w:val="21"/>
                      <w:szCs w:val="21"/>
                      <w:lang w:val="en-US" w:eastAsia="zh-CN"/>
                    </w:rPr>
                    <w:t>六氯苯</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1854"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snapToGrid/>
                      <w:color w:val="auto"/>
                      <w:spacing w:val="0"/>
                      <w:w w:val="100"/>
                      <w:kern w:val="21"/>
                      <w:position w:val="0"/>
                      <w:sz w:val="21"/>
                      <w:szCs w:val="21"/>
                      <w:lang w:val="en-US" w:eastAsia="zh-CN"/>
                    </w:rPr>
                    <w:t>2,4-二氯苯酚</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1854"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snapToGrid/>
                      <w:color w:val="auto"/>
                      <w:spacing w:val="0"/>
                      <w:w w:val="100"/>
                      <w:kern w:val="21"/>
                      <w:position w:val="0"/>
                      <w:sz w:val="21"/>
                      <w:szCs w:val="21"/>
                      <w:lang w:val="en-US" w:eastAsia="zh-CN"/>
                    </w:rPr>
                    <w:t>2,4,6-三氯苯酚</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snapToGrid/>
                      <w:color w:val="auto"/>
                      <w:spacing w:val="0"/>
                      <w:w w:val="100"/>
                      <w:kern w:val="21"/>
                      <w:position w:val="0"/>
                      <w:sz w:val="21"/>
                      <w:szCs w:val="21"/>
                      <w:lang w:val="en-US" w:eastAsia="zh-CN"/>
                    </w:rPr>
                    <w:t>五氯酚</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bCs/>
                      <w:snapToGrid/>
                      <w:color w:val="auto"/>
                      <w:spacing w:val="0"/>
                      <w:w w:val="100"/>
                      <w:kern w:val="21"/>
                      <w:position w:val="0"/>
                      <w:sz w:val="21"/>
                      <w:szCs w:val="21"/>
                      <w:lang w:val="en-US" w:eastAsia="zh-CN"/>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854"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苯胺</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854"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snapToGrid/>
                      <w:color w:val="auto"/>
                      <w:spacing w:val="0"/>
                      <w:w w:val="100"/>
                      <w:kern w:val="21"/>
                      <w:position w:val="0"/>
                      <w:sz w:val="21"/>
                      <w:szCs w:val="21"/>
                      <w:lang w:val="en-US" w:eastAsia="zh-CN"/>
                    </w:rPr>
                    <w:t>联苯胺</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85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丙烯酰胺</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丙烯腈</w:t>
                  </w:r>
                </w:p>
              </w:tc>
              <w:tc>
                <w:tcPr>
                  <w:tcW w:w="127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肼（以水合肼计）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四乙基铅</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吡啶</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松节油</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苦味酸</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丁基黄原酸</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361" w:type="dxa"/>
                  <w:vMerge w:val="restart"/>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滴滴涕</w:t>
                  </w: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-DDE</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vMerge w:val="restart"/>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0.001</w:t>
                  </w:r>
                </w:p>
              </w:tc>
              <w:tc>
                <w:tcPr>
                  <w:tcW w:w="850"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vMerge w:val="restart"/>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continue"/>
                  <w:tcBorders>
                    <w:tl2br w:val="nil"/>
                    <w:tr2bl w:val="nil"/>
                  </w:tcBorders>
                  <w:noWrap w:val="0"/>
                  <w:vAlign w:val="center"/>
                </w:tcPr>
                <w:p>
                  <w:pPr>
                    <w:spacing w:line="240" w:lineRule="auto"/>
                    <w:jc w:val="center"/>
                    <w:rPr>
                      <w:color w:val="auto"/>
                    </w:rPr>
                  </w:pPr>
                </w:p>
              </w:tc>
              <w:tc>
                <w:tcPr>
                  <w:tcW w:w="361" w:type="dxa"/>
                  <w:vMerge w:val="continue"/>
                  <w:tcBorders>
                    <w:tl2br w:val="nil"/>
                    <w:tr2bl w:val="nil"/>
                  </w:tcBorders>
                  <w:noWrap w:val="0"/>
                  <w:vAlign w:val="center"/>
                </w:tcPr>
                <w:p>
                  <w:pPr>
                    <w:spacing w:line="240" w:lineRule="auto"/>
                    <w:jc w:val="center"/>
                    <w:rPr>
                      <w:color w:val="auto"/>
                    </w:rPr>
                  </w:pP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2,4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01" w:hRule="atLeast"/>
                <w:jc w:val="center"/>
              </w:trPr>
              <w:tc>
                <w:tcPr>
                  <w:tcW w:w="539"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36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-DDD</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1" w:hRule="atLeast"/>
                <w:jc w:val="center"/>
              </w:trPr>
              <w:tc>
                <w:tcPr>
                  <w:tcW w:w="539"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36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1493"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r>
                    <w:rPr>
                      <w:rFonts w:hint="default" w:ascii="Times New Roman" w:hAnsi="Times New Roman" w:cs="Times New Roman"/>
                      <w:snapToGrid/>
                      <w:color w:val="auto"/>
                      <w:spacing w:val="0"/>
                      <w:w w:val="100"/>
                      <w:kern w:val="21"/>
                      <w:position w:val="0"/>
                      <w:sz w:val="21"/>
                      <w:szCs w:val="21"/>
                      <w:lang w:val="en-US" w:eastAsia="zh-CN"/>
                    </w:rPr>
                    <w:t>＇</w:t>
                  </w:r>
                  <w:r>
                    <w:rPr>
                      <w:rFonts w:hint="eastAsia" w:cs="Times New Roman"/>
                      <w:snapToGrid/>
                      <w:color w:val="auto"/>
                      <w:spacing w:val="0"/>
                      <w:w w:val="100"/>
                      <w:kern w:val="21"/>
                      <w:position w:val="0"/>
                      <w:sz w:val="21"/>
                      <w:szCs w:val="21"/>
                      <w:lang w:val="en-US" w:eastAsia="zh-CN"/>
                    </w:rPr>
                    <w:t>-DDT</w:t>
                  </w:r>
                </w:p>
              </w:tc>
              <w:tc>
                <w:tcPr>
                  <w:tcW w:w="1271"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r>
                    <w:rPr>
                      <w:rFonts w:hint="eastAsia" w:cs="Times New Roman"/>
                      <w:color w:val="auto"/>
                      <w:kern w:val="2"/>
                      <w:sz w:val="21"/>
                      <w:szCs w:val="21"/>
                      <w:highlight w:val="none"/>
                      <w:lang w:val="en-US" w:eastAsia="zh-CN" w:bidi="ar-SA"/>
                    </w:rPr>
                    <w:t>ND</w:t>
                  </w:r>
                </w:p>
              </w:tc>
              <w:tc>
                <w:tcPr>
                  <w:tcW w:w="1041"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850"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c>
                <w:tcPr>
                  <w:tcW w:w="744" w:type="dxa"/>
                  <w:vMerge w:val="continue"/>
                  <w:tcBorders>
                    <w:tl2br w:val="nil"/>
                    <w:tr2bl w:val="nil"/>
                  </w:tcBorders>
                  <w:noWrap w:val="0"/>
                  <w:vAlign w:val="center"/>
                </w:tcPr>
                <w:p>
                  <w:pPr>
                    <w:spacing w:line="240" w:lineRule="auto"/>
                    <w:jc w:val="center"/>
                    <w:rPr>
                      <w:rFonts w:hint="eastAsia" w:cs="Times New Roman"/>
                      <w:snapToGrid/>
                      <w:color w:val="auto"/>
                      <w:spacing w:val="0"/>
                      <w:w w:val="100"/>
                      <w:kern w:val="21"/>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γ-六六六（林丹）</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环氧七氯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对硫磷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甲基对硫磷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乐果</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马拉硫磷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敌敌畏</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敌百虫</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内吸磷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百菌清</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甲萘威</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溴氰菊酯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甲基汞</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1.0×10</w:t>
                  </w:r>
                  <w:r>
                    <w:rPr>
                      <w:rFonts w:hint="eastAsia" w:cs="Times New Roman"/>
                      <w:color w:val="auto"/>
                      <w:kern w:val="2"/>
                      <w:sz w:val="21"/>
                      <w:szCs w:val="21"/>
                      <w:vertAlign w:val="superscript"/>
                      <w:lang w:val="en-US" w:eastAsia="zh-CN" w:bidi="ar-SA"/>
                    </w:rPr>
                    <w:t>-6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多氯联苯（总量）</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微囊藻毒素-LR</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snapToGrid/>
                      <w:color w:val="auto"/>
                      <w:spacing w:val="0"/>
                      <w:w w:val="100"/>
                      <w:kern w:val="21"/>
                      <w:position w:val="0"/>
                      <w:sz w:val="21"/>
                      <w:szCs w:val="21"/>
                      <w:lang w:val="en-US" w:eastAsia="zh-CN"/>
                    </w:rPr>
                    <w:t>黄磷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水温</w:t>
                  </w:r>
                </w:p>
              </w:tc>
              <w:tc>
                <w:tcPr>
                  <w:tcW w:w="1271" w:type="dxa"/>
                  <w:tcBorders>
                    <w:tl2br w:val="nil"/>
                    <w:tr2bl w:val="nil"/>
                  </w:tcBorders>
                  <w:noWrap w:val="0"/>
                  <w:vAlign w:val="center"/>
                </w:tcPr>
                <w:p>
                  <w:pPr>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溶解氧</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6.06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p</w:t>
                  </w:r>
                  <w:r>
                    <w:rPr>
                      <w:rFonts w:hint="default" w:ascii="Times New Roman" w:hAnsi="Times New Roman" w:cs="Times New Roman"/>
                      <w:color w:val="auto"/>
                      <w:sz w:val="21"/>
                      <w:szCs w:val="21"/>
                      <w:lang w:val="en-US" w:eastAsia="zh-CN"/>
                    </w:rPr>
                    <w:t>H</w:t>
                  </w:r>
                </w:p>
              </w:tc>
              <w:tc>
                <w:tcPr>
                  <w:tcW w:w="1271" w:type="dxa"/>
                  <w:tcBorders>
                    <w:tl2br w:val="nil"/>
                    <w:tr2bl w:val="nil"/>
                  </w:tcBorders>
                  <w:noWrap w:val="0"/>
                  <w:vAlign w:val="center"/>
                </w:tcPr>
                <w:p>
                  <w:pPr>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无量纲</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7.9</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6~9</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0.45</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高锰酸盐指数</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化学需氧量（COD）</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五日生化需氧量</w:t>
                  </w:r>
                  <w:r>
                    <w:rPr>
                      <w:rFonts w:hint="eastAsia" w:cs="Times New Roman"/>
                      <w:color w:val="auto"/>
                      <w:sz w:val="21"/>
                      <w:szCs w:val="21"/>
                      <w:lang w:val="en-US" w:eastAsia="zh-CN"/>
                    </w:rPr>
                    <w:t>（BOD</w:t>
                  </w:r>
                  <w:r>
                    <w:rPr>
                      <w:rFonts w:hint="eastAsia" w:cs="Times New Roman"/>
                      <w:color w:val="auto"/>
                      <w:sz w:val="21"/>
                      <w:szCs w:val="21"/>
                      <w:vertAlign w:val="subscript"/>
                      <w:lang w:val="en-US" w:eastAsia="zh-CN"/>
                    </w:rPr>
                    <w:t>5</w:t>
                  </w:r>
                  <w:r>
                    <w:rPr>
                      <w:rFonts w:hint="eastAsia" w:cs="Times New Roman"/>
                      <w:color w:val="auto"/>
                      <w:sz w:val="21"/>
                      <w:szCs w:val="21"/>
                      <w:lang w:val="en-US" w:eastAsia="zh-CN"/>
                    </w:rPr>
                    <w:t>）</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氨氮</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1.8</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铬</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六价</w:t>
                  </w:r>
                  <w:r>
                    <w:rPr>
                      <w:rFonts w:hint="eastAsia" w:cs="Times New Roman"/>
                      <w:color w:val="auto"/>
                      <w:sz w:val="21"/>
                      <w:szCs w:val="21"/>
                      <w:lang w:val="en-US" w:eastAsia="zh-CN"/>
                    </w:rPr>
                    <w:t>）</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总氮</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1.84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1.84</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总磷</w:t>
                  </w:r>
                  <w:r>
                    <w:rPr>
                      <w:rFonts w:hint="eastAsia" w:cs="Times New Roman"/>
                      <w:color w:val="auto"/>
                      <w:sz w:val="21"/>
                      <w:szCs w:val="21"/>
                      <w:lang w:val="en-US" w:eastAsia="zh-CN"/>
                    </w:rPr>
                    <w:t>（以P计）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0.06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shd w:val="clear" w:color="FFFFFF" w:fill="D9D9D9"/>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氰化物</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挥发酚</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阴离子表面活性剂</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硫化物</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石油类</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粪大肠菌群</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个</w:t>
                  </w:r>
                  <w:r>
                    <w:rPr>
                      <w:rFonts w:hint="default" w:ascii="Times New Roman" w:hAnsi="Times New Roman" w:eastAsia="宋体" w:cs="Times New Roman"/>
                      <w:color w:val="auto"/>
                      <w:kern w:val="2"/>
                      <w:sz w:val="21"/>
                      <w:szCs w:val="21"/>
                      <w:highlight w:val="none"/>
                      <w:lang w:val="en-US" w:eastAsia="zh-CN" w:bidi="ar-SA"/>
                    </w:rPr>
                    <w:t>/L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7.9×10</w:t>
                  </w:r>
                  <w:r>
                    <w:rPr>
                      <w:rFonts w:hint="eastAsia" w:cs="Times New Roman"/>
                      <w:color w:val="auto"/>
                      <w:kern w:val="2"/>
                      <w:sz w:val="21"/>
                      <w:szCs w:val="21"/>
                      <w:vertAlign w:val="superscript"/>
                      <w:lang w:val="en-US" w:eastAsia="zh-CN" w:bidi="ar-SA"/>
                    </w:rPr>
                    <w:t>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10000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0.079</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氟化物（以F</w:t>
                  </w:r>
                  <w:r>
                    <w:rPr>
                      <w:rFonts w:hint="eastAsia" w:cs="Times New Roman"/>
                      <w:color w:val="auto"/>
                      <w:sz w:val="21"/>
                      <w:szCs w:val="21"/>
                      <w:vertAlign w:val="superscript"/>
                      <w:lang w:val="en-US" w:eastAsia="zh-CN"/>
                    </w:rPr>
                    <w:t>-</w:t>
                  </w:r>
                  <w:r>
                    <w:rPr>
                      <w:rFonts w:hint="eastAsia" w:cs="Times New Roman"/>
                      <w:color w:val="auto"/>
                      <w:sz w:val="21"/>
                      <w:szCs w:val="21"/>
                      <w:lang w:val="en-US" w:eastAsia="zh-CN"/>
                    </w:rPr>
                    <w:t>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0.406</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氯化物</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3.25</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0.013</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硫酸盐</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2.96×10</w:t>
                  </w:r>
                  <w:r>
                    <w:rPr>
                      <w:rFonts w:hint="eastAsia" w:cs="Times New Roman"/>
                      <w:color w:val="auto"/>
                      <w:kern w:val="2"/>
                      <w:sz w:val="21"/>
                      <w:szCs w:val="21"/>
                      <w:shd w:val="clear" w:color="FFFFFF" w:fill="D9D9D9"/>
                      <w:vertAlign w:val="superscript"/>
                      <w:lang w:val="en-US" w:eastAsia="zh-CN" w:bidi="ar-SA"/>
                    </w:rPr>
                    <w:t>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1.184</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硝酸盐</w:t>
                  </w:r>
                  <w:r>
                    <w:rPr>
                      <w:rFonts w:hint="eastAsia" w:cs="Times New Roman"/>
                      <w:color w:val="auto"/>
                      <w:sz w:val="21"/>
                      <w:szCs w:val="21"/>
                      <w:lang w:val="en-US" w:eastAsia="zh-CN"/>
                    </w:rPr>
                    <w:t>(以N计)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汞</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铜</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锌</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0.00084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0.00084</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镉</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铅</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硒</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0.0016</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0.032</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铁</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锰</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0.382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3.82</w:t>
                  </w:r>
                </w:p>
              </w:tc>
              <w:tc>
                <w:tcPr>
                  <w:tcW w:w="744"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shd w:val="clear" w:color="FFFFFF" w:fill="D9D9D9"/>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三氯甲烷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四氯化碳</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三溴甲烷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二氯甲烷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1,2-二氯乙烷</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1,1-二氯乙烯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1,2-二氯乙烯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三氯乙烯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0.07</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四氯乙烯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0.04</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氯丁二烯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六氯丁二烯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苯乙烯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甲醛</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0.9</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乙醛</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0.7</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乙苯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二甲苯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异丙苯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1,2-二氯苯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1.4 二氯苯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硝基苯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0.017</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二硝基苯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2,4 二硝基甲苯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2,4,6-三硝基甲苯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硝基</w:t>
                  </w:r>
                  <w:r>
                    <w:rPr>
                      <w:rFonts w:hint="eastAsia" w:cs="Times New Roman"/>
                      <w:color w:val="auto"/>
                      <w:sz w:val="21"/>
                      <w:szCs w:val="21"/>
                      <w:lang w:val="en-US" w:eastAsia="zh-CN"/>
                    </w:rPr>
                    <w:t>氯</w:t>
                  </w:r>
                  <w:r>
                    <w:rPr>
                      <w:rFonts w:hint="eastAsia" w:ascii="Times New Roman" w:hAnsi="Times New Roman" w:cs="Times New Roman"/>
                      <w:color w:val="auto"/>
                      <w:sz w:val="21"/>
                      <w:szCs w:val="21"/>
                      <w:lang w:val="en-US" w:eastAsia="zh-CN"/>
                    </w:rPr>
                    <w:t>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2,4-二硝基氯苯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0.008</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活性氯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阿特拉津</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苯并(</w:t>
                  </w:r>
                  <w:r>
                    <w:rPr>
                      <w:rFonts w:hint="eastAsia" w:cs="Times New Roman"/>
                      <w:color w:val="auto"/>
                      <w:sz w:val="21"/>
                      <w:szCs w:val="21"/>
                      <w:lang w:val="en-US" w:eastAsia="zh-CN"/>
                    </w:rPr>
                    <w:t>α</w:t>
                  </w:r>
                  <w:r>
                    <w:rPr>
                      <w:rFonts w:hint="eastAsia" w:ascii="Times New Roman" w:hAnsi="Times New Roman" w:cs="Times New Roman"/>
                      <w:color w:val="auto"/>
                      <w:sz w:val="21"/>
                      <w:szCs w:val="21"/>
                      <w:lang w:val="en-US" w:eastAsia="zh-CN"/>
                    </w:rPr>
                    <w:t>)芘</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2.8×10</w:t>
                  </w:r>
                  <w:r>
                    <w:rPr>
                      <w:rFonts w:hint="eastAsia" w:cs="Times New Roman"/>
                      <w:color w:val="auto"/>
                      <w:kern w:val="2"/>
                      <w:sz w:val="21"/>
                      <w:szCs w:val="21"/>
                      <w:vertAlign w:val="superscript"/>
                      <w:lang w:val="en-US" w:eastAsia="zh-CN" w:bidi="ar-SA"/>
                    </w:rPr>
                    <w:t>-6</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邻苯二甲酸二丁酯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邻苯二甲酸二(2-乙基已基)酯</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0.008</w:t>
                  </w:r>
                </w:p>
              </w:tc>
              <w:tc>
                <w:tcPr>
                  <w:tcW w:w="85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钼</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0.00072</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0.07</w:t>
                  </w:r>
                </w:p>
              </w:tc>
              <w:tc>
                <w:tcPr>
                  <w:tcW w:w="8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钴</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铍</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0.002</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硼</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0.134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0.268</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锑</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0.00089</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0.178</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镍</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0.00034</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0.017</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钡</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0.125</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0.7</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0.179</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钒</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0.00088</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c>
                <w:tcPr>
                  <w:tcW w:w="850"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0.0176</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钛</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1854" w:type="dxa"/>
                  <w:gridSpan w:val="2"/>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铊</w:t>
                  </w:r>
                </w:p>
              </w:tc>
              <w:tc>
                <w:tcPr>
                  <w:tcW w:w="1271" w:type="dxa"/>
                  <w:tcBorders>
                    <w:tl2br w:val="nil"/>
                    <w:tr2bl w:val="nil"/>
                  </w:tcBorders>
                  <w:noWrap w:val="0"/>
                  <w:vAlign w:val="center"/>
                </w:tcPr>
                <w:p>
                  <w:pPr>
                    <w:spacing w:line="240" w:lineRule="auto"/>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mg/L</w:t>
                  </w:r>
                </w:p>
              </w:tc>
              <w:tc>
                <w:tcPr>
                  <w:tcW w:w="158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41" w:type="dxa"/>
                  <w:tcBorders>
                    <w:tl2br w:val="nil"/>
                    <w:tr2bl w:val="nil"/>
                  </w:tcBorders>
                  <w:noWrap w:val="0"/>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0.0001</w:t>
                  </w:r>
                </w:p>
              </w:tc>
              <w:tc>
                <w:tcPr>
                  <w:tcW w:w="850"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44" w:type="dxa"/>
                  <w:tcBorders>
                    <w:tl2br w:val="nil"/>
                    <w:tr2bl w:val="nil"/>
                  </w:tcBorders>
                  <w:noWrap w:val="0"/>
                  <w:vAlign w:val="center"/>
                </w:tcPr>
                <w:p>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color w:val="auto"/>
                <w:sz w:val="21"/>
                <w:szCs w:val="21"/>
                <w:lang w:val="en-US" w:eastAsia="zh-CN"/>
              </w:rPr>
            </w:pPr>
            <w:r>
              <w:rPr>
                <w:rFonts w:hint="eastAsia"/>
                <w:b/>
                <w:bCs/>
                <w:color w:val="auto"/>
                <w:sz w:val="21"/>
                <w:szCs w:val="21"/>
                <w:lang w:val="en-US" w:eastAsia="zh-CN"/>
              </w:rPr>
              <w:t>注：ND代表未检出；总氮、粪大肠菌群为参考指标。</w:t>
            </w:r>
          </w:p>
          <w:p>
            <w:pPr>
              <w:pStyle w:val="74"/>
              <w:keepNext w:val="0"/>
              <w:keepLines w:val="0"/>
              <w:pageBreakBefore w:val="0"/>
              <w:widowControl w:val="0"/>
              <w:kinsoku/>
              <w:wordWrap/>
              <w:overflowPunct w:val="0"/>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eastAsia="宋体" w:cs="Times New Roman"/>
                <w:color w:val="auto"/>
                <w:sz w:val="24"/>
                <w:lang w:val="en-US" w:eastAsia="zh-CN"/>
              </w:rPr>
            </w:pPr>
            <w:r>
              <w:rPr>
                <w:rFonts w:hint="eastAsia" w:ascii="Times New Roman" w:hAnsi="Times New Roman" w:eastAsia="宋体" w:cs="Times New Roman"/>
                <w:snapToGrid/>
                <w:color w:val="auto"/>
                <w:spacing w:val="0"/>
                <w:w w:val="100"/>
                <w:kern w:val="21"/>
                <w:position w:val="0"/>
              </w:rPr>
              <w:t>根据上述</w:t>
            </w:r>
            <w:r>
              <w:rPr>
                <w:rFonts w:hint="eastAsia" w:ascii="Times New Roman" w:cs="Times New Roman"/>
                <w:snapToGrid/>
                <w:color w:val="auto"/>
                <w:spacing w:val="0"/>
                <w:w w:val="100"/>
                <w:kern w:val="21"/>
                <w:position w:val="0"/>
                <w:lang w:val="en-US" w:eastAsia="zh-CN"/>
              </w:rPr>
              <w:t>监测</w:t>
            </w:r>
            <w:r>
              <w:rPr>
                <w:rFonts w:hint="eastAsia" w:ascii="Times New Roman" w:hAnsi="Times New Roman" w:eastAsia="宋体" w:cs="Times New Roman"/>
                <w:snapToGrid/>
                <w:color w:val="auto"/>
                <w:spacing w:val="0"/>
                <w:w w:val="100"/>
                <w:kern w:val="21"/>
                <w:position w:val="0"/>
              </w:rPr>
              <w:t>数据可知，</w:t>
            </w:r>
            <w:r>
              <w:rPr>
                <w:rFonts w:hint="eastAsia" w:ascii="Times New Roman" w:cs="Times New Roman"/>
                <w:snapToGrid/>
                <w:color w:val="auto"/>
                <w:spacing w:val="0"/>
                <w:w w:val="100"/>
                <w:kern w:val="21"/>
                <w:position w:val="0"/>
                <w:lang w:val="en-US" w:eastAsia="zh-CN"/>
              </w:rPr>
              <w:t>2023年1月15日乌木滩</w:t>
            </w:r>
            <w:r>
              <w:rPr>
                <w:rFonts w:hint="eastAsia" w:ascii="Times New Roman" w:hAnsi="Times New Roman" w:eastAsia="宋体" w:cs="Times New Roman"/>
                <w:snapToGrid/>
                <w:color w:val="auto"/>
                <w:spacing w:val="0"/>
                <w:w w:val="100"/>
                <w:kern w:val="21"/>
                <w:position w:val="0"/>
                <w:lang w:val="en-US" w:eastAsia="zh-CN"/>
              </w:rPr>
              <w:t>水库</w:t>
            </w:r>
            <w:r>
              <w:rPr>
                <w:rFonts w:hint="eastAsia" w:ascii="Times New Roman" w:cs="Times New Roman"/>
                <w:snapToGrid/>
                <w:color w:val="auto"/>
                <w:spacing w:val="0"/>
                <w:w w:val="100"/>
                <w:kern w:val="21"/>
                <w:position w:val="0"/>
                <w:lang w:val="en-US" w:eastAsia="zh-CN"/>
              </w:rPr>
              <w:t>水质</w:t>
            </w:r>
            <w:r>
              <w:rPr>
                <w:rFonts w:hint="eastAsia" w:ascii="Times New Roman" w:hAnsi="Times New Roman" w:eastAsia="宋体" w:cs="Times New Roman"/>
                <w:snapToGrid/>
                <w:color w:val="auto"/>
                <w:spacing w:val="0"/>
                <w:w w:val="100"/>
                <w:kern w:val="21"/>
                <w:position w:val="0"/>
                <w:lang w:eastAsia="zh-CN"/>
              </w:rPr>
              <w:t>不能满足《</w:t>
            </w:r>
            <w:r>
              <w:rPr>
                <w:rFonts w:hint="eastAsia" w:ascii="Times New Roman" w:hAnsi="Times New Roman" w:eastAsia="宋体" w:cs="Times New Roman"/>
                <w:snapToGrid/>
                <w:color w:val="auto"/>
                <w:spacing w:val="0"/>
                <w:w w:val="100"/>
                <w:kern w:val="21"/>
                <w:position w:val="0"/>
              </w:rPr>
              <w:t>地</w:t>
            </w:r>
            <w:r>
              <w:rPr>
                <w:rFonts w:hint="eastAsia" w:ascii="Times New Roman" w:hAnsi="Times New Roman" w:eastAsia="宋体" w:cs="Times New Roman"/>
                <w:snapToGrid/>
                <w:color w:val="auto"/>
                <w:spacing w:val="0"/>
                <w:w w:val="100"/>
                <w:kern w:val="21"/>
                <w:position w:val="0"/>
                <w:lang w:eastAsia="zh-CN"/>
              </w:rPr>
              <w:t>表</w:t>
            </w:r>
            <w:r>
              <w:rPr>
                <w:rFonts w:hint="eastAsia" w:ascii="Times New Roman" w:hAnsi="Times New Roman" w:eastAsia="宋体" w:cs="Times New Roman"/>
                <w:snapToGrid/>
                <w:color w:val="auto"/>
                <w:spacing w:val="0"/>
                <w:w w:val="100"/>
                <w:kern w:val="21"/>
                <w:position w:val="0"/>
              </w:rPr>
              <w:t>水</w:t>
            </w:r>
            <w:r>
              <w:rPr>
                <w:rFonts w:hint="eastAsia" w:ascii="Times New Roman" w:hAnsi="Times New Roman" w:eastAsia="宋体" w:cs="Times New Roman"/>
                <w:snapToGrid/>
                <w:color w:val="auto"/>
                <w:spacing w:val="0"/>
                <w:w w:val="100"/>
                <w:kern w:val="21"/>
                <w:position w:val="0"/>
                <w:lang w:eastAsia="zh-CN"/>
              </w:rPr>
              <w:t>环境</w:t>
            </w:r>
            <w:r>
              <w:rPr>
                <w:rFonts w:hint="eastAsia" w:ascii="Times New Roman" w:hAnsi="Times New Roman" w:eastAsia="宋体" w:cs="Times New Roman"/>
                <w:snapToGrid/>
                <w:color w:val="auto"/>
                <w:spacing w:val="0"/>
                <w:w w:val="100"/>
                <w:kern w:val="21"/>
                <w:position w:val="0"/>
              </w:rPr>
              <w:t>质量标准》（GB</w:t>
            </w:r>
            <w:r>
              <w:rPr>
                <w:rFonts w:hint="eastAsia" w:ascii="Times New Roman" w:hAnsi="Times New Roman" w:eastAsia="宋体" w:cs="Times New Roman"/>
                <w:snapToGrid/>
                <w:color w:val="auto"/>
                <w:spacing w:val="0"/>
                <w:w w:val="100"/>
                <w:kern w:val="21"/>
                <w:position w:val="0"/>
                <w:lang w:val="en-US" w:eastAsia="zh-CN"/>
              </w:rPr>
              <w:t>3838</w:t>
            </w:r>
            <w:r>
              <w:rPr>
                <w:rFonts w:hint="eastAsia" w:ascii="Times New Roman" w:hAnsi="Times New Roman" w:eastAsia="宋体" w:cs="Times New Roman"/>
                <w:snapToGrid/>
                <w:color w:val="auto"/>
                <w:spacing w:val="0"/>
                <w:w w:val="100"/>
                <w:kern w:val="21"/>
                <w:position w:val="0"/>
              </w:rPr>
              <w:t>-20</w:t>
            </w:r>
            <w:r>
              <w:rPr>
                <w:rFonts w:hint="eastAsia" w:ascii="Times New Roman" w:hAnsi="Times New Roman" w:eastAsia="宋体" w:cs="Times New Roman"/>
                <w:snapToGrid/>
                <w:color w:val="auto"/>
                <w:spacing w:val="0"/>
                <w:w w:val="100"/>
                <w:kern w:val="21"/>
                <w:position w:val="0"/>
                <w:lang w:val="en-US" w:eastAsia="zh-CN"/>
              </w:rPr>
              <w:t>02</w:t>
            </w:r>
            <w:r>
              <w:rPr>
                <w:rFonts w:hint="eastAsia" w:ascii="Times New Roman" w:hAnsi="Times New Roman" w:eastAsia="宋体" w:cs="Times New Roman"/>
                <w:snapToGrid/>
                <w:color w:val="auto"/>
                <w:spacing w:val="0"/>
                <w:w w:val="100"/>
                <w:kern w:val="21"/>
                <w:position w:val="0"/>
              </w:rPr>
              <w:t>）Ⅲ类水质标准</w:t>
            </w:r>
            <w:r>
              <w:rPr>
                <w:rFonts w:hint="eastAsia" w:ascii="Times New Roman" w:hAnsi="Times New Roman" w:eastAsia="宋体" w:cs="Times New Roman"/>
                <w:snapToGrid/>
                <w:color w:val="auto"/>
                <w:spacing w:val="0"/>
                <w:w w:val="100"/>
                <w:kern w:val="21"/>
                <w:position w:val="0"/>
                <w:lang w:eastAsia="zh-CN"/>
              </w:rPr>
              <w:t>，</w:t>
            </w:r>
            <w:r>
              <w:rPr>
                <w:rFonts w:hint="eastAsia" w:ascii="Times New Roman" w:cs="Times New Roman"/>
                <w:snapToGrid/>
                <w:color w:val="auto"/>
                <w:spacing w:val="0"/>
                <w:w w:val="100"/>
                <w:kern w:val="21"/>
                <w:position w:val="0"/>
                <w:lang w:val="en-US" w:eastAsia="zh-CN"/>
              </w:rPr>
              <w:t>其中超标因子包括氨氮、总氮（参考指标）、总磷、硫酸盐、锰，超标倍数分别为锰超标2.82倍、氨氮超标0.8倍、总磷超标0.2倍、硫酸盐超标0.184倍；参考指标总氮超标0.84倍，超标原因主要要是</w:t>
            </w:r>
            <w:r>
              <w:rPr>
                <w:rFonts w:hint="eastAsia" w:ascii="Times New Roman" w:hAnsi="Times New Roman" w:eastAsia="宋体" w:cs="Times New Roman"/>
                <w:color w:val="auto"/>
                <w:sz w:val="24"/>
                <w:lang w:val="en-US" w:eastAsia="zh-CN"/>
              </w:rPr>
              <w:t>大竹县遭遇了罕见旱情，乌木滩水库因水位降低、气温骤变等原因，库底沉积物上扬，</w:t>
            </w:r>
            <w:r>
              <w:rPr>
                <w:rFonts w:hint="eastAsia" w:ascii="Times New Roman" w:eastAsia="宋体" w:cs="Times New Roman"/>
                <w:color w:val="auto"/>
                <w:sz w:val="24"/>
                <w:lang w:val="en-US" w:eastAsia="zh-CN"/>
              </w:rPr>
              <w:t>库区</w:t>
            </w:r>
            <w:r>
              <w:rPr>
                <w:rFonts w:hint="eastAsia" w:ascii="Times New Roman" w:hAnsi="Times New Roman" w:eastAsia="宋体" w:cs="Times New Roman"/>
                <w:color w:val="auto"/>
                <w:sz w:val="24"/>
                <w:lang w:val="en-US" w:eastAsia="zh-CN"/>
              </w:rPr>
              <w:t>水质受到影响</w:t>
            </w:r>
            <w:r>
              <w:rPr>
                <w:rFonts w:hint="eastAsia" w:ascii="Times New Roman" w:eastAsia="宋体" w:cs="Times New Roman"/>
                <w:color w:val="auto"/>
                <w:sz w:val="24"/>
                <w:lang w:val="en-US" w:eastAsia="zh-CN"/>
              </w:rPr>
              <w:t>。</w:t>
            </w:r>
          </w:p>
          <w:p>
            <w:pPr>
              <w:widowControl/>
              <w:numPr>
                <w:ilvl w:val="0"/>
                <w:numId w:val="8"/>
              </w:numPr>
              <w:spacing w:line="360" w:lineRule="auto"/>
              <w:ind w:firstLine="482" w:firstLineChars="200"/>
              <w:jc w:val="left"/>
              <w:rPr>
                <w:rFonts w:hint="eastAsia" w:cs="Times New Roman"/>
                <w:b/>
                <w:bCs/>
                <w:color w:val="auto"/>
                <w:sz w:val="24"/>
                <w:szCs w:val="24"/>
                <w:highlight w:val="none"/>
                <w:lang w:val="en-US" w:eastAsia="zh-CN" w:bidi="ar"/>
              </w:rPr>
            </w:pPr>
            <w:r>
              <w:rPr>
                <w:rFonts w:hint="eastAsia" w:cs="Times New Roman"/>
                <w:b/>
                <w:bCs/>
                <w:color w:val="auto"/>
                <w:sz w:val="24"/>
                <w:szCs w:val="24"/>
                <w:highlight w:val="none"/>
                <w:lang w:val="en-US" w:eastAsia="zh-CN" w:bidi="ar"/>
              </w:rPr>
              <w:t>乌木滩水库近三季度水质例行监测数据</w:t>
            </w:r>
          </w:p>
          <w:p>
            <w:pPr>
              <w:spacing w:line="360" w:lineRule="auto"/>
              <w:ind w:firstLine="480" w:firstLineChars="200"/>
              <w:rPr>
                <w:color w:val="auto"/>
                <w:sz w:val="24"/>
                <w:highlight w:val="none"/>
              </w:rPr>
            </w:pPr>
            <w:r>
              <w:rPr>
                <w:rFonts w:hint="eastAsia" w:cs="Times New Roman"/>
                <w:i w:val="0"/>
                <w:iCs w:val="0"/>
                <w:caps w:val="0"/>
                <w:snapToGrid/>
                <w:color w:val="auto"/>
                <w:spacing w:val="0"/>
                <w:w w:val="100"/>
                <w:kern w:val="21"/>
                <w:position w:val="0"/>
                <w:sz w:val="24"/>
                <w:highlight w:val="none"/>
                <w:lang w:eastAsia="zh-CN"/>
              </w:rPr>
              <w:t>根据</w:t>
            </w:r>
            <w:r>
              <w:rPr>
                <w:rFonts w:hint="eastAsia" w:cs="Times New Roman"/>
                <w:i w:val="0"/>
                <w:iCs w:val="0"/>
                <w:caps w:val="0"/>
                <w:snapToGrid/>
                <w:color w:val="auto"/>
                <w:spacing w:val="0"/>
                <w:w w:val="100"/>
                <w:kern w:val="21"/>
                <w:position w:val="0"/>
                <w:sz w:val="24"/>
                <w:highlight w:val="none"/>
                <w:lang w:val="en-US" w:eastAsia="zh-CN"/>
              </w:rPr>
              <w:t>达州市生态环</w:t>
            </w:r>
            <w:r>
              <w:rPr>
                <w:rFonts w:hint="eastAsia" w:eastAsia="宋体"/>
                <w:color w:val="auto"/>
                <w:sz w:val="24"/>
                <w:highlight w:val="none"/>
                <w:lang w:val="en-US" w:eastAsia="zh-CN"/>
              </w:rPr>
              <w:t>境局发布的</w:t>
            </w:r>
            <w:r>
              <w:rPr>
                <w:rFonts w:hint="eastAsia" w:eastAsia="宋体"/>
                <w:color w:val="auto"/>
                <w:sz w:val="24"/>
                <w:highlight w:val="none"/>
              </w:rPr>
              <w:t>达州市县级城市集中式饮用水水源地水质状况</w:t>
            </w:r>
            <w:r>
              <w:rPr>
                <w:rFonts w:hint="eastAsia" w:eastAsia="宋体"/>
                <w:color w:val="auto"/>
                <w:sz w:val="24"/>
                <w:highlight w:val="none"/>
                <w:lang w:eastAsia="zh-CN"/>
              </w:rPr>
              <w:t>，</w:t>
            </w:r>
            <w:r>
              <w:rPr>
                <w:rFonts w:hint="eastAsia" w:cs="Times New Roman"/>
                <w:i w:val="0"/>
                <w:iCs w:val="0"/>
                <w:caps w:val="0"/>
                <w:snapToGrid/>
                <w:color w:val="auto"/>
                <w:spacing w:val="0"/>
                <w:w w:val="100"/>
                <w:kern w:val="21"/>
                <w:position w:val="0"/>
                <w:sz w:val="24"/>
                <w:highlight w:val="none"/>
                <w:lang w:val="en-US" w:eastAsia="zh-CN"/>
              </w:rPr>
              <w:t>乌木滩水库</w:t>
            </w:r>
            <w:r>
              <w:rPr>
                <w:rFonts w:hint="eastAsia"/>
                <w:color w:val="auto"/>
                <w:sz w:val="24"/>
                <w:highlight w:val="none"/>
              </w:rPr>
              <w:t>水质评价结果情况见下表所示。</w:t>
            </w: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highlight w:val="yellow"/>
                <w:lang w:eastAsia="zh-CN"/>
              </w:rPr>
            </w:pP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eastAsia" w:ascii="Times New Roman" w:hAnsi="Times New Roman" w:eastAsia="宋体" w:cs="Times New Roman"/>
                <w:b/>
                <w:bCs/>
                <w:snapToGrid/>
                <w:color w:val="auto"/>
                <w:spacing w:val="0"/>
                <w:w w:val="100"/>
                <w:kern w:val="21"/>
                <w:position w:val="0"/>
                <w:sz w:val="21"/>
                <w:szCs w:val="21"/>
                <w:highlight w:val="yellow"/>
                <w:lang w:eastAsia="zh-CN"/>
              </w:rPr>
            </w:pPr>
          </w:p>
          <w:p>
            <w:pPr>
              <w:keepNext w:val="0"/>
              <w:keepLines w:val="0"/>
              <w:pageBreakBefore w:val="0"/>
              <w:widowControl w:val="0"/>
              <w:kinsoku/>
              <w:wordWrap/>
              <w:overflowPunct w:val="0"/>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rPr>
                <w:rFonts w:hint="default" w:ascii="Times New Roman" w:hAnsi="Times New Roman" w:eastAsia="宋体" w:cs="Times New Roman"/>
                <w:b/>
                <w:bCs/>
                <w:snapToGrid/>
                <w:color w:val="auto"/>
                <w:spacing w:val="0"/>
                <w:w w:val="100"/>
                <w:kern w:val="21"/>
                <w:position w:val="0"/>
                <w:sz w:val="21"/>
                <w:szCs w:val="21"/>
                <w:highlight w:val="none"/>
                <w:lang w:eastAsia="zh-CN"/>
              </w:rPr>
            </w:pPr>
            <w:r>
              <w:rPr>
                <w:rFonts w:hint="eastAsia" w:ascii="Times New Roman" w:hAnsi="Times New Roman" w:eastAsia="宋体" w:cs="Times New Roman"/>
                <w:b/>
                <w:bCs/>
                <w:snapToGrid/>
                <w:color w:val="auto"/>
                <w:spacing w:val="0"/>
                <w:w w:val="100"/>
                <w:kern w:val="21"/>
                <w:position w:val="0"/>
                <w:sz w:val="21"/>
                <w:szCs w:val="21"/>
                <w:highlight w:val="none"/>
                <w:lang w:eastAsia="zh-CN"/>
              </w:rPr>
              <w:t>表</w:t>
            </w:r>
            <w:r>
              <w:rPr>
                <w:rFonts w:hint="eastAsia" w:ascii="Times New Roman" w:hAnsi="Times New Roman" w:eastAsia="宋体" w:cs="Times New Roman"/>
                <w:b/>
                <w:bCs/>
                <w:snapToGrid/>
                <w:color w:val="auto"/>
                <w:spacing w:val="0"/>
                <w:w w:val="100"/>
                <w:kern w:val="21"/>
                <w:position w:val="0"/>
                <w:sz w:val="21"/>
                <w:szCs w:val="21"/>
                <w:highlight w:val="none"/>
                <w:lang w:val="en-US" w:eastAsia="zh-CN"/>
              </w:rPr>
              <w:t>3-</w:t>
            </w:r>
            <w:r>
              <w:rPr>
                <w:rFonts w:hint="eastAsia" w:cs="Times New Roman"/>
                <w:b/>
                <w:bCs/>
                <w:snapToGrid/>
                <w:color w:val="auto"/>
                <w:spacing w:val="0"/>
                <w:w w:val="100"/>
                <w:kern w:val="21"/>
                <w:position w:val="0"/>
                <w:sz w:val="21"/>
                <w:szCs w:val="21"/>
                <w:highlight w:val="none"/>
                <w:lang w:val="en-US" w:eastAsia="zh-CN"/>
              </w:rPr>
              <w:t>7</w:t>
            </w:r>
            <w:r>
              <w:rPr>
                <w:rFonts w:hint="eastAsia" w:ascii="Times New Roman" w:hAnsi="Times New Roman" w:eastAsia="宋体" w:cs="Times New Roman"/>
                <w:b/>
                <w:bCs/>
                <w:snapToGrid/>
                <w:color w:val="auto"/>
                <w:spacing w:val="0"/>
                <w:w w:val="100"/>
                <w:kern w:val="21"/>
                <w:position w:val="0"/>
                <w:sz w:val="21"/>
                <w:szCs w:val="21"/>
                <w:highlight w:val="none"/>
                <w:lang w:val="en-US" w:eastAsia="zh-CN"/>
              </w:rPr>
              <w:t xml:space="preserve"> </w:t>
            </w:r>
            <w:r>
              <w:rPr>
                <w:rFonts w:hint="eastAsia" w:cs="Times New Roman"/>
                <w:b/>
                <w:bCs/>
                <w:snapToGrid/>
                <w:color w:val="auto"/>
                <w:spacing w:val="0"/>
                <w:w w:val="100"/>
                <w:kern w:val="21"/>
                <w:position w:val="0"/>
                <w:sz w:val="21"/>
                <w:szCs w:val="21"/>
                <w:highlight w:val="none"/>
                <w:lang w:val="en-US" w:eastAsia="zh-CN"/>
              </w:rPr>
              <w:t>乌木滩水库</w:t>
            </w:r>
            <w:r>
              <w:rPr>
                <w:rFonts w:hint="eastAsia" w:ascii="Times New Roman" w:hAnsi="Times New Roman" w:eastAsia="宋体" w:cs="Times New Roman"/>
                <w:b/>
                <w:bCs/>
                <w:snapToGrid/>
                <w:color w:val="auto"/>
                <w:spacing w:val="0"/>
                <w:w w:val="100"/>
                <w:kern w:val="21"/>
                <w:position w:val="0"/>
                <w:sz w:val="21"/>
                <w:szCs w:val="21"/>
                <w:highlight w:val="none"/>
                <w:lang w:eastAsia="zh-CN"/>
              </w:rPr>
              <w:t>水质评价结果表</w:t>
            </w:r>
            <w:r>
              <w:rPr>
                <w:rFonts w:hint="eastAsia" w:cs="Times New Roman"/>
                <w:b/>
                <w:bCs/>
                <w:snapToGrid/>
                <w:color w:val="auto"/>
                <w:spacing w:val="0"/>
                <w:w w:val="100"/>
                <w:kern w:val="21"/>
                <w:position w:val="0"/>
                <w:sz w:val="21"/>
                <w:szCs w:val="21"/>
                <w:highlight w:val="none"/>
                <w:lang w:eastAsia="zh-CN"/>
              </w:rPr>
              <w:t>（</w:t>
            </w:r>
            <w:r>
              <w:rPr>
                <w:rFonts w:hint="eastAsia" w:cs="Times New Roman"/>
                <w:b/>
                <w:bCs/>
                <w:snapToGrid/>
                <w:color w:val="auto"/>
                <w:spacing w:val="0"/>
                <w:w w:val="100"/>
                <w:kern w:val="21"/>
                <w:position w:val="0"/>
                <w:sz w:val="21"/>
                <w:szCs w:val="21"/>
                <w:highlight w:val="none"/>
                <w:lang w:val="en-US" w:eastAsia="zh-CN"/>
              </w:rPr>
              <w:t>近三季度</w:t>
            </w:r>
            <w:r>
              <w:rPr>
                <w:rFonts w:hint="eastAsia" w:cs="Times New Roman"/>
                <w:b/>
                <w:bCs/>
                <w:snapToGrid/>
                <w:color w:val="auto"/>
                <w:spacing w:val="0"/>
                <w:w w:val="100"/>
                <w:kern w:val="21"/>
                <w:position w:val="0"/>
                <w:sz w:val="21"/>
                <w:szCs w:val="21"/>
                <w:highlight w:val="none"/>
                <w:lang w:eastAsia="zh-CN"/>
              </w:rPr>
              <w:t>）</w:t>
            </w:r>
          </w:p>
          <w:tbl>
            <w:tblPr>
              <w:tblStyle w:val="29"/>
              <w:tblW w:w="79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74"/>
              <w:gridCol w:w="1853"/>
              <w:gridCol w:w="1209"/>
              <w:gridCol w:w="1402"/>
              <w:gridCol w:w="968"/>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31" w:hRule="atLeast"/>
              </w:trPr>
              <w:tc>
                <w:tcPr>
                  <w:tcW w:w="1474" w:type="dxa"/>
                  <w:vMerge w:val="restart"/>
                  <w:tcBorders>
                    <w:top w:val="single" w:color="auto" w:sz="4" w:space="0"/>
                    <w:left w:val="single" w:color="auto" w:sz="0" w:space="0"/>
                  </w:tcBorders>
                  <w:vAlign w:val="center"/>
                </w:tcPr>
                <w:p>
                  <w:pPr>
                    <w:jc w:val="center"/>
                    <w:rPr>
                      <w:rFonts w:hint="eastAsia" w:eastAsia="宋体"/>
                      <w:b/>
                      <w:bCs/>
                      <w:color w:val="auto"/>
                      <w:szCs w:val="21"/>
                      <w:highlight w:val="none"/>
                      <w:lang w:eastAsia="zh-CN"/>
                    </w:rPr>
                  </w:pPr>
                  <w:r>
                    <w:rPr>
                      <w:rFonts w:hint="eastAsia"/>
                      <w:b/>
                      <w:bCs/>
                      <w:color w:val="auto"/>
                      <w:szCs w:val="21"/>
                      <w:highlight w:val="none"/>
                      <w:lang w:val="en-US" w:eastAsia="zh-CN"/>
                    </w:rPr>
                    <w:t>时间</w:t>
                  </w:r>
                </w:p>
              </w:tc>
              <w:tc>
                <w:tcPr>
                  <w:tcW w:w="1853" w:type="dxa"/>
                  <w:vMerge w:val="restart"/>
                  <w:tcBorders>
                    <w:top w:val="single" w:color="auto" w:sz="4" w:space="0"/>
                  </w:tcBorders>
                  <w:vAlign w:val="center"/>
                </w:tcPr>
                <w:p>
                  <w:pPr>
                    <w:jc w:val="center"/>
                    <w:rPr>
                      <w:rFonts w:hint="eastAsia" w:eastAsia="宋体"/>
                      <w:b/>
                      <w:bCs/>
                      <w:color w:val="auto"/>
                      <w:szCs w:val="21"/>
                      <w:highlight w:val="none"/>
                      <w:lang w:eastAsia="zh-CN"/>
                    </w:rPr>
                  </w:pPr>
                  <w:r>
                    <w:rPr>
                      <w:rFonts w:hint="eastAsia"/>
                      <w:b/>
                      <w:bCs/>
                      <w:color w:val="auto"/>
                      <w:szCs w:val="21"/>
                      <w:highlight w:val="none"/>
                      <w:lang w:val="en-US" w:eastAsia="zh-CN"/>
                    </w:rPr>
                    <w:t>水源地</w:t>
                  </w:r>
                </w:p>
              </w:tc>
              <w:tc>
                <w:tcPr>
                  <w:tcW w:w="1209" w:type="dxa"/>
                  <w:vMerge w:val="restart"/>
                  <w:tcBorders>
                    <w:top w:val="single" w:color="auto" w:sz="4" w:space="0"/>
                  </w:tcBorders>
                  <w:vAlign w:val="center"/>
                </w:tcPr>
                <w:p>
                  <w:pPr>
                    <w:jc w:val="center"/>
                    <w:rPr>
                      <w:rFonts w:hint="default"/>
                      <w:b/>
                      <w:bCs/>
                      <w:color w:val="auto"/>
                      <w:szCs w:val="21"/>
                      <w:highlight w:val="none"/>
                      <w:lang w:val="en-US" w:eastAsia="zh-CN"/>
                    </w:rPr>
                  </w:pPr>
                  <w:r>
                    <w:rPr>
                      <w:rFonts w:hint="eastAsia"/>
                      <w:b/>
                      <w:bCs/>
                      <w:color w:val="auto"/>
                      <w:szCs w:val="21"/>
                      <w:highlight w:val="none"/>
                      <w:lang w:val="en-US" w:eastAsia="zh-CN"/>
                    </w:rPr>
                    <w:t>水源地类型</w:t>
                  </w:r>
                </w:p>
              </w:tc>
              <w:tc>
                <w:tcPr>
                  <w:tcW w:w="1402" w:type="dxa"/>
                  <w:vMerge w:val="restart"/>
                  <w:tcBorders>
                    <w:top w:val="single" w:color="auto" w:sz="4" w:space="0"/>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水质评价结果</w:t>
                  </w:r>
                </w:p>
              </w:tc>
              <w:tc>
                <w:tcPr>
                  <w:tcW w:w="1968" w:type="dxa"/>
                  <w:gridSpan w:val="2"/>
                  <w:tcBorders>
                    <w:top w:val="single" w:color="auto" w:sz="4" w:space="0"/>
                    <w:right w:val="single" w:color="auto" w:sz="4" w:space="0"/>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本季度超标污染物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31" w:hRule="atLeast"/>
              </w:trPr>
              <w:tc>
                <w:tcPr>
                  <w:tcW w:w="1474" w:type="dxa"/>
                  <w:vMerge w:val="continue"/>
                  <w:tcBorders>
                    <w:left w:val="single" w:color="auto" w:sz="4" w:space="0"/>
                  </w:tcBorders>
                  <w:vAlign w:val="center"/>
                </w:tcPr>
                <w:p>
                  <w:pPr>
                    <w:jc w:val="center"/>
                    <w:rPr>
                      <w:b/>
                      <w:bCs/>
                      <w:color w:val="auto"/>
                      <w:highlight w:val="none"/>
                    </w:rPr>
                  </w:pPr>
                </w:p>
              </w:tc>
              <w:tc>
                <w:tcPr>
                  <w:tcW w:w="1853" w:type="dxa"/>
                  <w:vMerge w:val="continue"/>
                  <w:vAlign w:val="center"/>
                </w:tcPr>
                <w:p>
                  <w:pPr>
                    <w:jc w:val="center"/>
                    <w:rPr>
                      <w:b/>
                      <w:bCs/>
                      <w:color w:val="auto"/>
                      <w:highlight w:val="none"/>
                    </w:rPr>
                  </w:pPr>
                </w:p>
              </w:tc>
              <w:tc>
                <w:tcPr>
                  <w:tcW w:w="1209" w:type="dxa"/>
                  <w:vMerge w:val="continue"/>
                  <w:vAlign w:val="center"/>
                </w:tcPr>
                <w:p>
                  <w:pPr>
                    <w:jc w:val="center"/>
                    <w:rPr>
                      <w:b/>
                      <w:bCs/>
                      <w:color w:val="auto"/>
                      <w:highlight w:val="none"/>
                    </w:rPr>
                  </w:pPr>
                </w:p>
              </w:tc>
              <w:tc>
                <w:tcPr>
                  <w:tcW w:w="1402" w:type="dxa"/>
                  <w:vMerge w:val="continue"/>
                  <w:vAlign w:val="center"/>
                </w:tcPr>
                <w:p>
                  <w:pPr>
                    <w:jc w:val="center"/>
                    <w:rPr>
                      <w:b/>
                      <w:bCs/>
                      <w:color w:val="auto"/>
                      <w:highlight w:val="none"/>
                    </w:rPr>
                  </w:pPr>
                </w:p>
              </w:tc>
              <w:tc>
                <w:tcPr>
                  <w:tcW w:w="968" w:type="dxa"/>
                  <w:tcBorders>
                    <w:top w:val="single" w:color="auto" w:sz="4" w:space="0"/>
                    <w:right w:val="single" w:color="auto" w:sz="4" w:space="0"/>
                  </w:tcBorders>
                  <w:vAlign w:val="center"/>
                </w:tcPr>
                <w:p>
                  <w:pPr>
                    <w:jc w:val="center"/>
                    <w:rPr>
                      <w:rFonts w:hint="default" w:eastAsia="宋体"/>
                      <w:b/>
                      <w:bCs/>
                      <w:color w:val="auto"/>
                      <w:highlight w:val="none"/>
                      <w:lang w:val="en-US" w:eastAsia="zh-CN"/>
                    </w:rPr>
                  </w:pPr>
                  <w:r>
                    <w:rPr>
                      <w:rFonts w:hint="eastAsia"/>
                      <w:b/>
                      <w:bCs/>
                      <w:color w:val="auto"/>
                      <w:highlight w:val="none"/>
                      <w:lang w:val="en-US" w:eastAsia="zh-CN"/>
                    </w:rPr>
                    <w:t>评价指标</w:t>
                  </w:r>
                </w:p>
              </w:tc>
              <w:tc>
                <w:tcPr>
                  <w:tcW w:w="1000" w:type="dxa"/>
                  <w:tcBorders>
                    <w:top w:val="single" w:color="auto" w:sz="4" w:space="0"/>
                    <w:right w:val="single" w:color="auto" w:sz="4" w:space="0"/>
                  </w:tcBorders>
                  <w:vAlign w:val="center"/>
                </w:tcPr>
                <w:p>
                  <w:pPr>
                    <w:jc w:val="center"/>
                    <w:rPr>
                      <w:rFonts w:hint="default" w:eastAsia="宋体"/>
                      <w:b/>
                      <w:bCs/>
                      <w:color w:val="auto"/>
                      <w:highlight w:val="none"/>
                      <w:lang w:val="en-US" w:eastAsia="zh-CN"/>
                    </w:rPr>
                  </w:pPr>
                  <w:r>
                    <w:rPr>
                      <w:rFonts w:hint="eastAsia"/>
                      <w:b/>
                      <w:bCs/>
                      <w:color w:val="auto"/>
                      <w:highlight w:val="none"/>
                      <w:lang w:val="en-US" w:eastAsia="zh-CN"/>
                    </w:rPr>
                    <w:t>参考指标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474" w:type="dxa"/>
                  <w:tcBorders>
                    <w:left w:val="single" w:color="auto" w:sz="4" w:space="0"/>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2024年2季度</w:t>
                  </w:r>
                </w:p>
              </w:tc>
              <w:tc>
                <w:tcPr>
                  <w:tcW w:w="1853"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乌木滩水库水源地</w:t>
                  </w:r>
                </w:p>
              </w:tc>
              <w:tc>
                <w:tcPr>
                  <w:tcW w:w="1209" w:type="dxa"/>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湖库</w:t>
                  </w:r>
                </w:p>
              </w:tc>
              <w:tc>
                <w:tcPr>
                  <w:tcW w:w="1402" w:type="dxa"/>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达标</w:t>
                  </w:r>
                </w:p>
              </w:tc>
              <w:tc>
                <w:tcPr>
                  <w:tcW w:w="968" w:type="dxa"/>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000" w:type="dxa"/>
                  <w:tcBorders>
                    <w:right w:val="single" w:color="auto" w:sz="4" w:space="0"/>
                  </w:tcBorders>
                  <w:vAlign w:val="center"/>
                </w:tcPr>
                <w:p>
                  <w:pPr>
                    <w:jc w:val="center"/>
                    <w:rPr>
                      <w:rFonts w:hint="default"/>
                      <w:color w:val="auto"/>
                      <w:szCs w:val="21"/>
                      <w:highlight w:val="none"/>
                      <w:lang w:val="en-US"/>
                    </w:rPr>
                  </w:pPr>
                  <w:r>
                    <w:rPr>
                      <w:rFonts w:hint="eastAsia" w:eastAsia="宋体"/>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1" w:hRule="atLeast"/>
              </w:trPr>
              <w:tc>
                <w:tcPr>
                  <w:tcW w:w="1474" w:type="dxa"/>
                  <w:tcBorders>
                    <w:left w:val="single" w:color="auto" w:sz="4" w:space="0"/>
                  </w:tcBorders>
                  <w:vAlign w:val="center"/>
                </w:tcPr>
                <w:p>
                  <w:pPr>
                    <w:jc w:val="center"/>
                    <w:rPr>
                      <w:rFonts w:hint="eastAsia"/>
                      <w:color w:val="auto"/>
                      <w:szCs w:val="21"/>
                      <w:highlight w:val="none"/>
                    </w:rPr>
                  </w:pPr>
                  <w:r>
                    <w:rPr>
                      <w:rFonts w:hint="eastAsia"/>
                      <w:color w:val="auto"/>
                      <w:szCs w:val="21"/>
                      <w:highlight w:val="none"/>
                      <w:lang w:val="en-US" w:eastAsia="zh-CN"/>
                    </w:rPr>
                    <w:t>2024年1季度</w:t>
                  </w:r>
                </w:p>
              </w:tc>
              <w:tc>
                <w:tcPr>
                  <w:tcW w:w="1853" w:type="dxa"/>
                  <w:vAlign w:val="center"/>
                </w:tcPr>
                <w:p>
                  <w:pPr>
                    <w:jc w:val="center"/>
                    <w:rPr>
                      <w:color w:val="auto"/>
                      <w:szCs w:val="21"/>
                      <w:highlight w:val="none"/>
                    </w:rPr>
                  </w:pPr>
                  <w:r>
                    <w:rPr>
                      <w:rFonts w:hint="eastAsia"/>
                      <w:color w:val="auto"/>
                      <w:szCs w:val="21"/>
                      <w:highlight w:val="none"/>
                      <w:lang w:val="en-US" w:eastAsia="zh-CN"/>
                    </w:rPr>
                    <w:t>乌木滩水库水源地</w:t>
                  </w:r>
                </w:p>
              </w:tc>
              <w:tc>
                <w:tcPr>
                  <w:tcW w:w="1209" w:type="dxa"/>
                  <w:vAlign w:val="center"/>
                </w:tcPr>
                <w:p>
                  <w:pPr>
                    <w:jc w:val="center"/>
                    <w:rPr>
                      <w:color w:val="auto"/>
                      <w:szCs w:val="21"/>
                      <w:highlight w:val="none"/>
                    </w:rPr>
                  </w:pPr>
                  <w:r>
                    <w:rPr>
                      <w:rFonts w:hint="eastAsia" w:eastAsia="宋体"/>
                      <w:color w:val="auto"/>
                      <w:szCs w:val="21"/>
                      <w:highlight w:val="none"/>
                      <w:lang w:val="en-US" w:eastAsia="zh-CN"/>
                    </w:rPr>
                    <w:t>湖库</w:t>
                  </w:r>
                </w:p>
              </w:tc>
              <w:tc>
                <w:tcPr>
                  <w:tcW w:w="1402" w:type="dxa"/>
                  <w:vAlign w:val="center"/>
                </w:tcPr>
                <w:p>
                  <w:pPr>
                    <w:jc w:val="center"/>
                    <w:rPr>
                      <w:rFonts w:hint="eastAsia"/>
                      <w:color w:val="auto"/>
                      <w:szCs w:val="21"/>
                      <w:highlight w:val="none"/>
                      <w:lang w:val="en-US" w:eastAsia="zh-CN"/>
                    </w:rPr>
                  </w:pPr>
                  <w:r>
                    <w:rPr>
                      <w:rFonts w:hint="eastAsia" w:eastAsia="宋体"/>
                      <w:color w:val="auto"/>
                      <w:szCs w:val="21"/>
                      <w:highlight w:val="none"/>
                      <w:lang w:val="en-US" w:eastAsia="zh-CN"/>
                    </w:rPr>
                    <w:t>达标</w:t>
                  </w:r>
                </w:p>
              </w:tc>
              <w:tc>
                <w:tcPr>
                  <w:tcW w:w="968" w:type="dxa"/>
                  <w:vAlign w:val="center"/>
                </w:tcPr>
                <w:p>
                  <w:pPr>
                    <w:jc w:val="center"/>
                    <w:rPr>
                      <w:rFonts w:hint="eastAsia"/>
                      <w:color w:val="auto"/>
                      <w:szCs w:val="21"/>
                      <w:highlight w:val="none"/>
                    </w:rPr>
                  </w:pPr>
                  <w:r>
                    <w:rPr>
                      <w:rFonts w:hint="eastAsia" w:eastAsia="宋体"/>
                      <w:color w:val="auto"/>
                      <w:szCs w:val="21"/>
                      <w:highlight w:val="none"/>
                      <w:lang w:val="en-US" w:eastAsia="zh-CN"/>
                    </w:rPr>
                    <w:t>—</w:t>
                  </w:r>
                </w:p>
              </w:tc>
              <w:tc>
                <w:tcPr>
                  <w:tcW w:w="1000" w:type="dxa"/>
                  <w:tcBorders>
                    <w:right w:val="single" w:color="auto" w:sz="4" w:space="0"/>
                  </w:tcBorders>
                  <w:vAlign w:val="center"/>
                </w:tcPr>
                <w:p>
                  <w:pPr>
                    <w:jc w:val="center"/>
                    <w:rPr>
                      <w:rFonts w:hint="eastAsia"/>
                      <w:color w:val="auto"/>
                      <w:szCs w:val="21"/>
                      <w:highlight w:val="none"/>
                    </w:rPr>
                  </w:pPr>
                  <w:r>
                    <w:rPr>
                      <w:rFonts w:hint="eastAsia" w:eastAsia="宋体"/>
                      <w:color w:val="auto"/>
                      <w:szCs w:val="21"/>
                      <w:highlight w:val="none"/>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3" w:hRule="atLeast"/>
              </w:trPr>
              <w:tc>
                <w:tcPr>
                  <w:tcW w:w="1474" w:type="dxa"/>
                  <w:tcBorders>
                    <w:left w:val="single" w:color="auto" w:sz="4" w:space="0"/>
                    <w:bottom w:val="single" w:color="auto" w:sz="4" w:space="0"/>
                  </w:tcBorders>
                  <w:vAlign w:val="center"/>
                </w:tcPr>
                <w:p>
                  <w:pPr>
                    <w:jc w:val="center"/>
                    <w:rPr>
                      <w:rFonts w:hint="eastAsia"/>
                      <w:color w:val="auto"/>
                      <w:szCs w:val="21"/>
                      <w:highlight w:val="none"/>
                    </w:rPr>
                  </w:pPr>
                  <w:r>
                    <w:rPr>
                      <w:rFonts w:hint="eastAsia"/>
                      <w:color w:val="auto"/>
                      <w:szCs w:val="21"/>
                      <w:highlight w:val="none"/>
                      <w:lang w:val="en-US" w:eastAsia="zh-CN"/>
                    </w:rPr>
                    <w:t>2023年4季度</w:t>
                  </w:r>
                </w:p>
              </w:tc>
              <w:tc>
                <w:tcPr>
                  <w:tcW w:w="1853" w:type="dxa"/>
                  <w:tcBorders>
                    <w:bottom w:val="single" w:color="auto" w:sz="4" w:space="0"/>
                  </w:tcBorders>
                  <w:vAlign w:val="center"/>
                </w:tcPr>
                <w:p>
                  <w:pPr>
                    <w:jc w:val="center"/>
                    <w:rPr>
                      <w:color w:val="auto"/>
                      <w:szCs w:val="21"/>
                      <w:highlight w:val="none"/>
                    </w:rPr>
                  </w:pPr>
                  <w:r>
                    <w:rPr>
                      <w:rFonts w:hint="eastAsia"/>
                      <w:color w:val="auto"/>
                      <w:szCs w:val="21"/>
                      <w:highlight w:val="none"/>
                      <w:lang w:val="en-US" w:eastAsia="zh-CN"/>
                    </w:rPr>
                    <w:t>乌木滩水库水源地</w:t>
                  </w:r>
                </w:p>
              </w:tc>
              <w:tc>
                <w:tcPr>
                  <w:tcW w:w="1209" w:type="dxa"/>
                  <w:tcBorders>
                    <w:bottom w:val="single" w:color="auto" w:sz="4" w:space="0"/>
                  </w:tcBorders>
                  <w:vAlign w:val="center"/>
                </w:tcPr>
                <w:p>
                  <w:pPr>
                    <w:jc w:val="center"/>
                    <w:rPr>
                      <w:rFonts w:hint="eastAsia"/>
                      <w:color w:val="auto"/>
                      <w:szCs w:val="21"/>
                      <w:highlight w:val="none"/>
                      <w:lang w:val="en-US" w:eastAsia="zh-CN"/>
                    </w:rPr>
                  </w:pPr>
                  <w:r>
                    <w:rPr>
                      <w:rFonts w:hint="eastAsia" w:eastAsia="宋体"/>
                      <w:color w:val="auto"/>
                      <w:szCs w:val="21"/>
                      <w:highlight w:val="none"/>
                      <w:lang w:val="en-US" w:eastAsia="zh-CN"/>
                    </w:rPr>
                    <w:t>湖库</w:t>
                  </w:r>
                </w:p>
              </w:tc>
              <w:tc>
                <w:tcPr>
                  <w:tcW w:w="1402" w:type="dxa"/>
                  <w:tcBorders>
                    <w:bottom w:val="single" w:color="auto" w:sz="4" w:space="0"/>
                  </w:tcBorders>
                  <w:vAlign w:val="center"/>
                </w:tcPr>
                <w:p>
                  <w:pPr>
                    <w:jc w:val="center"/>
                    <w:rPr>
                      <w:rFonts w:hint="eastAsia"/>
                      <w:color w:val="auto"/>
                      <w:szCs w:val="21"/>
                      <w:highlight w:val="none"/>
                      <w:lang w:val="en-US" w:eastAsia="zh-CN"/>
                    </w:rPr>
                  </w:pPr>
                  <w:r>
                    <w:rPr>
                      <w:rFonts w:hint="eastAsia" w:eastAsia="宋体"/>
                      <w:color w:val="auto"/>
                      <w:szCs w:val="21"/>
                      <w:highlight w:val="none"/>
                      <w:lang w:val="en-US" w:eastAsia="zh-CN"/>
                    </w:rPr>
                    <w:t>达标</w:t>
                  </w:r>
                </w:p>
              </w:tc>
              <w:tc>
                <w:tcPr>
                  <w:tcW w:w="968" w:type="dxa"/>
                  <w:tcBorders>
                    <w:bottom w:val="single" w:color="auto" w:sz="4" w:space="0"/>
                  </w:tcBorders>
                  <w:vAlign w:val="center"/>
                </w:tcPr>
                <w:p>
                  <w:pPr>
                    <w:jc w:val="center"/>
                    <w:rPr>
                      <w:rFonts w:hint="eastAsia"/>
                      <w:color w:val="auto"/>
                      <w:szCs w:val="21"/>
                      <w:highlight w:val="none"/>
                    </w:rPr>
                  </w:pPr>
                  <w:r>
                    <w:rPr>
                      <w:rFonts w:hint="eastAsia" w:eastAsia="宋体"/>
                      <w:color w:val="auto"/>
                      <w:szCs w:val="21"/>
                      <w:highlight w:val="none"/>
                      <w:lang w:val="en-US" w:eastAsia="zh-CN"/>
                    </w:rPr>
                    <w:t>—</w:t>
                  </w:r>
                </w:p>
              </w:tc>
              <w:tc>
                <w:tcPr>
                  <w:tcW w:w="1000" w:type="dxa"/>
                  <w:tcBorders>
                    <w:bottom w:val="single" w:color="auto" w:sz="4" w:space="0"/>
                    <w:right w:val="single" w:color="auto" w:sz="4" w:space="0"/>
                  </w:tcBorders>
                  <w:vAlign w:val="center"/>
                </w:tcPr>
                <w:p>
                  <w:pPr>
                    <w:jc w:val="center"/>
                    <w:rPr>
                      <w:rFonts w:hint="eastAsia"/>
                      <w:color w:val="auto"/>
                      <w:szCs w:val="21"/>
                      <w:highlight w:val="none"/>
                    </w:rPr>
                  </w:pPr>
                  <w:r>
                    <w:rPr>
                      <w:rFonts w:hint="eastAsia" w:eastAsia="宋体"/>
                      <w:color w:val="auto"/>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color w:val="auto"/>
                <w:sz w:val="21"/>
                <w:szCs w:val="21"/>
                <w:lang w:val="en-US" w:eastAsia="zh-CN"/>
              </w:rPr>
            </w:pPr>
            <w:r>
              <w:rPr>
                <w:rFonts w:hint="eastAsia"/>
                <w:b/>
                <w:bCs/>
                <w:color w:val="auto"/>
                <w:sz w:val="21"/>
                <w:szCs w:val="21"/>
                <w:highlight w:val="none"/>
                <w:lang w:val="en-US" w:eastAsia="zh-CN"/>
              </w:rPr>
              <w:t>注：总氮、粪大肠菌群为参考指标；2</w:t>
            </w:r>
            <w:r>
              <w:rPr>
                <w:rFonts w:hint="eastAsia"/>
                <w:b/>
                <w:bCs/>
                <w:color w:val="auto"/>
                <w:szCs w:val="21"/>
                <w:highlight w:val="none"/>
                <w:lang w:val="en-US" w:eastAsia="zh-CN"/>
              </w:rPr>
              <w:t>023年3季度未监测</w:t>
            </w:r>
            <w:r>
              <w:rPr>
                <w:rFonts w:hint="eastAsia"/>
                <w:b/>
                <w:bCs/>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highlight w:val="none"/>
                <w:lang w:val="en-US" w:eastAsia="zh-CN"/>
              </w:rPr>
            </w:pPr>
            <w:r>
              <w:rPr>
                <w:rFonts w:hint="eastAsia"/>
                <w:color w:val="auto"/>
                <w:sz w:val="24"/>
                <w:highlight w:val="none"/>
              </w:rPr>
              <w:t>根据上表可知，</w:t>
            </w:r>
            <w:r>
              <w:rPr>
                <w:rFonts w:hint="eastAsia"/>
                <w:color w:val="auto"/>
                <w:sz w:val="24"/>
                <w:highlight w:val="none"/>
                <w:lang w:val="en-US" w:eastAsia="zh-CN"/>
              </w:rPr>
              <w:t>乌木滩水库近三季度</w:t>
            </w:r>
            <w:r>
              <w:rPr>
                <w:rFonts w:hint="eastAsia"/>
                <w:color w:val="auto"/>
                <w:sz w:val="24"/>
                <w:highlight w:val="none"/>
              </w:rPr>
              <w:t>水质能够满足《地表水环境质量标准》（GB3838-2002）III类标准，</w:t>
            </w:r>
            <w:r>
              <w:rPr>
                <w:rFonts w:hint="eastAsia"/>
                <w:color w:val="auto"/>
                <w:sz w:val="24"/>
                <w:highlight w:val="none"/>
                <w:lang w:val="en-US" w:eastAsia="zh-CN"/>
              </w:rPr>
              <w:t>乌木滩水库</w:t>
            </w:r>
            <w:r>
              <w:rPr>
                <w:rFonts w:hint="eastAsia"/>
                <w:color w:val="auto"/>
                <w:sz w:val="24"/>
                <w:highlight w:val="none"/>
              </w:rPr>
              <w:t>地表水环境质量良好。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kern w:val="0"/>
                <w:sz w:val="24"/>
              </w:rPr>
            </w:pPr>
            <w:r>
              <w:rPr>
                <w:b/>
                <w:color w:val="auto"/>
                <w:kern w:val="0"/>
                <w:sz w:val="24"/>
              </w:rPr>
              <w:t>三、声环境</w:t>
            </w:r>
          </w:p>
          <w:p>
            <w:pPr>
              <w:pStyle w:val="16"/>
              <w:spacing w:line="360" w:lineRule="auto"/>
              <w:ind w:firstLine="480" w:firstLineChars="200"/>
              <w:rPr>
                <w:rFonts w:ascii="Times New Roman"/>
                <w:color w:val="auto"/>
                <w:sz w:val="24"/>
              </w:rPr>
            </w:pPr>
            <w:r>
              <w:rPr>
                <w:rFonts w:ascii="Times New Roman"/>
                <w:color w:val="auto"/>
                <w:sz w:val="24"/>
              </w:rPr>
              <w:t>为了解项目所在地声环境质量现状</w:t>
            </w:r>
            <w:r>
              <w:rPr>
                <w:rFonts w:ascii="Times New Roman" w:eastAsia="宋体"/>
                <w:color w:val="auto"/>
                <w:sz w:val="24"/>
              </w:rPr>
              <w:t>，</w:t>
            </w:r>
            <w:r>
              <w:rPr>
                <w:rFonts w:hint="eastAsia" w:ascii="Times New Roman"/>
                <w:color w:val="auto"/>
                <w:sz w:val="24"/>
                <w:lang w:val="en-US" w:eastAsia="zh-CN"/>
              </w:rPr>
              <w:t>本项目在东柳二水厂进水井附近的</w:t>
            </w:r>
            <w:r>
              <w:rPr>
                <w:rFonts w:hint="eastAsia" w:ascii="Times New Roman" w:hAnsi="Times New Roman" w:cs="Times New Roman"/>
                <w:color w:val="auto"/>
                <w:sz w:val="24"/>
                <w:lang w:val="en-US" w:eastAsia="zh-CN"/>
              </w:rPr>
              <w:t>大竹东柳黄家坝社区14组居民处设1个噪声监测点位，</w:t>
            </w:r>
            <w:r>
              <w:rPr>
                <w:rFonts w:hint="default" w:ascii="Times New Roman" w:eastAsia="宋体"/>
                <w:color w:val="auto"/>
                <w:sz w:val="24"/>
              </w:rPr>
              <w:t>达州恒福环境监测服务有限公司</w:t>
            </w:r>
            <w:r>
              <w:rPr>
                <w:rFonts w:ascii="Times New Roman"/>
                <w:color w:val="auto"/>
                <w:sz w:val="24"/>
              </w:rPr>
              <w:t>于202</w:t>
            </w:r>
            <w:r>
              <w:rPr>
                <w:rFonts w:hint="eastAsia" w:ascii="Times New Roman"/>
                <w:color w:val="auto"/>
                <w:sz w:val="24"/>
                <w:lang w:val="en-US" w:eastAsia="zh-CN"/>
              </w:rPr>
              <w:t>4</w:t>
            </w:r>
            <w:r>
              <w:rPr>
                <w:rFonts w:ascii="Times New Roman"/>
                <w:color w:val="auto"/>
                <w:sz w:val="24"/>
                <w:highlight w:val="none"/>
              </w:rPr>
              <w:t>年</w:t>
            </w:r>
            <w:r>
              <w:rPr>
                <w:rFonts w:hint="eastAsia" w:ascii="Times New Roman"/>
                <w:color w:val="auto"/>
                <w:sz w:val="24"/>
                <w:highlight w:val="none"/>
                <w:lang w:val="en-US" w:eastAsia="zh-CN"/>
              </w:rPr>
              <w:t>7</w:t>
            </w:r>
            <w:r>
              <w:rPr>
                <w:rFonts w:ascii="Times New Roman"/>
                <w:color w:val="auto"/>
                <w:sz w:val="24"/>
                <w:highlight w:val="none"/>
              </w:rPr>
              <w:t>月1</w:t>
            </w:r>
            <w:r>
              <w:rPr>
                <w:rFonts w:hint="eastAsia" w:ascii="Times New Roman"/>
                <w:color w:val="auto"/>
                <w:sz w:val="24"/>
                <w:highlight w:val="none"/>
                <w:lang w:val="en-US" w:eastAsia="zh-CN"/>
              </w:rPr>
              <w:t>3</w:t>
            </w:r>
            <w:r>
              <w:rPr>
                <w:rFonts w:ascii="Times New Roman"/>
                <w:color w:val="auto"/>
                <w:sz w:val="24"/>
                <w:highlight w:val="none"/>
              </w:rPr>
              <w:t>日对</w:t>
            </w:r>
            <w:r>
              <w:rPr>
                <w:rFonts w:hint="eastAsia" w:ascii="Times New Roman"/>
                <w:color w:val="auto"/>
                <w:sz w:val="24"/>
                <w:highlight w:val="none"/>
                <w:lang w:val="en-US" w:eastAsia="zh-CN"/>
              </w:rPr>
              <w:t>厂界四周</w:t>
            </w:r>
            <w:r>
              <w:rPr>
                <w:rFonts w:ascii="Times New Roman"/>
                <w:color w:val="auto"/>
                <w:sz w:val="24"/>
                <w:highlight w:val="none"/>
              </w:rPr>
              <w:t>进</w:t>
            </w:r>
            <w:r>
              <w:rPr>
                <w:rFonts w:ascii="Times New Roman"/>
                <w:color w:val="auto"/>
                <w:sz w:val="24"/>
              </w:rPr>
              <w:t>行噪声监测。</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表3-</w:t>
            </w:r>
            <w:r>
              <w:rPr>
                <w:rFonts w:hint="eastAsia" w:cs="Times New Roman"/>
                <w:b/>
                <w:bCs/>
                <w:color w:val="auto"/>
                <w:kern w:val="0"/>
                <w:sz w:val="21"/>
                <w:szCs w:val="21"/>
                <w:lang w:val="en-US" w:eastAsia="zh-CN" w:bidi="ar"/>
              </w:rPr>
              <w:t>8</w:t>
            </w:r>
            <w:r>
              <w:rPr>
                <w:rFonts w:hint="default" w:ascii="Times New Roman" w:hAnsi="Times New Roman" w:eastAsia="宋体" w:cs="Times New Roman"/>
                <w:b/>
                <w:bCs/>
                <w:color w:val="auto"/>
                <w:kern w:val="0"/>
                <w:sz w:val="21"/>
                <w:szCs w:val="21"/>
                <w:lang w:val="en-US" w:eastAsia="zh-CN" w:bidi="ar"/>
              </w:rPr>
              <w:t xml:space="preserve"> 声环境监测点位、因子及频率</w:t>
            </w:r>
          </w:p>
          <w:tbl>
            <w:tblPr>
              <w:tblStyle w:val="29"/>
              <w:tblW w:w="78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59"/>
              <w:gridCol w:w="1756"/>
              <w:gridCol w:w="1329"/>
              <w:gridCol w:w="1461"/>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59"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编号</w:t>
                  </w:r>
                </w:p>
              </w:tc>
              <w:tc>
                <w:tcPr>
                  <w:tcW w:w="1756"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b/>
                      <w:bCs/>
                      <w:color w:val="auto"/>
                      <w:sz w:val="21"/>
                      <w:szCs w:val="21"/>
                    </w:rPr>
                    <w:t>监测点位</w:t>
                  </w:r>
                </w:p>
              </w:tc>
              <w:tc>
                <w:tcPr>
                  <w:tcW w:w="1329"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b/>
                      <w:bCs/>
                      <w:color w:val="auto"/>
                      <w:sz w:val="21"/>
                      <w:szCs w:val="21"/>
                    </w:rPr>
                    <w:t>监测项目</w:t>
                  </w:r>
                </w:p>
              </w:tc>
              <w:tc>
                <w:tcPr>
                  <w:tcW w:w="1461"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b/>
                      <w:bCs/>
                      <w:color w:val="auto"/>
                      <w:sz w:val="21"/>
                      <w:szCs w:val="21"/>
                    </w:rPr>
                    <w:t>监测频次</w:t>
                  </w:r>
                </w:p>
              </w:tc>
              <w:tc>
                <w:tcPr>
                  <w:tcW w:w="2679"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59"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756" w:type="dxa"/>
                  <w:tcBorders>
                    <w:tl2br w:val="nil"/>
                    <w:tr2bl w:val="nil"/>
                  </w:tcBorders>
                  <w:noWrap w:val="0"/>
                  <w:vAlign w:val="center"/>
                </w:tcPr>
                <w:p>
                  <w:pPr>
                    <w:pStyle w:val="1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大竹东柳黄家坝社区14组居民</w:t>
                  </w:r>
                </w:p>
              </w:tc>
              <w:tc>
                <w:tcPr>
                  <w:tcW w:w="1329"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color w:val="auto"/>
                      <w:sz w:val="21"/>
                      <w:szCs w:val="21"/>
                    </w:rPr>
                    <w:t>连续等效</w:t>
                  </w:r>
                  <w:r>
                    <w:rPr>
                      <w:rFonts w:hint="default" w:ascii="Times New Roman" w:hAnsi="Times New Roman" w:cs="Times New Roman"/>
                      <w:color w:val="auto"/>
                      <w:sz w:val="21"/>
                      <w:szCs w:val="21"/>
                    </w:rPr>
                    <w:t>A</w:t>
                  </w:r>
                  <w:r>
                    <w:rPr>
                      <w:color w:val="auto"/>
                      <w:sz w:val="21"/>
                      <w:szCs w:val="21"/>
                    </w:rPr>
                    <w:t>声级</w:t>
                  </w:r>
                </w:p>
              </w:tc>
              <w:tc>
                <w:tcPr>
                  <w:tcW w:w="1461"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cs="Times New Roman"/>
                      <w:color w:val="auto"/>
                      <w:sz w:val="21"/>
                      <w:szCs w:val="21"/>
                    </w:rPr>
                    <w:t>监测</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天，昼夜各1次</w:t>
                  </w:r>
                </w:p>
              </w:tc>
              <w:tc>
                <w:tcPr>
                  <w:tcW w:w="2679" w:type="dxa"/>
                  <w:tcBorders>
                    <w:tl2br w:val="nil"/>
                    <w:tr2bl w:val="nil"/>
                  </w:tcBorders>
                  <w:noWrap w:val="0"/>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仿宋" w:cs="Times New Roman"/>
                      <w:color w:val="auto"/>
                      <w:sz w:val="21"/>
                      <w:szCs w:val="21"/>
                      <w:lang w:eastAsia="zh-CN"/>
                    </w:rPr>
                    <w:t>《</w:t>
                  </w:r>
                  <w:r>
                    <w:rPr>
                      <w:rFonts w:hint="default" w:ascii="Times New Roman" w:hAnsi="Times New Roman" w:eastAsia="宋体" w:cs="Times New Roman"/>
                      <w:color w:val="auto"/>
                      <w:sz w:val="21"/>
                      <w:szCs w:val="21"/>
                      <w:lang w:eastAsia="zh-CN"/>
                    </w:rPr>
                    <w:t>声环境质量标准》（GB3096-2008）</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eastAsia="zh-CN"/>
                    </w:rPr>
                    <w:t>类标准</w:t>
                  </w:r>
                </w:p>
              </w:tc>
            </w:tr>
          </w:tbl>
          <w:p>
            <w:pPr>
              <w:pStyle w:val="74"/>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2" w:firstLineChars="200"/>
              <w:textAlignment w:val="auto"/>
              <w:rPr>
                <w:rFonts w:ascii="Times New Roman" w:hAnsi="Times New Roman" w:eastAsia="宋体" w:cs="Times New Roman"/>
                <w:b/>
                <w:snapToGrid/>
                <w:color w:val="auto"/>
                <w:spacing w:val="0"/>
                <w:w w:val="100"/>
                <w:kern w:val="21"/>
                <w:position w:val="0"/>
              </w:rPr>
            </w:pPr>
            <w:r>
              <w:rPr>
                <w:rFonts w:hint="eastAsia" w:ascii="Times New Roman" w:hAnsi="Times New Roman" w:eastAsia="宋体" w:cs="Times New Roman"/>
                <w:b/>
                <w:snapToGrid/>
                <w:color w:val="auto"/>
                <w:spacing w:val="0"/>
                <w:w w:val="100"/>
                <w:kern w:val="21"/>
                <w:position w:val="0"/>
              </w:rPr>
              <w:t>（4）</w:t>
            </w:r>
            <w:r>
              <w:rPr>
                <w:rFonts w:ascii="Times New Roman" w:hAnsi="Times New Roman" w:eastAsia="宋体" w:cs="Times New Roman"/>
                <w:b/>
                <w:snapToGrid/>
                <w:color w:val="auto"/>
                <w:spacing w:val="0"/>
                <w:w w:val="100"/>
                <w:kern w:val="21"/>
                <w:position w:val="0"/>
              </w:rPr>
              <w:t>监测结果</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表3-</w:t>
            </w:r>
            <w:r>
              <w:rPr>
                <w:rFonts w:hint="eastAsia" w:cs="Times New Roman"/>
                <w:b/>
                <w:bCs/>
                <w:color w:val="auto"/>
                <w:kern w:val="0"/>
                <w:sz w:val="21"/>
                <w:szCs w:val="21"/>
                <w:lang w:val="en-US" w:eastAsia="zh-CN" w:bidi="ar"/>
              </w:rPr>
              <w:t>9</w:t>
            </w:r>
            <w:r>
              <w:rPr>
                <w:rFonts w:hint="eastAsia" w:ascii="Times New Roman" w:hAnsi="Times New Roman" w:eastAsia="宋体" w:cs="Times New Roman"/>
                <w:b/>
                <w:bCs/>
                <w:color w:val="auto"/>
                <w:kern w:val="0"/>
                <w:sz w:val="21"/>
                <w:szCs w:val="21"/>
                <w:lang w:val="en-US" w:eastAsia="zh-CN" w:bidi="ar"/>
              </w:rPr>
              <w:t xml:space="preserve">  声环境现状监测结果统计表   单位：dB(A)</w:t>
            </w:r>
          </w:p>
          <w:tbl>
            <w:tblPr>
              <w:tblStyle w:val="28"/>
              <w:tblW w:w="78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58"/>
              <w:gridCol w:w="3692"/>
              <w:gridCol w:w="1227"/>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42" w:hRule="atLeast"/>
                <w:jc w:val="center"/>
              </w:trPr>
              <w:tc>
                <w:tcPr>
                  <w:tcW w:w="1358" w:type="dxa"/>
                  <w:vMerge w:val="restart"/>
                  <w:tcBorders>
                    <w:top w:val="single" w:color="auto" w:sz="4" w:space="0"/>
                    <w:left w:val="single" w:color="auto" w:sz="0"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检测点编号</w:t>
                  </w:r>
                </w:p>
              </w:tc>
              <w:tc>
                <w:tcPr>
                  <w:tcW w:w="3692" w:type="dxa"/>
                  <w:vMerge w:val="restart"/>
                  <w:tcBorders>
                    <w:top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点位位置</w:t>
                  </w:r>
                </w:p>
              </w:tc>
              <w:tc>
                <w:tcPr>
                  <w:tcW w:w="2844" w:type="dxa"/>
                  <w:gridSpan w:val="2"/>
                  <w:tcBorders>
                    <w:top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8" w:type="dxa"/>
                  <w:vMerge w:val="continue"/>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p>
              </w:tc>
              <w:tc>
                <w:tcPr>
                  <w:tcW w:w="369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昼间</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bCs/>
                      <w:snapToGrid/>
                      <w:color w:val="auto"/>
                      <w:spacing w:val="0"/>
                      <w:w w:val="100"/>
                      <w:kern w:val="21"/>
                      <w:position w:val="0"/>
                      <w:sz w:val="21"/>
                      <w:szCs w:val="21"/>
                    </w:rPr>
                  </w:pPr>
                  <w:r>
                    <w:rPr>
                      <w:rFonts w:ascii="Times New Roman" w:hAnsi="Times New Roman" w:eastAsia="宋体" w:cs="Times New Roman"/>
                      <w:b/>
                      <w:bCs/>
                      <w:snapToGrid/>
                      <w:color w:val="auto"/>
                      <w:spacing w:val="0"/>
                      <w:w w:val="100"/>
                      <w:kern w:val="21"/>
                      <w:positio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1358" w:type="dxa"/>
                  <w:tcBorders>
                    <w:left w:val="single" w:color="auto" w:sz="4" w:space="0"/>
                  </w:tcBorders>
                  <w:vAlign w:val="center"/>
                </w:tcPr>
                <w:p>
                  <w:pPr>
                    <w:pStyle w:val="120"/>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snapToGrid/>
                      <w:color w:val="auto"/>
                      <w:spacing w:val="0"/>
                      <w:w w:val="100"/>
                      <w:kern w:val="21"/>
                      <w:position w:val="0"/>
                      <w:sz w:val="21"/>
                      <w:szCs w:val="21"/>
                    </w:rPr>
                  </w:pPr>
                  <w:r>
                    <w:rPr>
                      <w:rFonts w:hint="default" w:ascii="Times New Roman" w:hAnsi="Times New Roman" w:eastAsia="宋体" w:cs="Times New Roman"/>
                      <w:color w:val="auto"/>
                      <w:sz w:val="21"/>
                      <w:szCs w:val="21"/>
                      <w:vertAlign w:val="baseline"/>
                      <w:lang w:val="en-US" w:eastAsia="zh-CN"/>
                    </w:rPr>
                    <w:t>1#</w:t>
                  </w:r>
                </w:p>
              </w:tc>
              <w:tc>
                <w:tcPr>
                  <w:tcW w:w="3692" w:type="dxa"/>
                  <w:vAlign w:val="center"/>
                </w:tcPr>
                <w:p>
                  <w:pPr>
                    <w:pStyle w:val="120"/>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napToGrid/>
                      <w:color w:val="auto"/>
                      <w:spacing w:val="0"/>
                      <w:w w:val="100"/>
                      <w:kern w:val="21"/>
                      <w:position w:val="0"/>
                      <w:sz w:val="21"/>
                      <w:szCs w:val="21"/>
                    </w:rPr>
                  </w:pPr>
                  <w:r>
                    <w:rPr>
                      <w:rFonts w:hint="eastAsia" w:ascii="Times New Roman" w:hAnsi="Times New Roman" w:eastAsia="宋体" w:cs="Times New Roman"/>
                      <w:color w:val="auto"/>
                      <w:kern w:val="0"/>
                      <w:sz w:val="21"/>
                      <w:szCs w:val="21"/>
                      <w:vertAlign w:val="baseline"/>
                      <w:lang w:val="en-US" w:eastAsia="zh-CN" w:bidi="ar-SA"/>
                    </w:rPr>
                    <w:t>大竹东柳黄家坝社区14组居民</w:t>
                  </w:r>
                </w:p>
              </w:tc>
              <w:tc>
                <w:tcPr>
                  <w:tcW w:w="1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55</w:t>
                  </w:r>
                </w:p>
              </w:tc>
              <w:tc>
                <w:tcPr>
                  <w:tcW w:w="1617" w:type="dxa"/>
                  <w:tcBorders>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color w:val="auto"/>
                      <w:spacing w:val="0"/>
                      <w:w w:val="100"/>
                      <w:kern w:val="21"/>
                      <w:position w:val="0"/>
                      <w:sz w:val="21"/>
                      <w:szCs w:val="21"/>
                      <w:lang w:val="en-US" w:eastAsia="zh-CN"/>
                    </w:rPr>
                  </w:pPr>
                  <w:r>
                    <w:rPr>
                      <w:rFonts w:hint="eastAsia" w:cs="Times New Roman"/>
                      <w:snapToGrid/>
                      <w:color w:val="auto"/>
                      <w:spacing w:val="0"/>
                      <w:w w:val="100"/>
                      <w:kern w:val="21"/>
                      <w:positio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jc w:val="center"/>
              </w:trPr>
              <w:tc>
                <w:tcPr>
                  <w:tcW w:w="5050" w:type="dxa"/>
                  <w:gridSpan w:val="2"/>
                  <w:tcBorders>
                    <w:left w:val="single" w:color="auto" w:sz="4" w:space="0"/>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
                      <w:snapToGrid/>
                      <w:color w:val="auto"/>
                      <w:spacing w:val="0"/>
                      <w:w w:val="100"/>
                      <w:kern w:val="21"/>
                      <w:position w:val="0"/>
                      <w:sz w:val="21"/>
                      <w:szCs w:val="21"/>
                    </w:rPr>
                  </w:pPr>
                  <w:r>
                    <w:rPr>
                      <w:rFonts w:ascii="Times New Roman" w:hAnsi="Times New Roman" w:eastAsia="宋体" w:cs="Times New Roman"/>
                      <w:b/>
                      <w:snapToGrid/>
                      <w:color w:val="auto"/>
                      <w:spacing w:val="0"/>
                      <w:w w:val="100"/>
                      <w:kern w:val="21"/>
                      <w:position w:val="0"/>
                      <w:sz w:val="21"/>
                      <w:szCs w:val="21"/>
                    </w:rPr>
                    <w:t>GB3096-2008</w:t>
                  </w:r>
                  <w:r>
                    <w:rPr>
                      <w:rFonts w:hint="eastAsia" w:ascii="Times New Roman" w:hAnsi="Times New Roman" w:eastAsia="宋体" w:cs="Times New Roman"/>
                      <w:b/>
                      <w:snapToGrid/>
                      <w:color w:val="auto"/>
                      <w:spacing w:val="0"/>
                      <w:w w:val="100"/>
                      <w:kern w:val="21"/>
                      <w:position w:val="0"/>
                      <w:sz w:val="21"/>
                      <w:szCs w:val="21"/>
                    </w:rPr>
                    <w:t xml:space="preserve"> </w:t>
                  </w:r>
                  <w:r>
                    <w:rPr>
                      <w:rFonts w:hint="eastAsia" w:cs="Times New Roman"/>
                      <w:b/>
                      <w:snapToGrid/>
                      <w:color w:val="auto"/>
                      <w:spacing w:val="0"/>
                      <w:w w:val="100"/>
                      <w:kern w:val="21"/>
                      <w:position w:val="0"/>
                      <w:sz w:val="21"/>
                      <w:szCs w:val="21"/>
                      <w:lang w:val="en-US" w:eastAsia="zh-CN"/>
                    </w:rPr>
                    <w:t>中2</w:t>
                  </w:r>
                  <w:r>
                    <w:rPr>
                      <w:rFonts w:ascii="Times New Roman" w:hAnsi="Times New Roman" w:eastAsia="宋体" w:cs="Times New Roman"/>
                      <w:b/>
                      <w:snapToGrid/>
                      <w:color w:val="auto"/>
                      <w:spacing w:val="0"/>
                      <w:w w:val="100"/>
                      <w:kern w:val="21"/>
                      <w:position w:val="0"/>
                      <w:sz w:val="21"/>
                      <w:szCs w:val="21"/>
                    </w:rPr>
                    <w:t>类标准</w:t>
                  </w:r>
                </w:p>
              </w:tc>
              <w:tc>
                <w:tcPr>
                  <w:tcW w:w="1227" w:type="dxa"/>
                  <w:tcBorders>
                    <w:bottom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snapToGrid/>
                      <w:color w:val="auto"/>
                      <w:spacing w:val="0"/>
                      <w:w w:val="100"/>
                      <w:kern w:val="21"/>
                      <w:position w:val="0"/>
                      <w:sz w:val="21"/>
                      <w:szCs w:val="21"/>
                      <w:lang w:val="en-US" w:eastAsia="zh-CN"/>
                    </w:rPr>
                  </w:pPr>
                  <w:r>
                    <w:rPr>
                      <w:rFonts w:hint="eastAsia" w:cs="Times New Roman"/>
                      <w:b/>
                      <w:snapToGrid/>
                      <w:color w:val="auto"/>
                      <w:spacing w:val="0"/>
                      <w:w w:val="100"/>
                      <w:kern w:val="21"/>
                      <w:position w:val="0"/>
                      <w:sz w:val="21"/>
                      <w:szCs w:val="21"/>
                      <w:lang w:val="en-US" w:eastAsia="zh-CN"/>
                    </w:rPr>
                    <w:t>60</w:t>
                  </w:r>
                </w:p>
              </w:tc>
              <w:tc>
                <w:tcPr>
                  <w:tcW w:w="1617" w:type="dxa"/>
                  <w:tcBorders>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snapToGrid/>
                      <w:color w:val="auto"/>
                      <w:spacing w:val="0"/>
                      <w:w w:val="100"/>
                      <w:kern w:val="21"/>
                      <w:position w:val="0"/>
                      <w:sz w:val="21"/>
                      <w:szCs w:val="21"/>
                      <w:lang w:val="en-US"/>
                    </w:rPr>
                  </w:pPr>
                  <w:r>
                    <w:rPr>
                      <w:rFonts w:hint="eastAsia" w:cs="Times New Roman"/>
                      <w:b/>
                      <w:snapToGrid/>
                      <w:color w:val="auto"/>
                      <w:spacing w:val="0"/>
                      <w:w w:val="100"/>
                      <w:kern w:val="21"/>
                      <w:position w:val="0"/>
                      <w:sz w:val="21"/>
                      <w:szCs w:val="21"/>
                      <w:lang w:val="en-US" w:eastAsia="zh-CN"/>
                    </w:rPr>
                    <w:t>50</w:t>
                  </w:r>
                </w:p>
              </w:tc>
            </w:tr>
          </w:tbl>
          <w:p>
            <w:pPr>
              <w:spacing w:line="360" w:lineRule="auto"/>
              <w:ind w:firstLine="480" w:firstLineChars="200"/>
              <w:rPr>
                <w:rFonts w:hint="eastAsia"/>
                <w:color w:val="auto"/>
                <w:sz w:val="24"/>
                <w:szCs w:val="24"/>
                <w:u w:val="none"/>
              </w:rPr>
            </w:pPr>
            <w:r>
              <w:rPr>
                <w:rFonts w:ascii="Times New Roman" w:hAnsi="Times New Roman" w:eastAsia="宋体" w:cs="Times New Roman"/>
                <w:bCs/>
                <w:snapToGrid/>
                <w:color w:val="auto"/>
                <w:spacing w:val="0"/>
                <w:w w:val="100"/>
                <w:kern w:val="21"/>
                <w:position w:val="0"/>
                <w:sz w:val="24"/>
                <w:szCs w:val="28"/>
                <w:u w:val="none"/>
              </w:rPr>
              <w:t>由上表的监测结果可知，项目</w:t>
            </w:r>
            <w:r>
              <w:rPr>
                <w:rFonts w:hint="eastAsia" w:cs="Times New Roman"/>
                <w:bCs/>
                <w:snapToGrid/>
                <w:color w:val="auto"/>
                <w:spacing w:val="0"/>
                <w:w w:val="100"/>
                <w:kern w:val="21"/>
                <w:position w:val="0"/>
                <w:sz w:val="24"/>
                <w:szCs w:val="28"/>
                <w:u w:val="none"/>
                <w:lang w:val="en-US" w:eastAsia="zh-CN"/>
              </w:rPr>
              <w:t>周边敏感目标</w:t>
            </w:r>
            <w:r>
              <w:rPr>
                <w:rFonts w:ascii="Times New Roman" w:hAnsi="Times New Roman" w:eastAsia="宋体" w:cs="Times New Roman"/>
                <w:bCs/>
                <w:snapToGrid/>
                <w:color w:val="auto"/>
                <w:spacing w:val="0"/>
                <w:w w:val="100"/>
                <w:kern w:val="21"/>
                <w:position w:val="0"/>
                <w:sz w:val="24"/>
                <w:szCs w:val="28"/>
                <w:u w:val="none"/>
              </w:rPr>
              <w:t>可以满足《声环境质量标准》（GB3096-2008）</w:t>
            </w:r>
            <w:r>
              <w:rPr>
                <w:rFonts w:hint="eastAsia" w:cs="Times New Roman"/>
                <w:bCs/>
                <w:snapToGrid/>
                <w:color w:val="auto"/>
                <w:spacing w:val="0"/>
                <w:w w:val="100"/>
                <w:kern w:val="21"/>
                <w:position w:val="0"/>
                <w:sz w:val="24"/>
                <w:szCs w:val="28"/>
                <w:u w:val="none"/>
                <w:lang w:val="en-US" w:eastAsia="zh-CN"/>
              </w:rPr>
              <w:t>2</w:t>
            </w:r>
            <w:r>
              <w:rPr>
                <w:rFonts w:ascii="Times New Roman" w:hAnsi="Times New Roman" w:eastAsia="宋体" w:cs="Times New Roman"/>
                <w:bCs/>
                <w:snapToGrid/>
                <w:color w:val="auto"/>
                <w:spacing w:val="0"/>
                <w:w w:val="100"/>
                <w:kern w:val="21"/>
                <w:position w:val="0"/>
                <w:sz w:val="24"/>
                <w:szCs w:val="28"/>
                <w:u w:val="none"/>
              </w:rPr>
              <w:t>类标准要求</w:t>
            </w:r>
            <w:r>
              <w:rPr>
                <w:rFonts w:hint="eastAsia" w:cs="Times New Roman"/>
                <w:bCs/>
                <w:snapToGrid/>
                <w:color w:val="auto"/>
                <w:spacing w:val="0"/>
                <w:w w:val="100"/>
                <w:kern w:val="21"/>
                <w:position w:val="0"/>
                <w:sz w:val="24"/>
                <w:szCs w:val="28"/>
                <w:u w:val="none"/>
                <w:lang w:eastAsia="zh-CN"/>
              </w:rPr>
              <w:t>，</w:t>
            </w:r>
            <w:r>
              <w:rPr>
                <w:rFonts w:hint="eastAsia"/>
                <w:color w:val="auto"/>
                <w:sz w:val="24"/>
                <w:szCs w:val="24"/>
                <w:u w:val="none"/>
              </w:rPr>
              <w:t>因此，</w:t>
            </w:r>
            <w:r>
              <w:rPr>
                <w:rFonts w:hint="eastAsia"/>
                <w:color w:val="auto"/>
                <w:sz w:val="24"/>
                <w:szCs w:val="24"/>
                <w:u w:val="none"/>
                <w:lang w:val="en-US" w:eastAsia="zh-CN"/>
              </w:rPr>
              <w:t>项目所在区域</w:t>
            </w:r>
            <w:r>
              <w:rPr>
                <w:rFonts w:hint="eastAsia"/>
                <w:color w:val="auto"/>
                <w:sz w:val="24"/>
                <w:szCs w:val="24"/>
                <w:u w:val="none"/>
              </w:rPr>
              <w:t>声环境质量良好。</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b/>
                <w:color w:val="auto"/>
                <w:kern w:val="0"/>
                <w:sz w:val="24"/>
                <w:highlight w:val="none"/>
                <w:lang w:val="en-US" w:eastAsia="zh-CN"/>
              </w:rPr>
            </w:pPr>
            <w:r>
              <w:rPr>
                <w:rFonts w:hint="eastAsia" w:ascii="Times New Roman"/>
                <w:b/>
                <w:color w:val="auto"/>
                <w:kern w:val="0"/>
                <w:sz w:val="24"/>
                <w:highlight w:val="none"/>
                <w:lang w:val="en-US" w:eastAsia="zh-CN"/>
              </w:rPr>
              <w:t>四、土壤环境质量</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b/>
                <w:color w:val="auto"/>
                <w:kern w:val="0"/>
                <w:sz w:val="24"/>
                <w:highlight w:val="none"/>
                <w:lang w:val="en-US" w:eastAsia="zh-CN"/>
              </w:rPr>
            </w:pPr>
            <w:r>
              <w:rPr>
                <w:rFonts w:ascii="Times New Roman"/>
                <w:color w:val="auto"/>
                <w:sz w:val="24"/>
                <w:highlight w:val="none"/>
              </w:rPr>
              <w:t>为了解项目所在地声环境质量现状</w:t>
            </w:r>
            <w:r>
              <w:rPr>
                <w:rFonts w:ascii="Times New Roman" w:eastAsia="宋体"/>
                <w:color w:val="auto"/>
                <w:sz w:val="24"/>
                <w:highlight w:val="none"/>
              </w:rPr>
              <w:t>，</w:t>
            </w:r>
            <w:r>
              <w:rPr>
                <w:rFonts w:hint="eastAsia" w:ascii="Times New Roman"/>
                <w:color w:val="auto"/>
                <w:sz w:val="24"/>
                <w:highlight w:val="none"/>
                <w:lang w:val="en-US" w:eastAsia="zh-CN"/>
              </w:rPr>
              <w:t>本项目在管道工程起点附近设置1个土壤监测点位，</w:t>
            </w:r>
            <w:r>
              <w:rPr>
                <w:rFonts w:hint="default" w:ascii="Times New Roman" w:eastAsia="宋体"/>
                <w:color w:val="auto"/>
                <w:sz w:val="24"/>
                <w:highlight w:val="none"/>
              </w:rPr>
              <w:t>达州恒福环境监测服务有限公司</w:t>
            </w:r>
            <w:r>
              <w:rPr>
                <w:rFonts w:ascii="Times New Roman"/>
                <w:color w:val="auto"/>
                <w:sz w:val="24"/>
                <w:highlight w:val="none"/>
              </w:rPr>
              <w:t>于202</w:t>
            </w:r>
            <w:r>
              <w:rPr>
                <w:rFonts w:hint="eastAsia" w:ascii="Times New Roman"/>
                <w:color w:val="auto"/>
                <w:sz w:val="24"/>
                <w:highlight w:val="none"/>
                <w:lang w:val="en-US" w:eastAsia="zh-CN"/>
              </w:rPr>
              <w:t>4</w:t>
            </w:r>
            <w:r>
              <w:rPr>
                <w:rFonts w:ascii="Times New Roman"/>
                <w:color w:val="auto"/>
                <w:sz w:val="24"/>
                <w:highlight w:val="none"/>
              </w:rPr>
              <w:t>年</w:t>
            </w:r>
            <w:r>
              <w:rPr>
                <w:rFonts w:hint="eastAsia" w:ascii="Times New Roman"/>
                <w:color w:val="auto"/>
                <w:sz w:val="24"/>
                <w:highlight w:val="none"/>
                <w:lang w:val="en-US" w:eastAsia="zh-CN"/>
              </w:rPr>
              <w:t>7</w:t>
            </w:r>
            <w:r>
              <w:rPr>
                <w:rFonts w:ascii="Times New Roman"/>
                <w:color w:val="auto"/>
                <w:sz w:val="24"/>
                <w:highlight w:val="none"/>
              </w:rPr>
              <w:t>月1</w:t>
            </w:r>
            <w:r>
              <w:rPr>
                <w:rFonts w:hint="eastAsia" w:ascii="Times New Roman"/>
                <w:color w:val="auto"/>
                <w:sz w:val="24"/>
                <w:highlight w:val="none"/>
                <w:lang w:val="en-US" w:eastAsia="zh-CN"/>
              </w:rPr>
              <w:t>3</w:t>
            </w:r>
            <w:r>
              <w:rPr>
                <w:rFonts w:ascii="Times New Roman"/>
                <w:color w:val="auto"/>
                <w:sz w:val="24"/>
                <w:highlight w:val="none"/>
              </w:rPr>
              <w:t>日对</w:t>
            </w:r>
            <w:r>
              <w:rPr>
                <w:rFonts w:hint="eastAsia" w:ascii="Times New Roman"/>
                <w:color w:val="auto"/>
                <w:sz w:val="24"/>
                <w:highlight w:val="none"/>
                <w:lang w:val="en-US" w:eastAsia="zh-CN"/>
              </w:rPr>
              <w:t>该点位进行了取样监测</w:t>
            </w:r>
            <w:r>
              <w:rPr>
                <w:rFonts w:ascii="Times New Roman"/>
                <w:color w:val="auto"/>
                <w:sz w:val="24"/>
                <w:highlight w:val="none"/>
              </w:rPr>
              <w:t>。</w:t>
            </w:r>
          </w:p>
          <w:p>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监测点位：</w:t>
            </w:r>
            <w:r>
              <w:rPr>
                <w:rFonts w:hint="eastAsia" w:ascii="Times New Roman" w:hAnsi="Times New Roman" w:cs="Times New Roman"/>
                <w:color w:val="auto"/>
                <w:sz w:val="24"/>
                <w:highlight w:val="none"/>
                <w:lang w:val="en-US" w:eastAsia="zh-CN"/>
              </w:rPr>
              <w:t>项目起点附近设1</w:t>
            </w:r>
            <w:r>
              <w:rPr>
                <w:rFonts w:hint="default" w:ascii="Times New Roman" w:hAnsi="Times New Roman" w:cs="Times New Roman"/>
                <w:color w:val="auto"/>
                <w:sz w:val="24"/>
                <w:highlight w:val="none"/>
              </w:rPr>
              <w:t>个</w:t>
            </w:r>
            <w:r>
              <w:rPr>
                <w:rFonts w:hint="eastAsia" w:ascii="Times New Roman" w:hAnsi="Times New Roman" w:cs="Times New Roman"/>
                <w:color w:val="auto"/>
                <w:sz w:val="24"/>
                <w:highlight w:val="none"/>
                <w:lang w:val="en-US" w:eastAsia="zh-CN"/>
              </w:rPr>
              <w:t>监测</w:t>
            </w:r>
            <w:r>
              <w:rPr>
                <w:rFonts w:hint="default" w:ascii="Times New Roman" w:hAnsi="Times New Roman" w:cs="Times New Roman"/>
                <w:color w:val="auto"/>
                <w:sz w:val="24"/>
                <w:highlight w:val="none"/>
              </w:rPr>
              <w:t>点位</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见附图</w:t>
            </w:r>
            <w:r>
              <w:rPr>
                <w:rFonts w:hint="default" w:ascii="Times New Roman" w:hAnsi="Times New Roman" w:cs="Times New Roman"/>
                <w:color w:val="auto"/>
                <w:sz w:val="24"/>
                <w:highlight w:val="none"/>
              </w:rPr>
              <w:t>。</w:t>
            </w:r>
          </w:p>
          <w:p>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监测项目：</w:t>
            </w:r>
            <w:r>
              <w:rPr>
                <w:rFonts w:hint="eastAsia" w:ascii="Times New Roman" w:hAnsi="Times New Roman" w:cs="Times New Roman"/>
                <w:color w:val="auto"/>
                <w:sz w:val="24"/>
                <w:highlight w:val="none"/>
                <w:lang w:val="en-US" w:eastAsia="zh-CN"/>
              </w:rPr>
              <w:t>含盐量、pH值，监测表层土壤</w:t>
            </w:r>
            <w:r>
              <w:rPr>
                <w:rFonts w:hint="default" w:ascii="Times New Roman" w:hAnsi="Times New Roman" w:cs="Times New Roman"/>
                <w:color w:val="auto"/>
                <w:sz w:val="24"/>
                <w:highlight w:val="none"/>
              </w:rPr>
              <w:t>。</w:t>
            </w:r>
          </w:p>
          <w:p>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监测频次：</w:t>
            </w:r>
            <w:r>
              <w:rPr>
                <w:rFonts w:hint="eastAsia" w:ascii="Times New Roman" w:hAnsi="Times New Roman" w:cs="Times New Roman"/>
                <w:color w:val="auto"/>
                <w:sz w:val="24"/>
                <w:highlight w:val="none"/>
                <w:lang w:val="en-US" w:eastAsia="zh-CN"/>
              </w:rPr>
              <w:t>一次取样监测</w:t>
            </w:r>
            <w:r>
              <w:rPr>
                <w:rFonts w:hint="default" w:ascii="Times New Roman" w:hAnsi="Times New Roman" w:cs="Times New Roman"/>
                <w:color w:val="auto"/>
                <w:sz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表3-</w:t>
            </w:r>
            <w:r>
              <w:rPr>
                <w:rFonts w:hint="eastAsia" w:cs="Times New Roman"/>
                <w:b/>
                <w:bCs/>
                <w:color w:val="auto"/>
                <w:kern w:val="0"/>
                <w:sz w:val="21"/>
                <w:szCs w:val="21"/>
                <w:lang w:val="en-US" w:eastAsia="zh-CN" w:bidi="ar"/>
              </w:rPr>
              <w:t>10</w:t>
            </w:r>
            <w:r>
              <w:rPr>
                <w:rFonts w:hint="eastAsia" w:ascii="Times New Roman" w:hAnsi="Times New Roman" w:eastAsia="宋体" w:cs="Times New Roman"/>
                <w:b/>
                <w:bCs/>
                <w:color w:val="auto"/>
                <w:kern w:val="0"/>
                <w:sz w:val="21"/>
                <w:szCs w:val="21"/>
                <w:lang w:val="en-US" w:eastAsia="zh-CN" w:bidi="ar"/>
              </w:rPr>
              <w:t xml:space="preserve">  </w:t>
            </w:r>
            <w:r>
              <w:rPr>
                <w:rFonts w:hint="eastAsia" w:cs="Times New Roman"/>
                <w:b/>
                <w:bCs/>
                <w:color w:val="auto"/>
                <w:kern w:val="0"/>
                <w:sz w:val="21"/>
                <w:szCs w:val="21"/>
                <w:lang w:val="en-US" w:eastAsia="zh-CN" w:bidi="ar"/>
              </w:rPr>
              <w:t>土壤环境质量</w:t>
            </w:r>
            <w:r>
              <w:rPr>
                <w:rFonts w:hint="eastAsia" w:ascii="Times New Roman" w:hAnsi="Times New Roman" w:eastAsia="宋体" w:cs="Times New Roman"/>
                <w:b/>
                <w:bCs/>
                <w:color w:val="auto"/>
                <w:kern w:val="0"/>
                <w:sz w:val="21"/>
                <w:szCs w:val="21"/>
                <w:lang w:val="en-US" w:eastAsia="zh-CN" w:bidi="ar"/>
              </w:rPr>
              <w:t>现状监测结果表</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eastAsia="宋体"/>
                <w:b/>
                <w:color w:val="auto"/>
                <w:kern w:val="0"/>
                <w:sz w:val="24"/>
                <w:highlight w:val="none"/>
                <w:lang w:val="en-US" w:eastAsia="zh-CN"/>
              </w:rPr>
            </w:pPr>
            <w:r>
              <w:rPr>
                <w:rFonts w:hint="eastAsia" w:ascii="Times New Roman"/>
                <w:b/>
                <w:color w:val="auto"/>
                <w:kern w:val="0"/>
                <w:sz w:val="24"/>
                <w:highlight w:val="none"/>
                <w:lang w:val="en-US" w:eastAsia="zh-CN"/>
              </w:rPr>
              <w:t>五</w:t>
            </w:r>
            <w:r>
              <w:rPr>
                <w:rFonts w:ascii="Times New Roman"/>
                <w:b/>
                <w:color w:val="auto"/>
                <w:kern w:val="0"/>
                <w:sz w:val="24"/>
                <w:highlight w:val="none"/>
              </w:rPr>
              <w:t>、地下水</w:t>
            </w:r>
            <w:r>
              <w:rPr>
                <w:rFonts w:hint="eastAsia" w:ascii="Times New Roman"/>
                <w:b/>
                <w:color w:val="auto"/>
                <w:kern w:val="0"/>
                <w:sz w:val="24"/>
                <w:highlight w:val="none"/>
                <w:lang w:val="en-US" w:eastAsia="zh-CN"/>
              </w:rPr>
              <w:t>环境质量现状</w:t>
            </w:r>
          </w:p>
          <w:p>
            <w:pPr>
              <w:pStyle w:val="16"/>
              <w:spacing w:line="360" w:lineRule="auto"/>
              <w:ind w:firstLine="480" w:firstLineChars="200"/>
              <w:rPr>
                <w:rFonts w:ascii="Times New Roman"/>
                <w:color w:val="auto"/>
                <w:sz w:val="24"/>
                <w:highlight w:val="none"/>
              </w:rPr>
            </w:pPr>
            <w:r>
              <w:rPr>
                <w:rFonts w:ascii="Times New Roman"/>
                <w:color w:val="auto"/>
                <w:sz w:val="24"/>
                <w:highlight w:val="none"/>
              </w:rPr>
              <w:t>根据《建设项目环境影响报告表编制技术指南》（污染影响类）（试行），</w:t>
            </w:r>
            <w:r>
              <w:rPr>
                <w:rFonts w:hint="eastAsia" w:ascii="Times New Roman"/>
                <w:color w:val="auto"/>
                <w:sz w:val="24"/>
                <w:highlight w:val="none"/>
                <w:lang w:eastAsia="zh-CN"/>
              </w:rPr>
              <w:t>“</w:t>
            </w:r>
            <w:r>
              <w:rPr>
                <w:rFonts w:ascii="Times New Roman"/>
                <w:color w:val="auto"/>
                <w:sz w:val="24"/>
                <w:highlight w:val="none"/>
              </w:rPr>
              <w:t>地下水、土壤环境。原则上不开展环境质量现状调查</w:t>
            </w:r>
            <w:r>
              <w:rPr>
                <w:rFonts w:hint="eastAsia" w:ascii="Times New Roman"/>
                <w:color w:val="auto"/>
                <w:sz w:val="24"/>
                <w:highlight w:val="none"/>
                <w:lang w:eastAsia="zh-CN"/>
              </w:rPr>
              <w:t>”</w:t>
            </w:r>
            <w:r>
              <w:rPr>
                <w:rFonts w:ascii="Times New Roman"/>
                <w:color w:val="auto"/>
                <w:sz w:val="24"/>
                <w:highlight w:val="none"/>
              </w:rPr>
              <w:t>，</w:t>
            </w:r>
            <w:r>
              <w:rPr>
                <w:rFonts w:hint="eastAsia" w:ascii="Times New Roman"/>
                <w:color w:val="auto"/>
                <w:sz w:val="24"/>
                <w:highlight w:val="none"/>
                <w:lang w:val="en-US" w:eastAsia="zh-CN"/>
              </w:rPr>
              <w:t>且本项目为自来水生产和供应类项目，不存在地下水污染途径，</w:t>
            </w:r>
            <w:r>
              <w:rPr>
                <w:rFonts w:ascii="Times New Roman"/>
                <w:color w:val="auto"/>
                <w:sz w:val="24"/>
                <w:highlight w:val="none"/>
              </w:rPr>
              <w:t>本次评价不开展地下水环境质量现状调查。</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kern w:val="0"/>
                <w:sz w:val="24"/>
                <w:highlight w:val="none"/>
              </w:rPr>
            </w:pPr>
            <w:r>
              <w:rPr>
                <w:rFonts w:hint="eastAsia"/>
                <w:b/>
                <w:color w:val="auto"/>
                <w:kern w:val="0"/>
                <w:sz w:val="24"/>
                <w:highlight w:val="none"/>
                <w:lang w:val="en-US" w:eastAsia="zh-CN"/>
              </w:rPr>
              <w:t>六、</w:t>
            </w:r>
            <w:r>
              <w:rPr>
                <w:b/>
                <w:color w:val="auto"/>
                <w:kern w:val="0"/>
                <w:sz w:val="24"/>
                <w:highlight w:val="none"/>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Times New Roman" w:hAnsi="Times New Roman" w:cs="Times New Roman"/>
                <w:color w:val="auto"/>
                <w:sz w:val="24"/>
                <w:highlight w:val="none"/>
                <w:lang w:val="zh-CN"/>
              </w:rPr>
              <w:t>项目所在地的区域属工业园区</w:t>
            </w:r>
            <w:r>
              <w:rPr>
                <w:rFonts w:hint="eastAsia" w:cs="Times New Roman"/>
                <w:color w:val="auto"/>
                <w:sz w:val="24"/>
                <w:highlight w:val="none"/>
                <w:lang w:val="zh-CN"/>
              </w:rPr>
              <w:t>、</w:t>
            </w:r>
            <w:r>
              <w:rPr>
                <w:rFonts w:hint="eastAsia" w:cs="Times New Roman"/>
                <w:color w:val="auto"/>
                <w:sz w:val="24"/>
                <w:highlight w:val="none"/>
                <w:lang w:val="en-US" w:eastAsia="zh-CN"/>
              </w:rPr>
              <w:t>大竹县乌木镇</w:t>
            </w:r>
            <w:r>
              <w:rPr>
                <w:rFonts w:hint="eastAsia" w:ascii="Times New Roman" w:hAnsi="Times New Roman" w:cs="Times New Roman"/>
                <w:color w:val="auto"/>
                <w:sz w:val="24"/>
                <w:highlight w:val="none"/>
                <w:lang w:val="zh-CN"/>
              </w:rPr>
              <w:t>，</w:t>
            </w:r>
            <w:r>
              <w:rPr>
                <w:rFonts w:hint="eastAsia" w:ascii="Times New Roman" w:hAnsi="Times New Roman" w:cs="Times New Roman"/>
                <w:color w:val="auto"/>
                <w:sz w:val="24"/>
                <w:highlight w:val="none"/>
                <w:lang w:val="en-US" w:eastAsia="zh-CN"/>
              </w:rPr>
              <w:t>项目占地范围内为工业用地</w:t>
            </w:r>
            <w:r>
              <w:rPr>
                <w:rFonts w:hint="eastAsia" w:cs="Times New Roman"/>
                <w:color w:val="auto"/>
                <w:sz w:val="24"/>
                <w:highlight w:val="none"/>
                <w:lang w:val="en-US" w:eastAsia="zh-CN"/>
              </w:rPr>
              <w:t>、城市生态系统</w:t>
            </w:r>
            <w:r>
              <w:rPr>
                <w:rFonts w:hint="eastAsia" w:ascii="Times New Roman" w:hAnsi="Times New Roman" w:cs="Times New Roman"/>
                <w:color w:val="auto"/>
                <w:sz w:val="24"/>
                <w:highlight w:val="none"/>
                <w:lang w:val="zh-CN"/>
              </w:rPr>
              <w:t>，受人为活动影响深远，</w:t>
            </w:r>
            <w:r>
              <w:rPr>
                <w:rFonts w:hint="eastAsia" w:ascii="宋体" w:hAnsi="宋体" w:eastAsia="宋体" w:cs="宋体"/>
                <w:color w:val="auto"/>
                <w:sz w:val="24"/>
                <w:szCs w:val="24"/>
                <w:highlight w:val="none"/>
              </w:rPr>
              <w:t>由于人群活动频繁，</w:t>
            </w:r>
            <w:r>
              <w:rPr>
                <w:rFonts w:hint="eastAsia" w:ascii="宋体" w:hAnsi="宋体" w:eastAsia="宋体" w:cs="宋体"/>
                <w:color w:val="auto"/>
                <w:sz w:val="24"/>
                <w:szCs w:val="24"/>
                <w:highlight w:val="none"/>
                <w:lang w:val="en-US" w:eastAsia="zh-CN"/>
              </w:rPr>
              <w:t>项目所在地及周边区域</w:t>
            </w:r>
            <w:r>
              <w:rPr>
                <w:rFonts w:hint="eastAsia" w:ascii="宋体" w:hAnsi="宋体" w:eastAsia="宋体" w:cs="宋体"/>
                <w:color w:val="auto"/>
                <w:sz w:val="24"/>
                <w:szCs w:val="24"/>
                <w:highlight w:val="none"/>
              </w:rPr>
              <w:t>自然生态已被人工生态所代替，主要以人工栽种植物为主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项目及周边</w:t>
            </w:r>
            <w:r>
              <w:rPr>
                <w:rFonts w:hint="eastAsia" w:ascii="宋体" w:hAnsi="宋体" w:eastAsia="宋体" w:cs="宋体"/>
                <w:color w:val="auto"/>
                <w:sz w:val="24"/>
                <w:szCs w:val="24"/>
                <w:highlight w:val="none"/>
              </w:rPr>
              <w:t>已无大型哺乳动物，仅有鸟类、鼠类及昆虫类小型动物</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Times New Roman" w:hAnsi="Times New Roman" w:cs="Times New Roman"/>
                <w:color w:val="auto"/>
                <w:sz w:val="24"/>
                <w:highlight w:val="none"/>
                <w:lang w:val="en-US" w:eastAsia="zh-CN"/>
              </w:rPr>
              <w:t>项目</w:t>
            </w:r>
            <w:r>
              <w:rPr>
                <w:rFonts w:hint="eastAsia" w:ascii="宋体" w:hAnsi="宋体" w:eastAsia="宋体" w:cs="宋体"/>
                <w:color w:val="auto"/>
                <w:sz w:val="24"/>
                <w:szCs w:val="24"/>
                <w:highlight w:val="none"/>
                <w:lang w:val="en-US" w:eastAsia="zh-CN"/>
              </w:rPr>
              <w:t>评价</w:t>
            </w:r>
            <w:r>
              <w:rPr>
                <w:rFonts w:hint="eastAsia" w:ascii="宋体" w:hAnsi="宋体" w:eastAsia="宋体" w:cs="宋体"/>
                <w:color w:val="auto"/>
                <w:sz w:val="24"/>
                <w:szCs w:val="24"/>
                <w:highlight w:val="none"/>
              </w:rPr>
              <w:t>区内无古稀树木和保护树种</w:t>
            </w:r>
            <w:r>
              <w:rPr>
                <w:rFonts w:hint="eastAsia" w:ascii="宋体" w:hAnsi="宋体" w:eastAsia="宋体" w:cs="宋体"/>
                <w:color w:val="auto"/>
                <w:sz w:val="24"/>
                <w:szCs w:val="24"/>
                <w:highlight w:val="none"/>
                <w:lang w:eastAsia="zh-CN"/>
              </w:rPr>
              <w:t>，</w:t>
            </w:r>
            <w:r>
              <w:rPr>
                <w:rFonts w:hint="eastAsia" w:ascii="Times New Roman" w:hAnsi="Times New Roman" w:cs="Times New Roman"/>
                <w:color w:val="auto"/>
                <w:sz w:val="24"/>
                <w:highlight w:val="none"/>
                <w:lang w:val="zh-CN"/>
              </w:rPr>
              <w:t>无天然林及野生稀有动植物分布，</w:t>
            </w:r>
            <w:r>
              <w:rPr>
                <w:rFonts w:hint="eastAsia" w:ascii="Times New Roman" w:hAnsi="Times New Roman" w:cs="Times New Roman"/>
                <w:color w:val="auto"/>
                <w:sz w:val="24"/>
                <w:highlight w:val="none"/>
                <w:lang w:val="en-US" w:eastAsia="zh-CN"/>
              </w:rPr>
              <w:t>项目周边</w:t>
            </w:r>
            <w:r>
              <w:rPr>
                <w:rFonts w:hint="eastAsia" w:ascii="Times New Roman" w:hAnsi="Times New Roman" w:cs="Times New Roman"/>
                <w:color w:val="auto"/>
                <w:sz w:val="24"/>
                <w:highlight w:val="none"/>
                <w:lang w:val="zh-CN"/>
              </w:rPr>
              <w:t>无自然保护区、风景名胜区、森林公园等生态敏感区域分布</w:t>
            </w:r>
            <w:r>
              <w:rPr>
                <w:rFonts w:hint="eastAsia" w:cs="Times New Roman"/>
                <w:color w:val="auto"/>
                <w:sz w:val="24"/>
                <w:highlight w:val="none"/>
                <w:lang w:val="zh-CN"/>
              </w:rPr>
              <w:t>。</w:t>
            </w:r>
            <w:r>
              <w:rPr>
                <w:rFonts w:ascii="宋体" w:hAnsi="宋体" w:eastAsia="宋体" w:cs="宋体"/>
                <w:color w:val="auto"/>
                <w:sz w:val="24"/>
                <w:szCs w:val="24"/>
                <w:highlight w:val="none"/>
              </w:rPr>
              <w:t>总体来看，项目区域生态环境质量一般。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67" w:hRule="atLeast"/>
          <w:jc w:val="center"/>
        </w:trPr>
        <w:tc>
          <w:tcPr>
            <w:tcW w:w="948"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113" w:type="dxa"/>
            <w:vAlign w:val="center"/>
          </w:tcPr>
          <w:p>
            <w:pPr>
              <w:spacing w:line="360" w:lineRule="auto"/>
              <w:ind w:firstLine="482" w:firstLineChars="200"/>
              <w:rPr>
                <w:rFonts w:eastAsia="宋体"/>
                <w:b/>
                <w:bCs/>
                <w:color w:val="auto"/>
                <w:kern w:val="0"/>
                <w:sz w:val="24"/>
                <w:highlight w:val="none"/>
              </w:rPr>
            </w:pPr>
            <w:r>
              <w:rPr>
                <w:rFonts w:eastAsia="宋体"/>
                <w:b/>
                <w:bCs/>
                <w:color w:val="auto"/>
                <w:kern w:val="0"/>
                <w:sz w:val="24"/>
                <w:highlight w:val="none"/>
              </w:rPr>
              <w:t>1、</w:t>
            </w:r>
            <w:r>
              <w:rPr>
                <w:rFonts w:hint="eastAsia" w:eastAsia="宋体"/>
                <w:b/>
                <w:bCs/>
                <w:color w:val="auto"/>
                <w:kern w:val="0"/>
                <w:sz w:val="24"/>
                <w:highlight w:val="none"/>
                <w:lang w:val="en-US" w:eastAsia="zh-CN"/>
              </w:rPr>
              <w:t>地表</w:t>
            </w:r>
            <w:r>
              <w:rPr>
                <w:rFonts w:eastAsia="宋体"/>
                <w:b/>
                <w:bCs/>
                <w:color w:val="auto"/>
                <w:kern w:val="0"/>
                <w:sz w:val="24"/>
                <w:highlight w:val="none"/>
              </w:rPr>
              <w:t>水环境保护目标</w:t>
            </w:r>
          </w:p>
          <w:p>
            <w:pPr>
              <w:pStyle w:val="16"/>
              <w:spacing w:line="360" w:lineRule="auto"/>
              <w:ind w:firstLine="480" w:firstLineChars="200"/>
              <w:rPr>
                <w:rFonts w:ascii="Times New Roman"/>
                <w:color w:val="auto"/>
                <w:sz w:val="24"/>
                <w:highlight w:val="none"/>
              </w:rPr>
            </w:pPr>
            <w:r>
              <w:rPr>
                <w:rFonts w:ascii="Times New Roman"/>
                <w:color w:val="auto"/>
                <w:sz w:val="24"/>
                <w:highlight w:val="none"/>
              </w:rPr>
              <w:t>项目</w:t>
            </w:r>
            <w:r>
              <w:rPr>
                <w:rFonts w:hint="eastAsia" w:ascii="Times New Roman"/>
                <w:color w:val="auto"/>
                <w:sz w:val="24"/>
                <w:highlight w:val="none"/>
                <w:lang w:val="en-US" w:eastAsia="zh-CN"/>
              </w:rPr>
              <w:t>地表</w:t>
            </w:r>
            <w:r>
              <w:rPr>
                <w:rFonts w:ascii="Times New Roman"/>
                <w:color w:val="auto"/>
                <w:sz w:val="24"/>
                <w:highlight w:val="none"/>
              </w:rPr>
              <w:t>水环境保护目标见下表。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表3-10  评价范围内地表水环境保护目标</w:t>
            </w:r>
          </w:p>
          <w:tbl>
            <w:tblPr>
              <w:tblStyle w:val="2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81"/>
              <w:gridCol w:w="1032"/>
              <w:gridCol w:w="1668"/>
              <w:gridCol w:w="182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 w:hRule="atLeast"/>
                <w:jc w:val="center"/>
              </w:trPr>
              <w:tc>
                <w:tcPr>
                  <w:tcW w:w="781" w:type="dxa"/>
                  <w:tcBorders>
                    <w:tl2br w:val="nil"/>
                    <w:tr2bl w:val="nil"/>
                  </w:tcBorders>
                  <w:shd w:val="clear" w:color="auto" w:fill="auto"/>
                  <w:vAlign w:val="center"/>
                </w:tcPr>
                <w:p>
                  <w:pPr>
                    <w:autoSpaceDE w:val="0"/>
                    <w:autoSpaceDN w:val="0"/>
                    <w:adjustRightInd w:val="0"/>
                    <w:snapToGrid w:val="0"/>
                    <w:jc w:val="center"/>
                    <w:rPr>
                      <w:b/>
                      <w:bCs/>
                      <w:color w:val="auto"/>
                      <w:sz w:val="18"/>
                      <w:szCs w:val="18"/>
                      <w:highlight w:val="none"/>
                    </w:rPr>
                  </w:pPr>
                  <w:r>
                    <w:rPr>
                      <w:b/>
                      <w:bCs/>
                      <w:color w:val="auto"/>
                      <w:sz w:val="18"/>
                      <w:szCs w:val="18"/>
                      <w:highlight w:val="none"/>
                    </w:rPr>
                    <w:t>环境要素</w:t>
                  </w:r>
                </w:p>
              </w:tc>
              <w:tc>
                <w:tcPr>
                  <w:tcW w:w="1032" w:type="dxa"/>
                  <w:tcBorders>
                    <w:tl2br w:val="nil"/>
                    <w:tr2bl w:val="nil"/>
                  </w:tcBorders>
                  <w:shd w:val="clear" w:color="auto" w:fill="auto"/>
                  <w:vAlign w:val="center"/>
                </w:tcPr>
                <w:p>
                  <w:pPr>
                    <w:autoSpaceDE w:val="0"/>
                    <w:autoSpaceDN w:val="0"/>
                    <w:adjustRightInd w:val="0"/>
                    <w:snapToGrid w:val="0"/>
                    <w:jc w:val="center"/>
                    <w:rPr>
                      <w:b/>
                      <w:bCs/>
                      <w:color w:val="auto"/>
                      <w:sz w:val="18"/>
                      <w:szCs w:val="18"/>
                      <w:highlight w:val="none"/>
                    </w:rPr>
                  </w:pPr>
                  <w:r>
                    <w:rPr>
                      <w:b/>
                      <w:bCs/>
                      <w:color w:val="auto"/>
                      <w:sz w:val="18"/>
                      <w:szCs w:val="18"/>
                      <w:highlight w:val="none"/>
                    </w:rPr>
                    <w:t>保护目标</w:t>
                  </w:r>
                </w:p>
              </w:tc>
              <w:tc>
                <w:tcPr>
                  <w:tcW w:w="1668" w:type="dxa"/>
                  <w:tcBorders>
                    <w:tl2br w:val="nil"/>
                    <w:tr2bl w:val="nil"/>
                  </w:tcBorders>
                  <w:shd w:val="clear" w:color="auto" w:fill="auto"/>
                  <w:vAlign w:val="center"/>
                </w:tcPr>
                <w:p>
                  <w:pPr>
                    <w:autoSpaceDE w:val="0"/>
                    <w:autoSpaceDN w:val="0"/>
                    <w:adjustRightInd w:val="0"/>
                    <w:snapToGrid w:val="0"/>
                    <w:jc w:val="center"/>
                    <w:rPr>
                      <w:rFonts w:hint="default" w:eastAsia="宋体"/>
                      <w:b/>
                      <w:bCs/>
                      <w:color w:val="auto"/>
                      <w:sz w:val="18"/>
                      <w:szCs w:val="18"/>
                      <w:highlight w:val="none"/>
                      <w:lang w:val="en-US" w:eastAsia="zh-CN"/>
                    </w:rPr>
                  </w:pPr>
                  <w:r>
                    <w:rPr>
                      <w:b/>
                      <w:bCs/>
                      <w:color w:val="auto"/>
                      <w:sz w:val="18"/>
                      <w:szCs w:val="18"/>
                      <w:highlight w:val="none"/>
                    </w:rPr>
                    <w:t>相对位置</w:t>
                  </w:r>
                </w:p>
              </w:tc>
              <w:tc>
                <w:tcPr>
                  <w:tcW w:w="1823" w:type="dxa"/>
                  <w:tcBorders>
                    <w:tl2br w:val="nil"/>
                    <w:tr2bl w:val="nil"/>
                  </w:tcBorders>
                  <w:shd w:val="clear" w:color="auto" w:fill="auto"/>
                  <w:vAlign w:val="center"/>
                </w:tcPr>
                <w:p>
                  <w:pPr>
                    <w:autoSpaceDE w:val="0"/>
                    <w:autoSpaceDN w:val="0"/>
                    <w:adjustRightInd w:val="0"/>
                    <w:snapToGrid w:val="0"/>
                    <w:jc w:val="center"/>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水体功能</w:t>
                  </w:r>
                </w:p>
              </w:tc>
              <w:tc>
                <w:tcPr>
                  <w:tcW w:w="2583" w:type="dxa"/>
                  <w:tcBorders>
                    <w:tl2br w:val="nil"/>
                    <w:tr2bl w:val="nil"/>
                  </w:tcBorders>
                  <w:shd w:val="clear" w:color="auto" w:fill="auto"/>
                  <w:vAlign w:val="center"/>
                </w:tcPr>
                <w:p>
                  <w:pPr>
                    <w:autoSpaceDE w:val="0"/>
                    <w:autoSpaceDN w:val="0"/>
                    <w:adjustRightInd w:val="0"/>
                    <w:snapToGrid w:val="0"/>
                    <w:jc w:val="center"/>
                    <w:rPr>
                      <w:b/>
                      <w:bCs/>
                      <w:color w:val="auto"/>
                      <w:sz w:val="18"/>
                      <w:szCs w:val="18"/>
                      <w:highlight w:val="none"/>
                    </w:rPr>
                  </w:pPr>
                  <w:r>
                    <w:rPr>
                      <w:b/>
                      <w:bCs/>
                      <w:color w:val="auto"/>
                      <w:sz w:val="18"/>
                      <w:szCs w:val="18"/>
                      <w:highlight w:val="none"/>
                    </w:rPr>
                    <w:t>环境功能及要求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82" w:hRule="atLeast"/>
                <w:jc w:val="center"/>
              </w:trPr>
              <w:tc>
                <w:tcPr>
                  <w:tcW w:w="781" w:type="dxa"/>
                  <w:vMerge w:val="restart"/>
                  <w:tcBorders>
                    <w:tl2br w:val="nil"/>
                    <w:tr2bl w:val="nil"/>
                  </w:tcBorders>
                  <w:shd w:val="clear" w:color="auto" w:fill="auto"/>
                  <w:vAlign w:val="center"/>
                </w:tcPr>
                <w:p>
                  <w:pPr>
                    <w:adjustRightInd w:val="0"/>
                    <w:snapToGrid w:val="0"/>
                    <w:jc w:val="center"/>
                    <w:rPr>
                      <w:color w:val="auto"/>
                      <w:sz w:val="18"/>
                      <w:szCs w:val="18"/>
                      <w:highlight w:val="none"/>
                    </w:rPr>
                  </w:pPr>
                  <w:r>
                    <w:rPr>
                      <w:color w:val="auto"/>
                      <w:sz w:val="18"/>
                      <w:szCs w:val="18"/>
                      <w:highlight w:val="none"/>
                    </w:rPr>
                    <w:t>水环境</w:t>
                  </w:r>
                </w:p>
              </w:tc>
              <w:tc>
                <w:tcPr>
                  <w:tcW w:w="1032" w:type="dxa"/>
                  <w:tcBorders>
                    <w:tl2br w:val="nil"/>
                    <w:tr2bl w:val="nil"/>
                  </w:tcBorders>
                  <w:shd w:val="clear" w:color="auto" w:fill="auto"/>
                  <w:vAlign w:val="center"/>
                </w:tcPr>
                <w:p>
                  <w:pPr>
                    <w:adjustRightInd w:val="0"/>
                    <w:snapToGrid w:val="0"/>
                    <w:jc w:val="center"/>
                    <w:rPr>
                      <w:color w:val="auto"/>
                      <w:sz w:val="18"/>
                      <w:szCs w:val="18"/>
                      <w:highlight w:val="none"/>
                    </w:rPr>
                  </w:pPr>
                  <w:r>
                    <w:rPr>
                      <w:rFonts w:hint="eastAsia"/>
                      <w:color w:val="auto"/>
                      <w:sz w:val="18"/>
                      <w:szCs w:val="18"/>
                      <w:highlight w:val="none"/>
                      <w:lang w:val="en-US" w:eastAsia="zh-CN"/>
                    </w:rPr>
                    <w:t>乌木滩</w:t>
                  </w:r>
                  <w:r>
                    <w:rPr>
                      <w:color w:val="auto"/>
                      <w:sz w:val="18"/>
                      <w:szCs w:val="18"/>
                      <w:highlight w:val="none"/>
                    </w:rPr>
                    <w:t>水库</w:t>
                  </w:r>
                </w:p>
              </w:tc>
              <w:tc>
                <w:tcPr>
                  <w:tcW w:w="1668" w:type="dxa"/>
                  <w:tcBorders>
                    <w:tl2br w:val="nil"/>
                    <w:tr2bl w:val="nil"/>
                  </w:tcBorders>
                  <w:shd w:val="clear" w:color="auto" w:fill="auto"/>
                  <w:vAlign w:val="center"/>
                </w:tcPr>
                <w:p>
                  <w:pPr>
                    <w:adjustRightInd w:val="0"/>
                    <w:snapToGrid w:val="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东南约2.4km</w:t>
                  </w:r>
                </w:p>
              </w:tc>
              <w:tc>
                <w:tcPr>
                  <w:tcW w:w="1823" w:type="dxa"/>
                  <w:tcBorders>
                    <w:tl2br w:val="nil"/>
                    <w:tr2bl w:val="nil"/>
                  </w:tcBorders>
                  <w:shd w:val="clear" w:color="auto" w:fill="auto"/>
                  <w:vAlign w:val="center"/>
                </w:tcPr>
                <w:p>
                  <w:pPr>
                    <w:adjustRightInd w:val="0"/>
                    <w:snapToGrid w:val="0"/>
                    <w:jc w:val="center"/>
                    <w:rPr>
                      <w:color w:val="auto"/>
                      <w:sz w:val="18"/>
                      <w:szCs w:val="18"/>
                      <w:highlight w:val="none"/>
                    </w:rPr>
                  </w:pPr>
                  <w:r>
                    <w:rPr>
                      <w:color w:val="auto"/>
                      <w:sz w:val="18"/>
                      <w:szCs w:val="18"/>
                      <w:highlight w:val="none"/>
                    </w:rPr>
                    <w:t>饮用、行洪、灌溉</w:t>
                  </w:r>
                </w:p>
              </w:tc>
              <w:tc>
                <w:tcPr>
                  <w:tcW w:w="2583" w:type="dxa"/>
                  <w:vMerge w:val="restart"/>
                  <w:tcBorders>
                    <w:tl2br w:val="nil"/>
                    <w:tr2bl w:val="nil"/>
                  </w:tcBorders>
                  <w:shd w:val="clear" w:color="auto" w:fill="auto"/>
                  <w:vAlign w:val="center"/>
                </w:tcPr>
                <w:p>
                  <w:pPr>
                    <w:adjustRightInd w:val="0"/>
                    <w:snapToGrid w:val="0"/>
                    <w:jc w:val="center"/>
                    <w:rPr>
                      <w:color w:val="auto"/>
                      <w:sz w:val="18"/>
                      <w:szCs w:val="18"/>
                      <w:highlight w:val="none"/>
                    </w:rPr>
                  </w:pPr>
                  <w:r>
                    <w:rPr>
                      <w:color w:val="auto"/>
                      <w:sz w:val="18"/>
                      <w:szCs w:val="18"/>
                      <w:highlight w:val="none"/>
                    </w:rPr>
                    <w:t>《地表水环境质量标准》（GB3838-2002）中的Ⅲ类标准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2" w:hRule="atLeast"/>
                <w:jc w:val="center"/>
              </w:trPr>
              <w:tc>
                <w:tcPr>
                  <w:tcW w:w="781" w:type="dxa"/>
                  <w:vMerge w:val="continue"/>
                  <w:tcBorders>
                    <w:tl2br w:val="nil"/>
                    <w:tr2bl w:val="nil"/>
                  </w:tcBorders>
                  <w:shd w:val="clear" w:color="auto" w:fill="auto"/>
                  <w:vAlign w:val="center"/>
                </w:tcPr>
                <w:p>
                  <w:pPr>
                    <w:adjustRightInd w:val="0"/>
                    <w:snapToGrid w:val="0"/>
                    <w:jc w:val="center"/>
                    <w:rPr>
                      <w:color w:val="auto"/>
                      <w:sz w:val="18"/>
                      <w:szCs w:val="18"/>
                      <w:highlight w:val="none"/>
                    </w:rPr>
                  </w:pPr>
                </w:p>
              </w:tc>
              <w:tc>
                <w:tcPr>
                  <w:tcW w:w="1032" w:type="dxa"/>
                  <w:tcBorders>
                    <w:tl2br w:val="nil"/>
                    <w:tr2bl w:val="nil"/>
                  </w:tcBorders>
                  <w:shd w:val="clear" w:color="auto" w:fill="auto"/>
                  <w:vAlign w:val="center"/>
                </w:tcPr>
                <w:p>
                  <w:pPr>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东柳河</w:t>
                  </w:r>
                </w:p>
              </w:tc>
              <w:tc>
                <w:tcPr>
                  <w:tcW w:w="1668" w:type="dxa"/>
                  <w:tcBorders>
                    <w:tl2br w:val="nil"/>
                    <w:tr2bl w:val="nil"/>
                  </w:tcBorders>
                  <w:shd w:val="clear" w:color="auto" w:fill="auto"/>
                  <w:vAlign w:val="center"/>
                </w:tcPr>
                <w:p>
                  <w:pPr>
                    <w:adjustRightInd w:val="0"/>
                    <w:snapToGrid w:val="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南侧约350m</w:t>
                  </w:r>
                </w:p>
              </w:tc>
              <w:tc>
                <w:tcPr>
                  <w:tcW w:w="1823" w:type="dxa"/>
                  <w:tcBorders>
                    <w:tl2br w:val="nil"/>
                    <w:tr2bl w:val="nil"/>
                  </w:tcBorders>
                  <w:shd w:val="clear" w:color="auto" w:fill="auto"/>
                  <w:vAlign w:val="center"/>
                </w:tcPr>
                <w:p>
                  <w:pPr>
                    <w:adjustRightInd w:val="0"/>
                    <w:snapToGrid w:val="0"/>
                    <w:jc w:val="center"/>
                    <w:rPr>
                      <w:rFonts w:hint="default" w:eastAsia="宋体"/>
                      <w:color w:val="auto"/>
                      <w:sz w:val="18"/>
                      <w:szCs w:val="18"/>
                      <w:highlight w:val="none"/>
                      <w:lang w:val="en-US" w:eastAsia="zh-CN"/>
                    </w:rPr>
                  </w:pPr>
                  <w:r>
                    <w:rPr>
                      <w:color w:val="auto"/>
                      <w:sz w:val="18"/>
                      <w:szCs w:val="18"/>
                      <w:highlight w:val="none"/>
                    </w:rPr>
                    <w:t>行洪、灌溉</w:t>
                  </w:r>
                  <w:r>
                    <w:rPr>
                      <w:rFonts w:hint="eastAsia"/>
                      <w:color w:val="auto"/>
                      <w:sz w:val="18"/>
                      <w:szCs w:val="18"/>
                      <w:highlight w:val="none"/>
                      <w:lang w:eastAsia="zh-CN"/>
                    </w:rPr>
                    <w:t>、</w:t>
                  </w:r>
                  <w:r>
                    <w:rPr>
                      <w:rFonts w:hint="eastAsia"/>
                      <w:color w:val="auto"/>
                      <w:sz w:val="18"/>
                      <w:szCs w:val="18"/>
                      <w:highlight w:val="none"/>
                      <w:lang w:val="en-US" w:eastAsia="zh-CN"/>
                    </w:rPr>
                    <w:t>纳污</w:t>
                  </w:r>
                </w:p>
              </w:tc>
              <w:tc>
                <w:tcPr>
                  <w:tcW w:w="2583" w:type="dxa"/>
                  <w:vMerge w:val="continue"/>
                  <w:tcBorders>
                    <w:tl2br w:val="nil"/>
                    <w:tr2bl w:val="nil"/>
                  </w:tcBorders>
                  <w:shd w:val="clear" w:color="auto" w:fill="auto"/>
                  <w:vAlign w:val="center"/>
                </w:tcPr>
                <w:p>
                  <w:pPr>
                    <w:adjustRightInd w:val="0"/>
                    <w:snapToGrid w:val="0"/>
                    <w:jc w:val="center"/>
                    <w:rPr>
                      <w:color w:val="auto"/>
                      <w:sz w:val="18"/>
                      <w:szCs w:val="18"/>
                      <w:highlight w:val="none"/>
                    </w:rPr>
                  </w:pPr>
                </w:p>
              </w:tc>
            </w:tr>
          </w:tbl>
          <w:p>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2、大气环境保护目标</w:t>
            </w:r>
          </w:p>
          <w:tbl>
            <w:tblPr>
              <w:tblStyle w:val="2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2"/>
              <w:gridCol w:w="1048"/>
              <w:gridCol w:w="1359"/>
              <w:gridCol w:w="1297"/>
              <w:gridCol w:w="1173"/>
              <w:gridCol w:w="953"/>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6" w:hRule="atLeast"/>
                <w:jc w:val="center"/>
              </w:trPr>
              <w:tc>
                <w:tcPr>
                  <w:tcW w:w="562" w:type="dxa"/>
                  <w:vMerge w:val="restart"/>
                  <w:tcBorders>
                    <w:tl2br w:val="nil"/>
                    <w:tr2bl w:val="nil"/>
                  </w:tcBorders>
                  <w:noWrap w:val="0"/>
                  <w:vAlign w:val="center"/>
                </w:tcPr>
                <w:p>
                  <w:pPr>
                    <w:pStyle w:val="177"/>
                    <w:bidi w:val="0"/>
                    <w:rPr>
                      <w:color w:val="auto"/>
                      <w:highlight w:val="none"/>
                    </w:rPr>
                  </w:pPr>
                  <w:r>
                    <w:rPr>
                      <w:color w:val="auto"/>
                      <w:highlight w:val="none"/>
                    </w:rPr>
                    <w:t>环境</w:t>
                  </w:r>
                </w:p>
                <w:p>
                  <w:pPr>
                    <w:pStyle w:val="177"/>
                    <w:bidi w:val="0"/>
                    <w:rPr>
                      <w:color w:val="auto"/>
                      <w:highlight w:val="none"/>
                    </w:rPr>
                  </w:pPr>
                  <w:r>
                    <w:rPr>
                      <w:color w:val="auto"/>
                      <w:highlight w:val="none"/>
                    </w:rPr>
                    <w:t>要素</w:t>
                  </w:r>
                </w:p>
              </w:tc>
              <w:tc>
                <w:tcPr>
                  <w:tcW w:w="1048" w:type="dxa"/>
                  <w:vMerge w:val="restart"/>
                  <w:tcBorders>
                    <w:tl2br w:val="nil"/>
                    <w:tr2bl w:val="nil"/>
                  </w:tcBorders>
                  <w:noWrap w:val="0"/>
                  <w:vAlign w:val="center"/>
                </w:tcPr>
                <w:p>
                  <w:pPr>
                    <w:pStyle w:val="177"/>
                    <w:bidi w:val="0"/>
                    <w:rPr>
                      <w:color w:val="auto"/>
                      <w:highlight w:val="none"/>
                    </w:rPr>
                  </w:pPr>
                  <w:r>
                    <w:rPr>
                      <w:color w:val="auto"/>
                      <w:highlight w:val="none"/>
                    </w:rPr>
                    <w:t>名称</w:t>
                  </w:r>
                </w:p>
              </w:tc>
              <w:tc>
                <w:tcPr>
                  <w:tcW w:w="2656" w:type="dxa"/>
                  <w:gridSpan w:val="2"/>
                  <w:tcBorders>
                    <w:tl2br w:val="nil"/>
                    <w:tr2bl w:val="nil"/>
                  </w:tcBorders>
                  <w:noWrap w:val="0"/>
                  <w:vAlign w:val="center"/>
                </w:tcPr>
                <w:p>
                  <w:pPr>
                    <w:pStyle w:val="177"/>
                    <w:bidi w:val="0"/>
                    <w:rPr>
                      <w:color w:val="auto"/>
                      <w:highlight w:val="none"/>
                    </w:rPr>
                  </w:pPr>
                  <w:r>
                    <w:rPr>
                      <w:rFonts w:hint="eastAsia"/>
                      <w:color w:val="auto"/>
                      <w:highlight w:val="none"/>
                      <w:lang w:eastAsia="zh-CN"/>
                    </w:rPr>
                    <w:t>敏感目标</w:t>
                  </w:r>
                  <w:r>
                    <w:rPr>
                      <w:rFonts w:hint="eastAsia"/>
                      <w:color w:val="auto"/>
                      <w:highlight w:val="none"/>
                    </w:rPr>
                    <w:t>坐标</w:t>
                  </w:r>
                </w:p>
              </w:tc>
              <w:tc>
                <w:tcPr>
                  <w:tcW w:w="1173" w:type="dxa"/>
                  <w:vMerge w:val="restart"/>
                  <w:tcBorders>
                    <w:tl2br w:val="nil"/>
                    <w:tr2bl w:val="nil"/>
                  </w:tcBorders>
                  <w:noWrap w:val="0"/>
                  <w:vAlign w:val="center"/>
                </w:tcPr>
                <w:p>
                  <w:pPr>
                    <w:pStyle w:val="177"/>
                    <w:bidi w:val="0"/>
                    <w:rPr>
                      <w:color w:val="auto"/>
                      <w:highlight w:val="none"/>
                    </w:rPr>
                  </w:pPr>
                  <w:r>
                    <w:rPr>
                      <w:color w:val="auto"/>
                      <w:highlight w:val="none"/>
                    </w:rPr>
                    <w:t>与项目厂界位置关系</w:t>
                  </w:r>
                </w:p>
              </w:tc>
              <w:tc>
                <w:tcPr>
                  <w:tcW w:w="953" w:type="dxa"/>
                  <w:vMerge w:val="restart"/>
                  <w:tcBorders>
                    <w:tl2br w:val="nil"/>
                    <w:tr2bl w:val="nil"/>
                  </w:tcBorders>
                  <w:noWrap w:val="0"/>
                  <w:vAlign w:val="center"/>
                </w:tcPr>
                <w:p>
                  <w:pPr>
                    <w:pStyle w:val="177"/>
                    <w:bidi w:val="0"/>
                    <w:rPr>
                      <w:color w:val="auto"/>
                      <w:highlight w:val="none"/>
                    </w:rPr>
                  </w:pPr>
                  <w:r>
                    <w:rPr>
                      <w:color w:val="auto"/>
                      <w:highlight w:val="none"/>
                    </w:rPr>
                    <w:t>保护目标</w:t>
                  </w:r>
                </w:p>
              </w:tc>
              <w:tc>
                <w:tcPr>
                  <w:tcW w:w="1495" w:type="dxa"/>
                  <w:vMerge w:val="restart"/>
                  <w:tcBorders>
                    <w:tl2br w:val="nil"/>
                    <w:tr2bl w:val="nil"/>
                  </w:tcBorders>
                  <w:noWrap w:val="0"/>
                  <w:vAlign w:val="center"/>
                </w:tcPr>
                <w:p>
                  <w:pPr>
                    <w:pStyle w:val="177"/>
                    <w:bidi w:val="0"/>
                    <w:rPr>
                      <w:color w:val="auto"/>
                      <w:highlight w:val="none"/>
                    </w:rPr>
                  </w:pPr>
                  <w:r>
                    <w:rPr>
                      <w:color w:val="auto"/>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5" w:hRule="atLeast"/>
                <w:jc w:val="center"/>
              </w:trPr>
              <w:tc>
                <w:tcPr>
                  <w:tcW w:w="562" w:type="dxa"/>
                  <w:vMerge w:val="continue"/>
                  <w:tcBorders>
                    <w:tl2br w:val="nil"/>
                    <w:tr2bl w:val="nil"/>
                  </w:tcBorders>
                  <w:noWrap w:val="0"/>
                  <w:vAlign w:val="center"/>
                </w:tcPr>
                <w:p>
                  <w:pPr>
                    <w:pStyle w:val="177"/>
                    <w:bidi w:val="0"/>
                    <w:rPr>
                      <w:color w:val="auto"/>
                      <w:highlight w:val="none"/>
                    </w:rPr>
                  </w:pPr>
                </w:p>
              </w:tc>
              <w:tc>
                <w:tcPr>
                  <w:tcW w:w="1048" w:type="dxa"/>
                  <w:vMerge w:val="continue"/>
                  <w:tcBorders>
                    <w:tl2br w:val="nil"/>
                    <w:tr2bl w:val="nil"/>
                  </w:tcBorders>
                  <w:noWrap w:val="0"/>
                  <w:vAlign w:val="center"/>
                </w:tcPr>
                <w:p>
                  <w:pPr>
                    <w:pStyle w:val="177"/>
                    <w:bidi w:val="0"/>
                    <w:rPr>
                      <w:color w:val="auto"/>
                      <w:highlight w:val="none"/>
                    </w:rPr>
                  </w:pPr>
                </w:p>
              </w:tc>
              <w:tc>
                <w:tcPr>
                  <w:tcW w:w="1359" w:type="dxa"/>
                  <w:tcBorders>
                    <w:tl2br w:val="nil"/>
                    <w:tr2bl w:val="nil"/>
                  </w:tcBorders>
                  <w:noWrap w:val="0"/>
                  <w:vAlign w:val="center"/>
                </w:tcPr>
                <w:p>
                  <w:pPr>
                    <w:pStyle w:val="177"/>
                    <w:bidi w:val="0"/>
                    <w:rPr>
                      <w:rFonts w:hint="eastAsia"/>
                      <w:color w:val="auto"/>
                      <w:highlight w:val="none"/>
                    </w:rPr>
                  </w:pPr>
                  <w:r>
                    <w:rPr>
                      <w:rFonts w:hint="eastAsia"/>
                      <w:color w:val="auto"/>
                      <w:highlight w:val="none"/>
                    </w:rPr>
                    <w:t>X</w:t>
                  </w:r>
                </w:p>
              </w:tc>
              <w:tc>
                <w:tcPr>
                  <w:tcW w:w="1297" w:type="dxa"/>
                  <w:tcBorders>
                    <w:tl2br w:val="nil"/>
                    <w:tr2bl w:val="nil"/>
                  </w:tcBorders>
                  <w:noWrap w:val="0"/>
                  <w:vAlign w:val="center"/>
                </w:tcPr>
                <w:p>
                  <w:pPr>
                    <w:pStyle w:val="177"/>
                    <w:bidi w:val="0"/>
                    <w:rPr>
                      <w:rFonts w:hint="eastAsia"/>
                      <w:color w:val="auto"/>
                      <w:highlight w:val="none"/>
                    </w:rPr>
                  </w:pPr>
                  <w:r>
                    <w:rPr>
                      <w:rFonts w:hint="eastAsia"/>
                      <w:color w:val="auto"/>
                      <w:highlight w:val="none"/>
                    </w:rPr>
                    <w:t>Y</w:t>
                  </w:r>
                </w:p>
              </w:tc>
              <w:tc>
                <w:tcPr>
                  <w:tcW w:w="1173" w:type="dxa"/>
                  <w:vMerge w:val="continue"/>
                  <w:tcBorders>
                    <w:tl2br w:val="nil"/>
                    <w:tr2bl w:val="nil"/>
                  </w:tcBorders>
                  <w:noWrap w:val="0"/>
                  <w:vAlign w:val="center"/>
                </w:tcPr>
                <w:p>
                  <w:pPr>
                    <w:pStyle w:val="177"/>
                    <w:bidi w:val="0"/>
                    <w:rPr>
                      <w:color w:val="auto"/>
                      <w:highlight w:val="none"/>
                    </w:rPr>
                  </w:pPr>
                </w:p>
              </w:tc>
              <w:tc>
                <w:tcPr>
                  <w:tcW w:w="953" w:type="dxa"/>
                  <w:vMerge w:val="continue"/>
                  <w:tcBorders>
                    <w:tl2br w:val="nil"/>
                    <w:tr2bl w:val="nil"/>
                  </w:tcBorders>
                  <w:noWrap w:val="0"/>
                  <w:vAlign w:val="center"/>
                </w:tcPr>
                <w:p>
                  <w:pPr>
                    <w:pStyle w:val="177"/>
                    <w:bidi w:val="0"/>
                    <w:rPr>
                      <w:color w:val="auto"/>
                      <w:highlight w:val="none"/>
                    </w:rPr>
                  </w:pPr>
                </w:p>
              </w:tc>
              <w:tc>
                <w:tcPr>
                  <w:tcW w:w="1495" w:type="dxa"/>
                  <w:vMerge w:val="continue"/>
                  <w:tcBorders>
                    <w:tl2br w:val="nil"/>
                    <w:tr2bl w:val="nil"/>
                  </w:tcBorders>
                  <w:noWrap w:val="0"/>
                  <w:vAlign w:val="center"/>
                </w:tcPr>
                <w:p>
                  <w:pPr>
                    <w:pStyle w:val="17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0" w:hRule="atLeast"/>
                <w:jc w:val="center"/>
              </w:trPr>
              <w:tc>
                <w:tcPr>
                  <w:tcW w:w="562" w:type="dxa"/>
                  <w:vMerge w:val="restart"/>
                  <w:tcBorders>
                    <w:tl2br w:val="nil"/>
                    <w:tr2bl w:val="nil"/>
                  </w:tcBorders>
                  <w:noWrap w:val="0"/>
                  <w:vAlign w:val="center"/>
                </w:tcPr>
                <w:p>
                  <w:pPr>
                    <w:pStyle w:val="177"/>
                    <w:bidi w:val="0"/>
                    <w:rPr>
                      <w:color w:val="auto"/>
                      <w:highlight w:val="none"/>
                    </w:rPr>
                  </w:pPr>
                  <w:r>
                    <w:rPr>
                      <w:color w:val="auto"/>
                      <w:highlight w:val="none"/>
                    </w:rPr>
                    <w:t>环境空气</w:t>
                  </w:r>
                </w:p>
              </w:tc>
              <w:tc>
                <w:tcPr>
                  <w:tcW w:w="1048" w:type="dxa"/>
                  <w:tcBorders>
                    <w:tl2br w:val="nil"/>
                    <w:tr2bl w:val="nil"/>
                  </w:tcBorders>
                  <w:noWrap w:val="0"/>
                  <w:vAlign w:val="center"/>
                </w:tcPr>
                <w:p>
                  <w:pPr>
                    <w:pStyle w:val="177"/>
                    <w:bidi w:val="0"/>
                    <w:rPr>
                      <w:rFonts w:hint="default" w:eastAsia="宋体"/>
                      <w:color w:val="auto"/>
                      <w:highlight w:val="none"/>
                      <w:lang w:val="en-US" w:eastAsia="zh-CN"/>
                    </w:rPr>
                  </w:pPr>
                  <w:r>
                    <w:rPr>
                      <w:rFonts w:hint="eastAsia"/>
                      <w:color w:val="auto"/>
                      <w:highlight w:val="none"/>
                      <w:lang w:val="en-US" w:eastAsia="zh-CN"/>
                    </w:rPr>
                    <w:t>大竹工业园区惠民小区</w:t>
                  </w:r>
                </w:p>
              </w:tc>
              <w:tc>
                <w:tcPr>
                  <w:tcW w:w="1359" w:type="dxa"/>
                  <w:tcBorders>
                    <w:tl2br w:val="nil"/>
                    <w:tr2bl w:val="nil"/>
                  </w:tcBorders>
                  <w:noWrap w:val="0"/>
                  <w:vAlign w:val="center"/>
                </w:tcPr>
                <w:p>
                  <w:pPr>
                    <w:pStyle w:val="177"/>
                    <w:bidi w:val="0"/>
                    <w:jc w:val="center"/>
                    <w:rPr>
                      <w:color w:val="auto"/>
                      <w:highlight w:val="none"/>
                    </w:rPr>
                  </w:pPr>
                  <w:r>
                    <w:rPr>
                      <w:rFonts w:hint="eastAsia"/>
                      <w:color w:val="auto"/>
                      <w:highlight w:val="none"/>
                    </w:rPr>
                    <w:t>107.25056805</w:t>
                  </w:r>
                </w:p>
              </w:tc>
              <w:tc>
                <w:tcPr>
                  <w:tcW w:w="1297" w:type="dxa"/>
                  <w:tcBorders>
                    <w:tl2br w:val="nil"/>
                    <w:tr2bl w:val="nil"/>
                  </w:tcBorders>
                  <w:noWrap w:val="0"/>
                  <w:vAlign w:val="center"/>
                </w:tcPr>
                <w:p>
                  <w:pPr>
                    <w:pStyle w:val="177"/>
                    <w:bidi w:val="0"/>
                    <w:jc w:val="center"/>
                    <w:rPr>
                      <w:color w:val="auto"/>
                      <w:highlight w:val="none"/>
                    </w:rPr>
                  </w:pPr>
                  <w:r>
                    <w:rPr>
                      <w:rFonts w:hint="eastAsia"/>
                      <w:color w:val="auto"/>
                      <w:highlight w:val="none"/>
                    </w:rPr>
                    <w:t>30.73941188</w:t>
                  </w:r>
                </w:p>
              </w:tc>
              <w:tc>
                <w:tcPr>
                  <w:tcW w:w="1173" w:type="dxa"/>
                  <w:tcBorders>
                    <w:tl2br w:val="nil"/>
                    <w:tr2bl w:val="nil"/>
                  </w:tcBorders>
                  <w:noWrap w:val="0"/>
                  <w:vAlign w:val="center"/>
                </w:tcPr>
                <w:p>
                  <w:pPr>
                    <w:pStyle w:val="177"/>
                    <w:bidi w:val="0"/>
                    <w:rPr>
                      <w:rFonts w:hint="default"/>
                      <w:color w:val="auto"/>
                      <w:highlight w:val="none"/>
                      <w:lang w:val="en-US"/>
                    </w:rPr>
                  </w:pPr>
                  <w:r>
                    <w:rPr>
                      <w:rFonts w:hint="eastAsia"/>
                      <w:color w:val="auto"/>
                      <w:highlight w:val="none"/>
                      <w:lang w:val="en-US" w:eastAsia="zh-CN"/>
                    </w:rPr>
                    <w:t>NW、280~500m</w:t>
                  </w:r>
                </w:p>
              </w:tc>
              <w:tc>
                <w:tcPr>
                  <w:tcW w:w="953" w:type="dxa"/>
                  <w:tcBorders>
                    <w:tl2br w:val="nil"/>
                    <w:tr2bl w:val="nil"/>
                  </w:tcBorders>
                  <w:noWrap w:val="0"/>
                  <w:vAlign w:val="center"/>
                </w:tcPr>
                <w:p>
                  <w:pPr>
                    <w:pStyle w:val="177"/>
                    <w:bidi w:val="0"/>
                    <w:rPr>
                      <w:color w:val="auto"/>
                      <w:highlight w:val="none"/>
                    </w:rPr>
                  </w:pPr>
                  <w:r>
                    <w:rPr>
                      <w:color w:val="auto"/>
                      <w:highlight w:val="none"/>
                    </w:rPr>
                    <w:t>约</w:t>
                  </w:r>
                  <w:r>
                    <w:rPr>
                      <w:rFonts w:hint="eastAsia"/>
                      <w:color w:val="auto"/>
                      <w:highlight w:val="none"/>
                      <w:lang w:val="en-US" w:eastAsia="zh-CN"/>
                    </w:rPr>
                    <w:t>500</w:t>
                  </w:r>
                  <w:r>
                    <w:rPr>
                      <w:color w:val="auto"/>
                      <w:highlight w:val="none"/>
                    </w:rPr>
                    <w:t>户、</w:t>
                  </w:r>
                  <w:r>
                    <w:rPr>
                      <w:rFonts w:hint="eastAsia"/>
                      <w:color w:val="auto"/>
                      <w:highlight w:val="none"/>
                      <w:lang w:val="en-US" w:eastAsia="zh-CN"/>
                    </w:rPr>
                    <w:t>1750</w:t>
                  </w:r>
                  <w:r>
                    <w:rPr>
                      <w:color w:val="auto"/>
                      <w:highlight w:val="none"/>
                    </w:rPr>
                    <w:t>人</w:t>
                  </w:r>
                </w:p>
              </w:tc>
              <w:tc>
                <w:tcPr>
                  <w:tcW w:w="1495" w:type="dxa"/>
                  <w:vMerge w:val="restart"/>
                  <w:tcBorders>
                    <w:tl2br w:val="nil"/>
                    <w:tr2bl w:val="nil"/>
                  </w:tcBorders>
                  <w:noWrap w:val="0"/>
                  <w:vAlign w:val="center"/>
                </w:tcPr>
                <w:p>
                  <w:pPr>
                    <w:pStyle w:val="177"/>
                    <w:bidi w:val="0"/>
                    <w:rPr>
                      <w:color w:val="auto"/>
                      <w:highlight w:val="none"/>
                    </w:rPr>
                  </w:pPr>
                  <w:r>
                    <w:rPr>
                      <w:color w:val="auto"/>
                      <w:highlight w:val="none"/>
                    </w:rPr>
                    <w:t>满足B3095-2012中二级标准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0" w:hRule="atLeast"/>
                <w:jc w:val="center"/>
              </w:trPr>
              <w:tc>
                <w:tcPr>
                  <w:tcW w:w="562" w:type="dxa"/>
                  <w:vMerge w:val="continue"/>
                  <w:tcBorders>
                    <w:tl2br w:val="nil"/>
                    <w:tr2bl w:val="nil"/>
                  </w:tcBorders>
                  <w:noWrap w:val="0"/>
                  <w:vAlign w:val="center"/>
                </w:tcPr>
                <w:p>
                  <w:pPr>
                    <w:pStyle w:val="177"/>
                    <w:bidi w:val="0"/>
                    <w:rPr>
                      <w:color w:val="auto"/>
                      <w:highlight w:val="none"/>
                    </w:rPr>
                  </w:pPr>
                </w:p>
              </w:tc>
              <w:tc>
                <w:tcPr>
                  <w:tcW w:w="1048" w:type="dxa"/>
                  <w:tcBorders>
                    <w:tl2br w:val="nil"/>
                    <w:tr2bl w:val="nil"/>
                  </w:tcBorders>
                  <w:noWrap w:val="0"/>
                  <w:vAlign w:val="center"/>
                </w:tcPr>
                <w:p>
                  <w:pPr>
                    <w:pStyle w:val="177"/>
                    <w:bidi w:val="0"/>
                    <w:rPr>
                      <w:rFonts w:hint="default"/>
                      <w:color w:val="auto"/>
                      <w:highlight w:val="none"/>
                      <w:lang w:val="en-US"/>
                    </w:rPr>
                  </w:pPr>
                  <w:r>
                    <w:rPr>
                      <w:rFonts w:hint="eastAsia" w:cs="Times New Roman"/>
                      <w:color w:val="auto"/>
                      <w:highlight w:val="none"/>
                      <w:lang w:val="en-US" w:eastAsia="zh-CN"/>
                    </w:rPr>
                    <w:t>大竹经开区散户居民</w:t>
                  </w:r>
                </w:p>
              </w:tc>
              <w:tc>
                <w:tcPr>
                  <w:tcW w:w="1359" w:type="dxa"/>
                  <w:tcBorders>
                    <w:tl2br w:val="nil"/>
                    <w:tr2bl w:val="nil"/>
                  </w:tcBorders>
                  <w:noWrap w:val="0"/>
                  <w:vAlign w:val="center"/>
                </w:tcPr>
                <w:p>
                  <w:pPr>
                    <w:pStyle w:val="177"/>
                    <w:bidi w:val="0"/>
                    <w:jc w:val="center"/>
                    <w:rPr>
                      <w:color w:val="auto"/>
                      <w:highlight w:val="none"/>
                    </w:rPr>
                  </w:pPr>
                  <w:r>
                    <w:rPr>
                      <w:rFonts w:hint="eastAsia"/>
                      <w:color w:val="auto"/>
                      <w:highlight w:val="none"/>
                    </w:rPr>
                    <w:t>107.25270396</w:t>
                  </w:r>
                </w:p>
              </w:tc>
              <w:tc>
                <w:tcPr>
                  <w:tcW w:w="1297" w:type="dxa"/>
                  <w:tcBorders>
                    <w:tl2br w:val="nil"/>
                    <w:tr2bl w:val="nil"/>
                  </w:tcBorders>
                  <w:noWrap w:val="0"/>
                  <w:vAlign w:val="center"/>
                </w:tcPr>
                <w:p>
                  <w:pPr>
                    <w:pStyle w:val="177"/>
                    <w:bidi w:val="0"/>
                    <w:jc w:val="center"/>
                    <w:rPr>
                      <w:color w:val="auto"/>
                      <w:highlight w:val="none"/>
                    </w:rPr>
                  </w:pPr>
                  <w:r>
                    <w:rPr>
                      <w:rFonts w:hint="eastAsia"/>
                      <w:color w:val="auto"/>
                      <w:highlight w:val="none"/>
                    </w:rPr>
                    <w:t>30.73858597</w:t>
                  </w:r>
                </w:p>
              </w:tc>
              <w:tc>
                <w:tcPr>
                  <w:tcW w:w="1173" w:type="dxa"/>
                  <w:tcBorders>
                    <w:tl2br w:val="nil"/>
                    <w:tr2bl w:val="nil"/>
                  </w:tcBorders>
                  <w:noWrap w:val="0"/>
                  <w:vAlign w:val="center"/>
                </w:tcPr>
                <w:p>
                  <w:pPr>
                    <w:pStyle w:val="177"/>
                    <w:bidi w:val="0"/>
                    <w:rPr>
                      <w:color w:val="auto"/>
                      <w:highlight w:val="none"/>
                    </w:rPr>
                  </w:pPr>
                  <w:r>
                    <w:rPr>
                      <w:rFonts w:hint="eastAsia"/>
                      <w:color w:val="auto"/>
                      <w:highlight w:val="none"/>
                      <w:lang w:val="en-US" w:eastAsia="zh-CN"/>
                    </w:rPr>
                    <w:t>N、1800~500m</w:t>
                  </w:r>
                </w:p>
              </w:tc>
              <w:tc>
                <w:tcPr>
                  <w:tcW w:w="953" w:type="dxa"/>
                  <w:tcBorders>
                    <w:tl2br w:val="nil"/>
                    <w:tr2bl w:val="nil"/>
                  </w:tcBorders>
                  <w:noWrap w:val="0"/>
                  <w:vAlign w:val="center"/>
                </w:tcPr>
                <w:p>
                  <w:pPr>
                    <w:pStyle w:val="177"/>
                    <w:bidi w:val="0"/>
                    <w:rPr>
                      <w:color w:val="auto"/>
                      <w:highlight w:val="none"/>
                    </w:rPr>
                  </w:pPr>
                  <w:r>
                    <w:rPr>
                      <w:color w:val="auto"/>
                      <w:highlight w:val="none"/>
                    </w:rPr>
                    <w:t>约</w:t>
                  </w:r>
                  <w:r>
                    <w:rPr>
                      <w:rFonts w:hint="eastAsia"/>
                      <w:color w:val="auto"/>
                      <w:highlight w:val="none"/>
                      <w:lang w:val="en-US" w:eastAsia="zh-CN"/>
                    </w:rPr>
                    <w:t>60</w:t>
                  </w:r>
                  <w:r>
                    <w:rPr>
                      <w:color w:val="auto"/>
                      <w:highlight w:val="none"/>
                    </w:rPr>
                    <w:t>户、</w:t>
                  </w:r>
                  <w:r>
                    <w:rPr>
                      <w:rFonts w:hint="eastAsia"/>
                      <w:color w:val="auto"/>
                      <w:highlight w:val="none"/>
                      <w:lang w:val="en-US" w:eastAsia="zh-CN"/>
                    </w:rPr>
                    <w:t>210</w:t>
                  </w:r>
                  <w:r>
                    <w:rPr>
                      <w:color w:val="auto"/>
                      <w:highlight w:val="none"/>
                    </w:rPr>
                    <w:t>人</w:t>
                  </w:r>
                </w:p>
              </w:tc>
              <w:tc>
                <w:tcPr>
                  <w:tcW w:w="1495" w:type="dxa"/>
                  <w:vMerge w:val="continue"/>
                  <w:tcBorders>
                    <w:tl2br w:val="nil"/>
                    <w:tr2bl w:val="nil"/>
                  </w:tcBorders>
                  <w:noWrap w:val="0"/>
                  <w:vAlign w:val="center"/>
                </w:tcPr>
                <w:p>
                  <w:pPr>
                    <w:pStyle w:val="17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0" w:hRule="atLeast"/>
                <w:jc w:val="center"/>
              </w:trPr>
              <w:tc>
                <w:tcPr>
                  <w:tcW w:w="562" w:type="dxa"/>
                  <w:vMerge w:val="continue"/>
                  <w:tcBorders>
                    <w:tl2br w:val="nil"/>
                    <w:tr2bl w:val="nil"/>
                  </w:tcBorders>
                  <w:noWrap w:val="0"/>
                  <w:vAlign w:val="center"/>
                </w:tcPr>
                <w:p>
                  <w:pPr>
                    <w:pStyle w:val="177"/>
                    <w:bidi w:val="0"/>
                    <w:rPr>
                      <w:color w:val="auto"/>
                      <w:highlight w:val="none"/>
                    </w:rPr>
                  </w:pPr>
                </w:p>
              </w:tc>
              <w:tc>
                <w:tcPr>
                  <w:tcW w:w="1048" w:type="dxa"/>
                  <w:tcBorders>
                    <w:tl2br w:val="nil"/>
                    <w:tr2bl w:val="nil"/>
                  </w:tcBorders>
                  <w:noWrap w:val="0"/>
                  <w:vAlign w:val="center"/>
                </w:tcPr>
                <w:p>
                  <w:pPr>
                    <w:pStyle w:val="177"/>
                    <w:bidi w:val="0"/>
                    <w:rPr>
                      <w:rFonts w:hint="eastAsia" w:cs="Times New Roman"/>
                      <w:color w:val="auto"/>
                      <w:highlight w:val="none"/>
                      <w:lang w:val="en-US" w:eastAsia="zh-CN"/>
                    </w:rPr>
                  </w:pPr>
                  <w:r>
                    <w:rPr>
                      <w:rFonts w:hint="eastAsia" w:cs="Times New Roman"/>
                      <w:color w:val="auto"/>
                      <w:highlight w:val="none"/>
                      <w:lang w:val="en-US" w:eastAsia="zh-CN"/>
                    </w:rPr>
                    <w:t>大竹经开区散户居民</w:t>
                  </w:r>
                </w:p>
              </w:tc>
              <w:tc>
                <w:tcPr>
                  <w:tcW w:w="1359" w:type="dxa"/>
                  <w:tcBorders>
                    <w:tl2br w:val="nil"/>
                    <w:tr2bl w:val="nil"/>
                  </w:tcBorders>
                  <w:noWrap w:val="0"/>
                  <w:vAlign w:val="center"/>
                </w:tcPr>
                <w:p>
                  <w:pPr>
                    <w:pStyle w:val="177"/>
                    <w:bidi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107.25680474</w:t>
                  </w:r>
                </w:p>
              </w:tc>
              <w:tc>
                <w:tcPr>
                  <w:tcW w:w="1297" w:type="dxa"/>
                  <w:tcBorders>
                    <w:tl2br w:val="nil"/>
                    <w:tr2bl w:val="nil"/>
                  </w:tcBorders>
                  <w:noWrap w:val="0"/>
                  <w:vAlign w:val="center"/>
                </w:tcPr>
                <w:p>
                  <w:pPr>
                    <w:pStyle w:val="177"/>
                    <w:bidi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30.73907044</w:t>
                  </w:r>
                </w:p>
              </w:tc>
              <w:tc>
                <w:tcPr>
                  <w:tcW w:w="1173" w:type="dxa"/>
                  <w:tcBorders>
                    <w:tl2br w:val="nil"/>
                    <w:tr2bl w:val="nil"/>
                  </w:tcBorders>
                  <w:noWrap w:val="0"/>
                  <w:vAlign w:val="center"/>
                </w:tcPr>
                <w:p>
                  <w:pPr>
                    <w:pStyle w:val="177"/>
                    <w:bidi w:val="0"/>
                    <w:rPr>
                      <w:rFonts w:hint="default"/>
                      <w:color w:val="auto"/>
                      <w:highlight w:val="none"/>
                      <w:lang w:val="en-US" w:eastAsia="zh-CN"/>
                    </w:rPr>
                  </w:pPr>
                  <w:r>
                    <w:rPr>
                      <w:rFonts w:hint="eastAsia"/>
                      <w:color w:val="auto"/>
                      <w:highlight w:val="none"/>
                      <w:lang w:val="en-US" w:eastAsia="zh-CN"/>
                    </w:rPr>
                    <w:t>SE</w:t>
                  </w:r>
                </w:p>
              </w:tc>
              <w:tc>
                <w:tcPr>
                  <w:tcW w:w="953" w:type="dxa"/>
                  <w:tcBorders>
                    <w:tl2br w:val="nil"/>
                    <w:tr2bl w:val="nil"/>
                  </w:tcBorders>
                  <w:noWrap w:val="0"/>
                  <w:vAlign w:val="center"/>
                </w:tcPr>
                <w:p>
                  <w:pPr>
                    <w:pStyle w:val="177"/>
                    <w:bidi w:val="0"/>
                    <w:rPr>
                      <w:color w:val="auto"/>
                      <w:highlight w:val="none"/>
                    </w:rPr>
                  </w:pPr>
                  <w:r>
                    <w:rPr>
                      <w:color w:val="auto"/>
                      <w:highlight w:val="none"/>
                    </w:rPr>
                    <w:t>约</w:t>
                  </w:r>
                  <w:r>
                    <w:rPr>
                      <w:rFonts w:hint="eastAsia"/>
                      <w:color w:val="auto"/>
                      <w:highlight w:val="none"/>
                      <w:lang w:val="en-US" w:eastAsia="zh-CN"/>
                    </w:rPr>
                    <w:t>5</w:t>
                  </w:r>
                  <w:r>
                    <w:rPr>
                      <w:color w:val="auto"/>
                      <w:highlight w:val="none"/>
                    </w:rPr>
                    <w:t>户、</w:t>
                  </w:r>
                  <w:r>
                    <w:rPr>
                      <w:rFonts w:hint="eastAsia"/>
                      <w:color w:val="auto"/>
                      <w:highlight w:val="none"/>
                      <w:lang w:val="en-US" w:eastAsia="zh-CN"/>
                    </w:rPr>
                    <w:t>18</w:t>
                  </w:r>
                  <w:r>
                    <w:rPr>
                      <w:color w:val="auto"/>
                      <w:highlight w:val="none"/>
                    </w:rPr>
                    <w:t>人</w:t>
                  </w:r>
                </w:p>
              </w:tc>
              <w:tc>
                <w:tcPr>
                  <w:tcW w:w="1495" w:type="dxa"/>
                  <w:vMerge w:val="continue"/>
                  <w:tcBorders>
                    <w:tl2br w:val="nil"/>
                    <w:tr2bl w:val="nil"/>
                  </w:tcBorders>
                  <w:noWrap w:val="0"/>
                  <w:vAlign w:val="center"/>
                </w:tcPr>
                <w:p>
                  <w:pPr>
                    <w:pStyle w:val="177"/>
                    <w:bidi w:val="0"/>
                    <w:rPr>
                      <w:color w:val="auto"/>
                      <w:highlight w:val="none"/>
                    </w:rPr>
                  </w:pPr>
                </w:p>
              </w:tc>
            </w:tr>
          </w:tbl>
          <w:p>
            <w:pPr>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3、声环境保护目标</w:t>
            </w:r>
          </w:p>
          <w:p>
            <w:pPr>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本项目</w:t>
            </w:r>
            <w:r>
              <w:rPr>
                <w:rFonts w:hint="eastAsia" w:cs="Times New Roman"/>
                <w:b w:val="0"/>
                <w:bCs w:val="0"/>
                <w:color w:val="auto"/>
                <w:kern w:val="0"/>
                <w:sz w:val="24"/>
                <w:lang w:val="en-US" w:eastAsia="zh-CN"/>
              </w:rPr>
              <w:t>所在地及</w:t>
            </w:r>
            <w:r>
              <w:rPr>
                <w:rFonts w:hint="eastAsia" w:ascii="Times New Roman" w:hAnsi="Times New Roman" w:eastAsia="宋体" w:cs="Times New Roman"/>
                <w:b w:val="0"/>
                <w:bCs w:val="0"/>
                <w:color w:val="auto"/>
                <w:kern w:val="0"/>
                <w:sz w:val="24"/>
                <w:lang w:val="en-US" w:eastAsia="zh-CN"/>
              </w:rPr>
              <w:t>周边50m范围内无声环境敏感目标。</w:t>
            </w:r>
          </w:p>
          <w:p>
            <w:pPr>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4</w:t>
            </w:r>
            <w:r>
              <w:rPr>
                <w:rFonts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土壤及地下水</w:t>
            </w:r>
            <w:r>
              <w:rPr>
                <w:rFonts w:ascii="Times New Roman" w:hAnsi="Times New Roman" w:eastAsia="宋体" w:cs="Times New Roman"/>
                <w:b/>
                <w:bCs/>
                <w:color w:val="auto"/>
                <w:kern w:val="0"/>
                <w:sz w:val="24"/>
              </w:rPr>
              <w:t>环境保护目标</w:t>
            </w:r>
          </w:p>
          <w:p>
            <w:pPr>
              <w:spacing w:line="360" w:lineRule="auto"/>
              <w:ind w:firstLine="480" w:firstLineChars="200"/>
              <w:rPr>
                <w:rFonts w:hint="eastAsia" w:cs="Times New Roman"/>
                <w:b w:val="0"/>
                <w:bCs w:val="0"/>
                <w:color w:val="auto"/>
                <w:kern w:val="0"/>
                <w:sz w:val="24"/>
                <w:lang w:val="en-US" w:eastAsia="zh-CN"/>
              </w:rPr>
            </w:pPr>
            <w:r>
              <w:rPr>
                <w:rFonts w:hint="eastAsia" w:cs="Times New Roman"/>
                <w:b w:val="0"/>
                <w:bCs w:val="0"/>
                <w:color w:val="auto"/>
                <w:kern w:val="0"/>
                <w:sz w:val="24"/>
                <w:lang w:val="en-US" w:eastAsia="zh-CN"/>
              </w:rPr>
              <w:t>本项目所在地及周边无土壤及地下水保护目标。</w:t>
            </w:r>
          </w:p>
          <w:p>
            <w:pPr>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5</w:t>
            </w:r>
            <w:r>
              <w:rPr>
                <w:rFonts w:ascii="Times New Roman" w:hAnsi="Times New Roman" w:eastAsia="宋体" w:cs="Times New Roman"/>
                <w:b/>
                <w:bCs/>
                <w:color w:val="auto"/>
                <w:kern w:val="0"/>
                <w:sz w:val="24"/>
              </w:rPr>
              <w:t>、生态环境保护目标</w:t>
            </w:r>
          </w:p>
          <w:p>
            <w:pPr>
              <w:pStyle w:val="38"/>
              <w:rPr>
                <w:rFonts w:hint="default" w:ascii="Times New Roman" w:eastAsia="宋体"/>
                <w:color w:val="auto"/>
                <w:lang w:val="en-US" w:eastAsia="zh-CN"/>
              </w:rPr>
            </w:pPr>
            <w:r>
              <w:rPr>
                <w:color w:val="auto"/>
                <w:highlight w:val="none"/>
              </w:rPr>
              <w:t>评价范围内无特殊生态环境保护目标</w:t>
            </w:r>
            <w:r>
              <w:rPr>
                <w:rFonts w:hint="eastAsia"/>
                <w:color w:val="auto"/>
                <w:highlight w:val="none"/>
                <w:lang w:eastAsia="zh-CN"/>
              </w:rPr>
              <w:t>，</w:t>
            </w:r>
            <w:r>
              <w:rPr>
                <w:rFonts w:hint="eastAsia"/>
                <w:color w:val="auto"/>
                <w:highlight w:val="none"/>
                <w:lang w:val="en-US" w:eastAsia="zh-CN"/>
              </w:rPr>
              <w:t>生态</w:t>
            </w:r>
            <w:r>
              <w:rPr>
                <w:rFonts w:hint="eastAsia" w:ascii="Times New Roman" w:hAnsi="Times New Roman" w:eastAsia="宋体" w:cs="Times New Roman"/>
                <w:color w:val="auto"/>
                <w:kern w:val="0"/>
                <w:sz w:val="24"/>
                <w:szCs w:val="24"/>
                <w:lang w:val="en-US" w:eastAsia="zh-CN" w:bidi="ar-SA"/>
              </w:rPr>
              <w:t>环境以不减少区域内动植物种类和不破坏生态系统完整性为目标；水土流失以不增加土壤侵蚀为标准。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948"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113" w:type="dxa"/>
            <w:vAlign w:val="center"/>
          </w:tcPr>
          <w:p>
            <w:pPr>
              <w:spacing w:line="360" w:lineRule="auto"/>
              <w:ind w:firstLine="482" w:firstLineChars="200"/>
              <w:rPr>
                <w:rFonts w:eastAsia="宋体"/>
                <w:b/>
                <w:bCs/>
                <w:color w:val="auto"/>
                <w:kern w:val="0"/>
                <w:sz w:val="24"/>
              </w:rPr>
            </w:pPr>
            <w:r>
              <w:rPr>
                <w:rFonts w:eastAsia="宋体"/>
                <w:b/>
                <w:bCs/>
                <w:color w:val="auto"/>
                <w:kern w:val="0"/>
                <w:sz w:val="24"/>
              </w:rPr>
              <w:t>1、废气</w:t>
            </w:r>
          </w:p>
          <w:p>
            <w:pPr>
              <w:spacing w:line="360" w:lineRule="auto"/>
              <w:ind w:firstLine="480" w:firstLineChars="200"/>
              <w:rPr>
                <w:rFonts w:eastAsia="黑体"/>
                <w:color w:val="auto"/>
                <w:sz w:val="24"/>
                <w:lang w:val="zh-CN"/>
              </w:rPr>
            </w:pPr>
            <w:r>
              <w:rPr>
                <w:rFonts w:hint="eastAsia"/>
                <w:color w:val="auto"/>
                <w:kern w:val="0"/>
                <w:sz w:val="24"/>
                <w:lang w:val="en-US" w:eastAsia="zh-CN"/>
              </w:rPr>
              <w:t>本项目营运期无废气排放，</w:t>
            </w:r>
            <w:r>
              <w:rPr>
                <w:color w:val="auto"/>
                <w:kern w:val="0"/>
                <w:sz w:val="24"/>
              </w:rPr>
              <w:t>施工期扬尘执行《四川省施工场地扬尘排放标准》（DB51/2682-2020）标准，标准限值参数见下表。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b/>
                <w:bCs/>
                <w:color w:val="auto"/>
                <w:kern w:val="0"/>
                <w:sz w:val="21"/>
                <w:szCs w:val="21"/>
                <w:lang w:val="en-US" w:eastAsia="zh-CN"/>
              </w:rPr>
            </w:pPr>
            <w:r>
              <w:rPr>
                <w:rFonts w:eastAsia="宋体"/>
                <w:b/>
                <w:bCs/>
                <w:color w:val="auto"/>
                <w:kern w:val="0"/>
                <w:sz w:val="21"/>
                <w:szCs w:val="21"/>
                <w:lang w:val="zh-CN"/>
              </w:rPr>
              <w:t>表3-12  施工场地扬尘排放限值</w:t>
            </w:r>
            <w:r>
              <w:rPr>
                <w:rFonts w:hint="eastAsia"/>
                <w:b/>
                <w:bCs/>
                <w:color w:val="auto"/>
                <w:kern w:val="0"/>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w:t>
            </w:r>
            <w:r>
              <w:rPr>
                <w:b/>
                <w:color w:val="auto"/>
                <w:szCs w:val="21"/>
              </w:rPr>
              <w:t>μg/m</w:t>
            </w:r>
            <w:r>
              <w:rPr>
                <w:b/>
                <w:color w:val="auto"/>
                <w:szCs w:val="21"/>
                <w:vertAlign w:val="superscript"/>
              </w:rPr>
              <w:t>3</w:t>
            </w:r>
          </w:p>
          <w:tbl>
            <w:tblPr>
              <w:tblStyle w:val="2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194"/>
              <w:gridCol w:w="3259"/>
              <w:gridCol w:w="1845"/>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Ex>
              <w:trPr>
                <w:trHeight w:val="256" w:hRule="atLeast"/>
                <w:jc w:val="center"/>
              </w:trPr>
              <w:tc>
                <w:tcPr>
                  <w:tcW w:w="1194" w:type="dxa"/>
                  <w:tcBorders>
                    <w:tl2br w:val="nil"/>
                    <w:tr2bl w:val="nil"/>
                  </w:tcBorders>
                  <w:shd w:val="clear" w:color="auto" w:fill="auto"/>
                  <w:vAlign w:val="center"/>
                </w:tcPr>
                <w:p>
                  <w:pPr>
                    <w:pStyle w:val="26"/>
                    <w:spacing w:after="0"/>
                    <w:ind w:firstLine="0" w:firstLineChars="0"/>
                    <w:jc w:val="center"/>
                    <w:rPr>
                      <w:b/>
                      <w:color w:val="auto"/>
                      <w:szCs w:val="21"/>
                    </w:rPr>
                  </w:pPr>
                  <w:r>
                    <w:rPr>
                      <w:b/>
                      <w:color w:val="auto"/>
                      <w:szCs w:val="21"/>
                    </w:rPr>
                    <w:t>监测项目</w:t>
                  </w:r>
                </w:p>
              </w:tc>
              <w:tc>
                <w:tcPr>
                  <w:tcW w:w="3259" w:type="dxa"/>
                  <w:tcBorders>
                    <w:tl2br w:val="nil"/>
                    <w:tr2bl w:val="nil"/>
                  </w:tcBorders>
                  <w:shd w:val="clear" w:color="auto" w:fill="auto"/>
                  <w:vAlign w:val="center"/>
                </w:tcPr>
                <w:p>
                  <w:pPr>
                    <w:pStyle w:val="26"/>
                    <w:spacing w:after="0"/>
                    <w:ind w:firstLine="0" w:firstLineChars="0"/>
                    <w:jc w:val="center"/>
                    <w:rPr>
                      <w:b/>
                      <w:color w:val="auto"/>
                      <w:szCs w:val="21"/>
                    </w:rPr>
                  </w:pPr>
                  <w:r>
                    <w:rPr>
                      <w:b/>
                      <w:color w:val="auto"/>
                      <w:szCs w:val="21"/>
                    </w:rPr>
                    <w:t>施工阶段</w:t>
                  </w:r>
                </w:p>
              </w:tc>
              <w:tc>
                <w:tcPr>
                  <w:tcW w:w="1845" w:type="dxa"/>
                  <w:tcBorders>
                    <w:tl2br w:val="nil"/>
                    <w:tr2bl w:val="nil"/>
                  </w:tcBorders>
                  <w:shd w:val="clear" w:color="auto" w:fill="auto"/>
                  <w:vAlign w:val="center"/>
                </w:tcPr>
                <w:p>
                  <w:pPr>
                    <w:pStyle w:val="26"/>
                    <w:spacing w:after="0"/>
                    <w:ind w:firstLine="0" w:firstLineChars="0"/>
                    <w:jc w:val="center"/>
                    <w:rPr>
                      <w:b/>
                      <w:color w:val="auto"/>
                      <w:szCs w:val="21"/>
                    </w:rPr>
                  </w:pPr>
                  <w:r>
                    <w:rPr>
                      <w:b/>
                      <w:color w:val="auto"/>
                      <w:szCs w:val="21"/>
                    </w:rPr>
                    <w:t>监测点排放限值</w:t>
                  </w:r>
                </w:p>
              </w:tc>
              <w:tc>
                <w:tcPr>
                  <w:tcW w:w="1589" w:type="dxa"/>
                  <w:tcBorders>
                    <w:tl2br w:val="nil"/>
                    <w:tr2bl w:val="nil"/>
                  </w:tcBorders>
                  <w:shd w:val="clear" w:color="auto" w:fill="auto"/>
                  <w:vAlign w:val="center"/>
                </w:tcPr>
                <w:p>
                  <w:pPr>
                    <w:pStyle w:val="26"/>
                    <w:spacing w:after="0"/>
                    <w:ind w:firstLine="0" w:firstLineChars="0"/>
                    <w:jc w:val="center"/>
                    <w:rPr>
                      <w:b/>
                      <w:color w:val="auto"/>
                      <w:szCs w:val="21"/>
                    </w:rPr>
                  </w:pPr>
                  <w:r>
                    <w:rPr>
                      <w:b/>
                      <w:color w:val="auto"/>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3" w:hRule="atLeast"/>
                <w:jc w:val="center"/>
              </w:trPr>
              <w:tc>
                <w:tcPr>
                  <w:tcW w:w="1194" w:type="dxa"/>
                  <w:vMerge w:val="restart"/>
                  <w:tcBorders>
                    <w:tl2br w:val="nil"/>
                    <w:tr2bl w:val="nil"/>
                  </w:tcBorders>
                  <w:shd w:val="clear" w:color="auto" w:fill="auto"/>
                  <w:vAlign w:val="center"/>
                </w:tcPr>
                <w:p>
                  <w:pPr>
                    <w:jc w:val="center"/>
                    <w:rPr>
                      <w:bCs/>
                      <w:color w:val="auto"/>
                      <w:kern w:val="0"/>
                      <w:szCs w:val="21"/>
                    </w:rPr>
                  </w:pPr>
                  <w:r>
                    <w:rPr>
                      <w:bCs/>
                      <w:color w:val="auto"/>
                      <w:kern w:val="0"/>
                      <w:szCs w:val="21"/>
                    </w:rPr>
                    <w:t>TSP</w:t>
                  </w:r>
                </w:p>
              </w:tc>
              <w:tc>
                <w:tcPr>
                  <w:tcW w:w="3259" w:type="dxa"/>
                  <w:tcBorders>
                    <w:tl2br w:val="nil"/>
                    <w:tr2bl w:val="nil"/>
                  </w:tcBorders>
                  <w:shd w:val="clear" w:color="auto" w:fill="auto"/>
                  <w:vAlign w:val="center"/>
                </w:tcPr>
                <w:p>
                  <w:pPr>
                    <w:jc w:val="center"/>
                    <w:rPr>
                      <w:bCs/>
                      <w:color w:val="auto"/>
                      <w:kern w:val="0"/>
                      <w:szCs w:val="21"/>
                    </w:rPr>
                  </w:pPr>
                  <w:r>
                    <w:rPr>
                      <w:bCs/>
                      <w:color w:val="auto"/>
                      <w:kern w:val="0"/>
                      <w:szCs w:val="21"/>
                    </w:rPr>
                    <w:t>拆除工程/土方开挖/土方回填阶段</w:t>
                  </w:r>
                </w:p>
              </w:tc>
              <w:tc>
                <w:tcPr>
                  <w:tcW w:w="1845" w:type="dxa"/>
                  <w:tcBorders>
                    <w:tl2br w:val="nil"/>
                    <w:tr2bl w:val="nil"/>
                  </w:tcBorders>
                  <w:shd w:val="clear" w:color="auto" w:fill="auto"/>
                  <w:vAlign w:val="center"/>
                </w:tcPr>
                <w:p>
                  <w:pPr>
                    <w:jc w:val="center"/>
                    <w:rPr>
                      <w:bCs/>
                      <w:color w:val="auto"/>
                      <w:kern w:val="0"/>
                      <w:szCs w:val="21"/>
                    </w:rPr>
                  </w:pPr>
                  <w:r>
                    <w:rPr>
                      <w:bCs/>
                      <w:color w:val="auto"/>
                      <w:kern w:val="0"/>
                      <w:szCs w:val="21"/>
                    </w:rPr>
                    <w:t>600</w:t>
                  </w:r>
                </w:p>
              </w:tc>
              <w:tc>
                <w:tcPr>
                  <w:tcW w:w="1589" w:type="dxa"/>
                  <w:vMerge w:val="restart"/>
                  <w:tcBorders>
                    <w:tl2br w:val="nil"/>
                    <w:tr2bl w:val="nil"/>
                  </w:tcBorders>
                  <w:shd w:val="clear" w:color="auto" w:fill="auto"/>
                  <w:vAlign w:val="center"/>
                </w:tcPr>
                <w:p>
                  <w:pPr>
                    <w:jc w:val="center"/>
                    <w:rPr>
                      <w:bCs/>
                      <w:color w:val="auto"/>
                      <w:kern w:val="0"/>
                      <w:szCs w:val="21"/>
                    </w:rPr>
                  </w:pPr>
                  <w:r>
                    <w:rPr>
                      <w:bCs/>
                      <w:color w:val="auto"/>
                      <w:kern w:val="0"/>
                      <w:szCs w:val="21"/>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jc w:val="center"/>
              </w:trPr>
              <w:tc>
                <w:tcPr>
                  <w:tcW w:w="1194" w:type="dxa"/>
                  <w:vMerge w:val="continue"/>
                  <w:tcBorders>
                    <w:tl2br w:val="nil"/>
                    <w:tr2bl w:val="nil"/>
                  </w:tcBorders>
                  <w:shd w:val="clear" w:color="auto" w:fill="auto"/>
                  <w:vAlign w:val="center"/>
                </w:tcPr>
                <w:p>
                  <w:pPr>
                    <w:jc w:val="center"/>
                    <w:rPr>
                      <w:bCs/>
                      <w:color w:val="auto"/>
                      <w:kern w:val="0"/>
                      <w:szCs w:val="21"/>
                    </w:rPr>
                  </w:pPr>
                </w:p>
              </w:tc>
              <w:tc>
                <w:tcPr>
                  <w:tcW w:w="3259" w:type="dxa"/>
                  <w:tcBorders>
                    <w:tl2br w:val="nil"/>
                    <w:tr2bl w:val="nil"/>
                  </w:tcBorders>
                  <w:shd w:val="clear" w:color="auto" w:fill="auto"/>
                  <w:vAlign w:val="center"/>
                </w:tcPr>
                <w:p>
                  <w:pPr>
                    <w:jc w:val="center"/>
                    <w:rPr>
                      <w:bCs/>
                      <w:color w:val="auto"/>
                      <w:kern w:val="0"/>
                      <w:szCs w:val="21"/>
                    </w:rPr>
                  </w:pPr>
                  <w:r>
                    <w:rPr>
                      <w:bCs/>
                      <w:color w:val="auto"/>
                      <w:kern w:val="0"/>
                      <w:szCs w:val="21"/>
                    </w:rPr>
                    <w:t>其他工程阶段</w:t>
                  </w:r>
                </w:p>
              </w:tc>
              <w:tc>
                <w:tcPr>
                  <w:tcW w:w="1845" w:type="dxa"/>
                  <w:tcBorders>
                    <w:tl2br w:val="nil"/>
                    <w:tr2bl w:val="nil"/>
                  </w:tcBorders>
                  <w:shd w:val="clear" w:color="auto" w:fill="auto"/>
                  <w:vAlign w:val="center"/>
                </w:tcPr>
                <w:p>
                  <w:pPr>
                    <w:jc w:val="center"/>
                    <w:rPr>
                      <w:bCs/>
                      <w:color w:val="auto"/>
                      <w:kern w:val="0"/>
                      <w:szCs w:val="21"/>
                    </w:rPr>
                  </w:pPr>
                  <w:r>
                    <w:rPr>
                      <w:bCs/>
                      <w:color w:val="auto"/>
                      <w:kern w:val="0"/>
                      <w:szCs w:val="21"/>
                    </w:rPr>
                    <w:t>250</w:t>
                  </w:r>
                </w:p>
              </w:tc>
              <w:tc>
                <w:tcPr>
                  <w:tcW w:w="1589" w:type="dxa"/>
                  <w:vMerge w:val="continue"/>
                  <w:tcBorders>
                    <w:tl2br w:val="nil"/>
                    <w:tr2bl w:val="nil"/>
                  </w:tcBorders>
                  <w:shd w:val="clear" w:color="auto" w:fill="auto"/>
                  <w:vAlign w:val="center"/>
                </w:tcPr>
                <w:p>
                  <w:pPr>
                    <w:jc w:val="center"/>
                    <w:rPr>
                      <w:bCs/>
                      <w:color w:val="auto"/>
                      <w:kern w:val="0"/>
                      <w:szCs w:val="21"/>
                    </w:rPr>
                  </w:pPr>
                </w:p>
              </w:tc>
            </w:tr>
          </w:tbl>
          <w:p>
            <w:pPr>
              <w:spacing w:line="360" w:lineRule="auto"/>
              <w:ind w:firstLine="482" w:firstLineChars="200"/>
              <w:rPr>
                <w:rFonts w:eastAsia="宋体"/>
                <w:b/>
                <w:bCs/>
                <w:color w:val="auto"/>
                <w:kern w:val="0"/>
                <w:sz w:val="24"/>
              </w:rPr>
            </w:pPr>
            <w:r>
              <w:rPr>
                <w:rFonts w:eastAsia="宋体"/>
                <w:b/>
                <w:bCs/>
                <w:color w:val="auto"/>
                <w:kern w:val="0"/>
                <w:sz w:val="24"/>
              </w:rPr>
              <w:t>2、废水</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olor w:val="auto"/>
                <w:kern w:val="0"/>
                <w:sz w:val="24"/>
                <w:lang w:val="en-US" w:eastAsia="zh-CN"/>
              </w:rPr>
              <w:t>本项目营运期无废水排放；施工期东柳水厂施工区域施工废水经临时沉淀池处理后全部回用，不外排，生活污水经化粪池处理后进入园区污水厂处理；加压泵站至东柳二水厂管道沿线施工人员生活污水依托沿线民房化粪池处理。</w:t>
            </w:r>
            <w:r>
              <w:rPr>
                <w:rFonts w:hint="eastAsia" w:ascii="Times New Roman" w:hAnsi="Times New Roman" w:cs="Times New Roman"/>
                <w:color w:val="auto"/>
                <w:sz w:val="24"/>
                <w:lang w:val="zh-CN"/>
              </w:rPr>
              <w:t>生活污水</w:t>
            </w:r>
            <w:r>
              <w:rPr>
                <w:rFonts w:hint="eastAsia" w:ascii="Times New Roman" w:hAnsi="Times New Roman" w:cs="Times New Roman"/>
                <w:color w:val="auto"/>
                <w:sz w:val="24"/>
                <w:lang w:val="en-US" w:eastAsia="zh-CN"/>
              </w:rPr>
              <w:t>执行</w:t>
            </w:r>
            <w:r>
              <w:rPr>
                <w:rFonts w:hint="eastAsia" w:ascii="Times New Roman" w:hAnsi="Times New Roman" w:cs="Times New Roman"/>
                <w:color w:val="auto"/>
                <w:sz w:val="24"/>
                <w:lang w:eastAsia="zh-CN"/>
              </w:rPr>
              <w:t>《污水综合排放标准》（</w:t>
            </w:r>
            <w:r>
              <w:rPr>
                <w:rFonts w:hint="eastAsia" w:ascii="Times New Roman" w:hAnsi="Times New Roman" w:cs="Times New Roman"/>
                <w:color w:val="auto"/>
                <w:sz w:val="24"/>
                <w:lang w:val="en-US" w:eastAsia="zh-CN"/>
              </w:rPr>
              <w:t>GB8978-1996</w:t>
            </w:r>
            <w:r>
              <w:rPr>
                <w:rFonts w:hint="eastAsia" w:ascii="Times New Roman" w:hAnsi="Times New Roman" w:cs="Times New Roman"/>
                <w:color w:val="auto"/>
                <w:sz w:val="24"/>
                <w:lang w:eastAsia="zh-CN"/>
              </w:rPr>
              <w:t>）三级标准，</w:t>
            </w:r>
            <w:r>
              <w:rPr>
                <w:rFonts w:hint="eastAsia" w:ascii="Times New Roman" w:hAnsi="Times New Roman" w:cs="Times New Roman"/>
                <w:color w:val="auto"/>
                <w:sz w:val="24"/>
                <w:lang w:val="en-US" w:eastAsia="zh-CN"/>
              </w:rPr>
              <w:t>具体标准限值如下：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表</w:t>
            </w:r>
            <w:r>
              <w:rPr>
                <w:rFonts w:hint="eastAsia" w:ascii="Times New Roman" w:hAnsi="Times New Roman" w:eastAsia="宋体" w:cs="Times New Roman"/>
                <w:b/>
                <w:bCs/>
                <w:color w:val="auto"/>
                <w:kern w:val="0"/>
                <w:sz w:val="21"/>
                <w:szCs w:val="21"/>
                <w:lang w:val="en-US" w:eastAsia="zh-CN"/>
              </w:rPr>
              <w:t xml:space="preserve">3-13 </w:t>
            </w:r>
            <w:r>
              <w:rPr>
                <w:rFonts w:hint="eastAsia" w:ascii="Times New Roman" w:hAnsi="Times New Roman" w:eastAsia="宋体" w:cs="Times New Roman"/>
                <w:b/>
                <w:bCs/>
                <w:color w:val="auto"/>
                <w:kern w:val="0"/>
                <w:sz w:val="21"/>
                <w:szCs w:val="21"/>
                <w:lang w:val="zh-CN" w:eastAsia="zh-CN"/>
              </w:rPr>
              <w:t>本项目</w:t>
            </w:r>
            <w:r>
              <w:rPr>
                <w:rFonts w:hint="eastAsia" w:ascii="Times New Roman" w:hAnsi="Times New Roman" w:eastAsia="宋体" w:cs="Times New Roman"/>
                <w:b/>
                <w:bCs/>
                <w:color w:val="auto"/>
                <w:kern w:val="0"/>
                <w:sz w:val="21"/>
                <w:szCs w:val="21"/>
                <w:lang w:val="en-US" w:eastAsia="zh-CN"/>
              </w:rPr>
              <w:t>废水</w:t>
            </w:r>
            <w:r>
              <w:rPr>
                <w:rFonts w:hint="eastAsia" w:ascii="Times New Roman" w:hAnsi="Times New Roman" w:eastAsia="宋体" w:cs="Times New Roman"/>
                <w:b/>
                <w:bCs/>
                <w:color w:val="auto"/>
                <w:kern w:val="0"/>
                <w:sz w:val="21"/>
                <w:szCs w:val="21"/>
                <w:lang w:val="zh-CN" w:eastAsia="zh-CN"/>
              </w:rPr>
              <w:t>排放</w:t>
            </w:r>
            <w:r>
              <w:rPr>
                <w:rFonts w:hint="default" w:ascii="Times New Roman" w:hAnsi="Times New Roman" w:eastAsia="宋体" w:cs="Times New Roman"/>
                <w:b/>
                <w:bCs/>
                <w:color w:val="auto"/>
                <w:kern w:val="0"/>
                <w:sz w:val="21"/>
                <w:szCs w:val="21"/>
                <w:lang w:val="zh-CN"/>
              </w:rPr>
              <w:t>标准（单位：mg/L，pH无量纲）</w:t>
            </w:r>
          </w:p>
          <w:tbl>
            <w:tblPr>
              <w:tblStyle w:val="28"/>
              <w:tblW w:w="7894"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108" w:type="dxa"/>
                <w:bottom w:w="28" w:type="dxa"/>
                <w:right w:w="108" w:type="dxa"/>
              </w:tblCellMar>
            </w:tblPr>
            <w:tblGrid>
              <w:gridCol w:w="986"/>
              <w:gridCol w:w="986"/>
              <w:gridCol w:w="823"/>
              <w:gridCol w:w="1022"/>
              <w:gridCol w:w="1128"/>
              <w:gridCol w:w="1311"/>
              <w:gridCol w:w="163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108" w:type="dxa"/>
                  <w:bottom w:w="28" w:type="dxa"/>
                  <w:right w:w="108" w:type="dxa"/>
                </w:tblCellMar>
              </w:tblPrEx>
              <w:trPr>
                <w:cantSplit/>
                <w:trHeight w:val="335" w:hRule="atLeast"/>
                <w:jc w:val="center"/>
              </w:trPr>
              <w:tc>
                <w:tcPr>
                  <w:tcW w:w="98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8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石油类</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108" w:type="dxa"/>
                  <w:bottom w:w="28" w:type="dxa"/>
                  <w:right w:w="108" w:type="dxa"/>
                </w:tblCellMar>
              </w:tblPrEx>
              <w:trPr>
                <w:cantSplit/>
                <w:trHeight w:val="295" w:hRule="atLeast"/>
                <w:jc w:val="center"/>
              </w:trPr>
              <w:tc>
                <w:tcPr>
                  <w:tcW w:w="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限值</w:t>
                  </w:r>
                </w:p>
              </w:tc>
              <w:tc>
                <w:tcPr>
                  <w:tcW w:w="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8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100</w:t>
                  </w:r>
                </w:p>
              </w:tc>
            </w:tr>
          </w:tbl>
          <w:p>
            <w:pPr>
              <w:spacing w:line="360" w:lineRule="auto"/>
              <w:ind w:firstLine="482" w:firstLineChars="200"/>
              <w:rPr>
                <w:rFonts w:eastAsia="宋体"/>
                <w:b/>
                <w:bCs/>
                <w:color w:val="auto"/>
                <w:kern w:val="0"/>
                <w:sz w:val="24"/>
              </w:rPr>
            </w:pPr>
            <w:r>
              <w:rPr>
                <w:rFonts w:eastAsia="宋体"/>
                <w:b/>
                <w:bCs/>
                <w:color w:val="auto"/>
                <w:kern w:val="0"/>
                <w:sz w:val="24"/>
              </w:rPr>
              <w:t>3、噪声</w:t>
            </w:r>
          </w:p>
          <w:p>
            <w:pPr>
              <w:spacing w:line="360" w:lineRule="auto"/>
              <w:ind w:firstLine="480" w:firstLineChars="200"/>
              <w:rPr>
                <w:color w:val="auto"/>
                <w:kern w:val="0"/>
                <w:sz w:val="24"/>
              </w:rPr>
            </w:pPr>
            <w:r>
              <w:rPr>
                <w:color w:val="auto"/>
                <w:kern w:val="0"/>
                <w:sz w:val="24"/>
              </w:rPr>
              <w:t>施工期噪声排放执行《建筑施工场界环境噪声排放标准》（GB12523-2011）</w:t>
            </w:r>
            <w:r>
              <w:rPr>
                <w:color w:val="auto"/>
                <w:sz w:val="24"/>
              </w:rPr>
              <w:t>，标准噪声限值如下表所示：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宋体"/>
                <w:b/>
                <w:bCs/>
                <w:color w:val="auto"/>
                <w:kern w:val="0"/>
                <w:sz w:val="21"/>
                <w:szCs w:val="21"/>
              </w:rPr>
            </w:pPr>
            <w:r>
              <w:rPr>
                <w:rFonts w:eastAsia="宋体"/>
                <w:b/>
                <w:bCs/>
                <w:color w:val="auto"/>
                <w:kern w:val="0"/>
                <w:sz w:val="21"/>
                <w:szCs w:val="21"/>
              </w:rPr>
              <w:t>表3-14  建筑施工场界环境噪声排放标准 单位：dB（A）</w:t>
            </w:r>
          </w:p>
          <w:tbl>
            <w:tblPr>
              <w:tblStyle w:val="28"/>
              <w:tblW w:w="7897"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3977"/>
              <w:gridCol w:w="39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40" w:hRule="atLeast"/>
                <w:jc w:val="center"/>
              </w:trPr>
              <w:tc>
                <w:tcPr>
                  <w:tcW w:w="3977"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昼间</w:t>
                  </w:r>
                </w:p>
              </w:tc>
              <w:tc>
                <w:tcPr>
                  <w:tcW w:w="3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40" w:hRule="atLeast"/>
                <w:jc w:val="center"/>
              </w:trPr>
              <w:tc>
                <w:tcPr>
                  <w:tcW w:w="39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70</w:t>
                  </w:r>
                </w:p>
              </w:tc>
              <w:tc>
                <w:tcPr>
                  <w:tcW w:w="3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color w:val="auto"/>
                <w:sz w:val="24"/>
              </w:rPr>
              <w:t>本项目运营期厂界噪声执行《工业企业厂界环境噪声排放标准》（GB12348-2008）</w:t>
            </w:r>
            <w:r>
              <w:rPr>
                <w:rFonts w:hint="eastAsia"/>
                <w:color w:val="auto"/>
                <w:sz w:val="24"/>
                <w:lang w:val="en-US" w:eastAsia="zh-CN"/>
              </w:rPr>
              <w:t>3</w:t>
            </w:r>
            <w:r>
              <w:rPr>
                <w:color w:val="auto"/>
                <w:sz w:val="24"/>
              </w:rPr>
              <w:t>类标准</w:t>
            </w:r>
            <w:bookmarkStart w:id="28" w:name="_Hlk104471358"/>
            <w:r>
              <w:rPr>
                <w:color w:val="auto"/>
                <w:kern w:val="0"/>
                <w:sz w:val="24"/>
              </w:rPr>
              <w:t>。</w:t>
            </w:r>
            <w:bookmarkEnd w:id="28"/>
            <w:r>
              <w:rPr>
                <w:color w:val="auto"/>
                <w:kern w:val="0"/>
                <w:sz w:val="24"/>
              </w:rPr>
              <w:t>相关质量标准限值见下表。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宋体"/>
                <w:b/>
                <w:bCs/>
                <w:color w:val="auto"/>
                <w:kern w:val="0"/>
                <w:sz w:val="21"/>
                <w:szCs w:val="21"/>
              </w:rPr>
            </w:pPr>
            <w:r>
              <w:rPr>
                <w:rFonts w:eastAsia="宋体"/>
                <w:b/>
                <w:bCs/>
                <w:color w:val="auto"/>
                <w:kern w:val="0"/>
                <w:sz w:val="21"/>
                <w:szCs w:val="21"/>
              </w:rPr>
              <w:t>表3-15  工业企业厂界环境噪声排放限值   单位：dB（A）</w:t>
            </w:r>
          </w:p>
          <w:tbl>
            <w:tblPr>
              <w:tblStyle w:val="28"/>
              <w:tblW w:w="78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1553"/>
              <w:gridCol w:w="1253"/>
              <w:gridCol w:w="2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tcBorders>
                    <w:top w:val="single" w:color="auto" w:sz="4" w:space="0"/>
                    <w:left w:val="single" w:color="auto" w:sz="0" w:space="0"/>
                  </w:tcBorders>
                  <w:shd w:val="clear" w:color="auto" w:fill="auto"/>
                  <w:vAlign w:val="center"/>
                </w:tcPr>
                <w:p>
                  <w:pPr>
                    <w:jc w:val="center"/>
                    <w:rPr>
                      <w:b/>
                      <w:color w:val="auto"/>
                      <w:szCs w:val="21"/>
                    </w:rPr>
                  </w:pPr>
                  <w:r>
                    <w:rPr>
                      <w:b/>
                      <w:color w:val="auto"/>
                      <w:szCs w:val="21"/>
                    </w:rPr>
                    <w:t>类别</w:t>
                  </w:r>
                </w:p>
              </w:tc>
              <w:tc>
                <w:tcPr>
                  <w:tcW w:w="1553" w:type="dxa"/>
                  <w:tcBorders>
                    <w:top w:val="single" w:color="auto" w:sz="4" w:space="0"/>
                  </w:tcBorders>
                  <w:shd w:val="clear" w:color="auto" w:fill="auto"/>
                  <w:vAlign w:val="center"/>
                </w:tcPr>
                <w:p>
                  <w:pPr>
                    <w:jc w:val="center"/>
                    <w:rPr>
                      <w:b/>
                      <w:color w:val="auto"/>
                      <w:szCs w:val="21"/>
                    </w:rPr>
                  </w:pPr>
                  <w:r>
                    <w:rPr>
                      <w:b/>
                      <w:color w:val="auto"/>
                      <w:szCs w:val="21"/>
                    </w:rPr>
                    <w:t>昼间</w:t>
                  </w:r>
                </w:p>
              </w:tc>
              <w:tc>
                <w:tcPr>
                  <w:tcW w:w="1253" w:type="dxa"/>
                  <w:tcBorders>
                    <w:top w:val="single" w:color="auto" w:sz="4" w:space="0"/>
                  </w:tcBorders>
                  <w:shd w:val="clear" w:color="auto" w:fill="auto"/>
                  <w:vAlign w:val="center"/>
                </w:tcPr>
                <w:p>
                  <w:pPr>
                    <w:jc w:val="center"/>
                    <w:rPr>
                      <w:b/>
                      <w:color w:val="auto"/>
                      <w:szCs w:val="21"/>
                    </w:rPr>
                  </w:pPr>
                  <w:r>
                    <w:rPr>
                      <w:b/>
                      <w:color w:val="auto"/>
                      <w:szCs w:val="21"/>
                    </w:rPr>
                    <w:t>夜间</w:t>
                  </w:r>
                </w:p>
              </w:tc>
              <w:tc>
                <w:tcPr>
                  <w:tcW w:w="2677" w:type="dxa"/>
                  <w:tcBorders>
                    <w:top w:val="single" w:color="auto" w:sz="4" w:space="0"/>
                    <w:right w:val="single" w:color="auto" w:sz="4" w:space="0"/>
                  </w:tcBorders>
                  <w:shd w:val="clear" w:color="auto" w:fill="auto"/>
                  <w:vAlign w:val="center"/>
                </w:tcPr>
                <w:p>
                  <w:pPr>
                    <w:jc w:val="center"/>
                    <w:rPr>
                      <w:b/>
                      <w:color w:val="auto"/>
                      <w:szCs w:val="21"/>
                    </w:rPr>
                  </w:pPr>
                  <w:r>
                    <w:rPr>
                      <w:b/>
                      <w:color w:val="auto"/>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tcBorders>
                    <w:left w:val="single" w:color="auto" w:sz="4" w:space="0"/>
                    <w:bottom w:val="single" w:color="auto" w:sz="4" w:space="0"/>
                  </w:tcBorders>
                  <w:shd w:val="clear" w:color="auto" w:fill="auto"/>
                  <w:vAlign w:val="center"/>
                </w:tcPr>
                <w:p>
                  <w:pPr>
                    <w:jc w:val="center"/>
                    <w:rPr>
                      <w:color w:val="auto"/>
                      <w:szCs w:val="21"/>
                    </w:rPr>
                  </w:pPr>
                  <w:r>
                    <w:rPr>
                      <w:color w:val="auto"/>
                      <w:szCs w:val="21"/>
                    </w:rPr>
                    <w:t>噪声限值</w:t>
                  </w:r>
                </w:p>
              </w:tc>
              <w:tc>
                <w:tcPr>
                  <w:tcW w:w="1553" w:type="dxa"/>
                  <w:tcBorders>
                    <w:bottom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1253" w:type="dxa"/>
                  <w:tcBorders>
                    <w:bottom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55</w:t>
                  </w:r>
                </w:p>
              </w:tc>
              <w:tc>
                <w:tcPr>
                  <w:tcW w:w="2677" w:type="dxa"/>
                  <w:tcBorders>
                    <w:bottom w:val="single" w:color="auto" w:sz="4" w:space="0"/>
                    <w:right w:val="single" w:color="auto" w:sz="4" w:space="0"/>
                  </w:tcBorders>
                  <w:shd w:val="clear" w:color="auto" w:fill="auto"/>
                  <w:vAlign w:val="center"/>
                </w:tcPr>
                <w:p>
                  <w:pPr>
                    <w:jc w:val="center"/>
                    <w:rPr>
                      <w:color w:val="auto"/>
                      <w:szCs w:val="21"/>
                    </w:rPr>
                  </w:pPr>
                  <w:r>
                    <w:rPr>
                      <w:color w:val="auto"/>
                      <w:szCs w:val="21"/>
                    </w:rPr>
                    <w:t>（GB12348-2008）</w:t>
                  </w:r>
                  <w:r>
                    <w:rPr>
                      <w:rFonts w:hint="eastAsia"/>
                      <w:color w:val="auto"/>
                      <w:szCs w:val="21"/>
                      <w:lang w:val="en-US" w:eastAsia="zh-CN"/>
                    </w:rPr>
                    <w:t>3</w:t>
                  </w:r>
                  <w:r>
                    <w:rPr>
                      <w:color w:val="auto"/>
                      <w:szCs w:val="21"/>
                    </w:rPr>
                    <w:t>类</w:t>
                  </w:r>
                </w:p>
              </w:tc>
            </w:tr>
          </w:tbl>
          <w:p>
            <w:pPr>
              <w:spacing w:line="360" w:lineRule="auto"/>
              <w:ind w:firstLine="482" w:firstLineChars="200"/>
              <w:rPr>
                <w:rFonts w:eastAsia="宋体"/>
                <w:b/>
                <w:bCs/>
                <w:color w:val="auto"/>
                <w:kern w:val="0"/>
                <w:sz w:val="24"/>
              </w:rPr>
            </w:pPr>
            <w:r>
              <w:rPr>
                <w:rFonts w:eastAsia="宋体"/>
                <w:b/>
                <w:bCs/>
                <w:color w:val="auto"/>
                <w:kern w:val="0"/>
                <w:sz w:val="24"/>
              </w:rPr>
              <w:t>4、固体废弃物</w:t>
            </w:r>
          </w:p>
          <w:p>
            <w:pPr>
              <w:adjustRightInd w:val="0"/>
              <w:snapToGrid w:val="0"/>
              <w:spacing w:line="360" w:lineRule="auto"/>
              <w:ind w:firstLine="480" w:firstLineChars="200"/>
              <w:rPr>
                <w:color w:val="auto"/>
                <w:kern w:val="0"/>
                <w:sz w:val="24"/>
              </w:rPr>
            </w:pPr>
            <w:r>
              <w:rPr>
                <w:color w:val="auto"/>
                <w:kern w:val="0"/>
                <w:sz w:val="24"/>
              </w:rPr>
              <w:t>一般固废参考执行《一般工业固体废物贮存和填埋污染控制标准》（GB18599-2020）中相应标准。</w:t>
            </w:r>
            <w:r>
              <w:rPr>
                <w:color w:val="auto"/>
                <w:kern w:val="0"/>
                <w:sz w:val="24"/>
                <w:highlight w:val="none"/>
              </w:rPr>
              <w:t>危险废物执行</w:t>
            </w:r>
            <w:r>
              <w:rPr>
                <w:color w:val="auto"/>
                <w:sz w:val="24"/>
              </w:rPr>
              <w:t>《危险废物贮存污染控制标准》（GB18597-2023）中相关规定</w:t>
            </w:r>
            <w:r>
              <w:rPr>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948" w:type="dxa"/>
            <w:vAlign w:val="center"/>
          </w:tcPr>
          <w:p>
            <w:pPr>
              <w:adjustRightInd w:val="0"/>
              <w:snapToGrid w:val="0"/>
              <w:jc w:val="center"/>
              <w:rPr>
                <w:color w:val="auto"/>
                <w:kern w:val="0"/>
                <w:sz w:val="24"/>
                <w:szCs w:val="24"/>
              </w:rPr>
            </w:pPr>
            <w:r>
              <w:rPr>
                <w:rFonts w:ascii="Times New Roman" w:hAnsi="Times New Roman" w:eastAsia="宋体" w:cs="Times New Roman"/>
                <w:color w:val="auto"/>
                <w:kern w:val="0"/>
                <w:szCs w:val="21"/>
              </w:rPr>
              <w:t>总量控制指标</w:t>
            </w:r>
          </w:p>
        </w:tc>
        <w:tc>
          <w:tcPr>
            <w:tcW w:w="8113" w:type="dxa"/>
            <w:vAlign w:val="center"/>
          </w:tcPr>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r>
              <w:rPr>
                <w:color w:val="auto"/>
                <w:sz w:val="24"/>
                <w:szCs w:val="24"/>
              </w:rPr>
              <w:t>本项目不设置总量控制指标。</w:t>
            </w: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p>
            <w:pPr>
              <w:adjustRightInd w:val="0"/>
              <w:snapToGrid w:val="0"/>
              <w:jc w:val="center"/>
              <w:rPr>
                <w:color w:val="auto"/>
                <w:sz w:val="24"/>
                <w:szCs w:val="24"/>
              </w:rPr>
            </w:pPr>
          </w:p>
        </w:tc>
      </w:tr>
    </w:tbl>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29" w:name="_Toc68596107"/>
      <w:r>
        <w:rPr>
          <w:rFonts w:ascii="Times New Roman" w:hAnsi="Times New Roman" w:eastAsia="黑体"/>
          <w:snapToGrid w:val="0"/>
          <w:color w:val="auto"/>
          <w:sz w:val="30"/>
          <w:szCs w:val="30"/>
        </w:rPr>
        <w:t>四、主要环境影响和保护措施</w:t>
      </w:r>
      <w:bookmarkEnd w:id="29"/>
    </w:p>
    <w:tbl>
      <w:tblPr>
        <w:tblStyle w:val="28"/>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2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778"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施工期环境保护措施</w:t>
            </w:r>
          </w:p>
        </w:tc>
        <w:tc>
          <w:tcPr>
            <w:tcW w:w="8203" w:type="dxa"/>
          </w:tcPr>
          <w:p>
            <w:pPr>
              <w:pStyle w:val="84"/>
              <w:ind w:firstLine="42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本项目</w:t>
            </w:r>
            <w:r>
              <w:rPr>
                <w:rFonts w:ascii="Times New Roman" w:hAnsi="Times New Roman" w:eastAsia="宋体" w:cs="Times New Roman"/>
                <w:color w:val="auto"/>
              </w:rPr>
              <w:t>施工期</w:t>
            </w:r>
            <w:r>
              <w:rPr>
                <w:rFonts w:hint="eastAsia" w:ascii="Times New Roman" w:hAnsi="Times New Roman" w:eastAsia="宋体" w:cs="Times New Roman"/>
                <w:color w:val="auto"/>
                <w:lang w:val="en-US" w:eastAsia="zh-CN"/>
              </w:rPr>
              <w:t>环境影响</w:t>
            </w:r>
            <w:r>
              <w:rPr>
                <w:rFonts w:ascii="Times New Roman" w:hAnsi="Times New Roman" w:eastAsia="宋体" w:cs="Times New Roman"/>
                <w:color w:val="auto"/>
              </w:rPr>
              <w:t>主要体现在水土流失</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施工扬尘及施工车辆和机械尾气、少量施工废水、弃土及建筑垃圾、施工人员生活垃圾和生活污水</w:t>
            </w:r>
            <w:r>
              <w:rPr>
                <w:rFonts w:ascii="Times New Roman" w:hAnsi="Times New Roman" w:eastAsia="宋体" w:cs="Times New Roman"/>
                <w:color w:val="auto"/>
              </w:rPr>
              <w:t>等。</w:t>
            </w:r>
          </w:p>
          <w:p>
            <w:pPr>
              <w:pStyle w:val="84"/>
              <w:ind w:firstLine="420"/>
              <w:rPr>
                <w:rFonts w:hint="default" w:ascii="Times New Roman" w:hAnsi="Times New Roman" w:eastAsia="宋体" w:cs="Times New Roman"/>
                <w:b/>
                <w:bCs/>
                <w:color w:val="auto"/>
                <w:u w:val="single"/>
                <w:lang w:val="en-US" w:eastAsia="zh-CN"/>
              </w:rPr>
            </w:pPr>
            <w:r>
              <w:rPr>
                <w:rFonts w:hint="eastAsia" w:ascii="Times New Roman" w:hAnsi="Times New Roman" w:eastAsia="宋体" w:cs="Times New Roman"/>
                <w:b/>
                <w:bCs/>
                <w:color w:val="auto"/>
                <w:u w:val="single"/>
                <w:lang w:val="en-US" w:eastAsia="zh-CN"/>
              </w:rPr>
              <w:t>本项目施工期已结束，施工期落实了生态环境、废水、大气污染、噪声污染等防治措施，施工期固废均得到合理处置。项目施工期未发生环境污染事件，施工期未收到环保投诉。本次评对施工采取的环境保护措施进行回顾性评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0"/>
              </w:rPr>
            </w:pPr>
            <w:r>
              <w:rPr>
                <w:rFonts w:hint="eastAsia" w:ascii="宋体" w:hAnsi="宋体" w:eastAsia="宋体" w:cs="宋体"/>
                <w:b/>
                <w:bCs/>
                <w:color w:val="auto"/>
                <w:sz w:val="24"/>
                <w:szCs w:val="20"/>
              </w:rPr>
              <w:t>一、施工期生态</w:t>
            </w:r>
            <w:r>
              <w:rPr>
                <w:rFonts w:hint="eastAsia" w:ascii="宋体" w:hAnsi="宋体" w:cs="宋体"/>
                <w:b/>
                <w:bCs/>
                <w:color w:val="auto"/>
                <w:sz w:val="24"/>
                <w:szCs w:val="20"/>
                <w:lang w:val="en-US" w:eastAsia="zh-CN"/>
              </w:rPr>
              <w:t>环境影响及</w:t>
            </w:r>
            <w:r>
              <w:rPr>
                <w:rFonts w:hint="eastAsia" w:ascii="宋体" w:hAnsi="宋体" w:eastAsia="宋体" w:cs="宋体"/>
                <w:b/>
                <w:bCs/>
                <w:color w:val="auto"/>
                <w:sz w:val="24"/>
                <w:szCs w:val="20"/>
              </w:rPr>
              <w:t>保护措施</w:t>
            </w:r>
          </w:p>
          <w:p>
            <w:pPr>
              <w:pStyle w:val="14"/>
              <w:spacing w:line="360" w:lineRule="auto"/>
              <w:ind w:firstLine="480" w:firstLineChars="200"/>
              <w:rPr>
                <w:rFonts w:ascii="Times New Roman" w:hAnsi="Times New Roman"/>
                <w:b/>
                <w:bCs/>
                <w:color w:val="auto"/>
                <w:sz w:val="24"/>
              </w:rPr>
            </w:pPr>
            <w:r>
              <w:rPr>
                <w:rFonts w:hint="eastAsia" w:ascii="Times New Roman" w:hAnsi="Times New Roman"/>
                <w:color w:val="auto"/>
                <w:sz w:val="24"/>
                <w:lang w:val="en-US" w:eastAsia="zh-CN"/>
              </w:rPr>
              <w:t>本项目施工期生态影响主要体现在</w:t>
            </w:r>
            <w:r>
              <w:rPr>
                <w:rFonts w:ascii="Times New Roman" w:hAnsi="Times New Roman"/>
                <w:color w:val="auto"/>
                <w:sz w:val="24"/>
              </w:rPr>
              <w:t>工程占地</w:t>
            </w:r>
            <w:r>
              <w:rPr>
                <w:rFonts w:hint="eastAsia" w:ascii="Times New Roman" w:hAnsi="Times New Roman"/>
                <w:color w:val="auto"/>
                <w:sz w:val="24"/>
                <w:lang w:val="en-US" w:eastAsia="zh-CN"/>
              </w:rPr>
              <w:t>、水土流失以及对动植物等的影响，</w:t>
            </w:r>
            <w:r>
              <w:rPr>
                <w:rFonts w:ascii="Times New Roman" w:hAnsi="Times New Roman"/>
                <w:b/>
                <w:bCs/>
                <w:color w:val="auto"/>
                <w:sz w:val="24"/>
                <w:u w:val="single"/>
              </w:rPr>
              <w:t>本项目施工期</w:t>
            </w:r>
            <w:r>
              <w:rPr>
                <w:rFonts w:hint="eastAsia" w:ascii="Times New Roman" w:hAnsi="Times New Roman"/>
                <w:b/>
                <w:bCs/>
                <w:color w:val="auto"/>
                <w:sz w:val="24"/>
                <w:u w:val="single"/>
                <w:lang w:val="en-US" w:eastAsia="zh-CN"/>
              </w:rPr>
              <w:t>主要环境影响及已采取的</w:t>
            </w:r>
            <w:r>
              <w:rPr>
                <w:rFonts w:ascii="Times New Roman" w:hAnsi="Times New Roman"/>
                <w:b/>
                <w:bCs/>
                <w:color w:val="auto"/>
                <w:sz w:val="24"/>
                <w:u w:val="single"/>
              </w:rPr>
              <w:t>生态环境保护措施</w:t>
            </w:r>
            <w:r>
              <w:rPr>
                <w:rFonts w:hint="eastAsia" w:ascii="Times New Roman" w:hAnsi="Times New Roman"/>
                <w:b/>
                <w:bCs/>
                <w:color w:val="auto"/>
                <w:sz w:val="24"/>
                <w:u w:val="single"/>
                <w:lang w:val="en-US" w:eastAsia="zh-CN"/>
              </w:rPr>
              <w:t>如下：</w:t>
            </w:r>
          </w:p>
          <w:p>
            <w:pPr>
              <w:pStyle w:val="14"/>
              <w:spacing w:line="360" w:lineRule="auto"/>
              <w:ind w:firstLine="482" w:firstLineChars="200"/>
              <w:rPr>
                <w:rFonts w:hint="default" w:ascii="Times New Roman" w:hAnsi="Times New Roman" w:eastAsia="宋体"/>
                <w:b/>
                <w:bCs/>
                <w:color w:val="auto"/>
                <w:sz w:val="24"/>
                <w:lang w:val="en-US" w:eastAsia="zh-CN"/>
              </w:rPr>
            </w:pPr>
            <w:r>
              <w:rPr>
                <w:rFonts w:ascii="Times New Roman" w:hAnsi="Times New Roman"/>
                <w:b/>
                <w:bCs/>
                <w:color w:val="auto"/>
                <w:sz w:val="24"/>
              </w:rPr>
              <w:t>1、</w:t>
            </w:r>
            <w:r>
              <w:rPr>
                <w:rFonts w:hint="eastAsia" w:ascii="Times New Roman" w:hAnsi="Times New Roman"/>
                <w:b/>
                <w:bCs/>
                <w:color w:val="auto"/>
                <w:sz w:val="24"/>
                <w:lang w:val="en-US" w:eastAsia="zh-CN"/>
              </w:rPr>
              <w:t>工程占地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eastAsia="宋体"/>
                <w:bCs/>
                <w:color w:val="auto"/>
                <w:kern w:val="0"/>
                <w:sz w:val="24"/>
                <w:szCs w:val="24"/>
                <w:highlight w:val="none"/>
                <w:lang w:val="en-US" w:eastAsia="zh-CN"/>
              </w:rPr>
              <w:t>本项目</w:t>
            </w:r>
            <w:r>
              <w:rPr>
                <w:rFonts w:hint="eastAsia"/>
                <w:bCs/>
                <w:color w:val="auto"/>
                <w:kern w:val="0"/>
                <w:sz w:val="24"/>
                <w:szCs w:val="24"/>
                <w:highlight w:val="none"/>
                <w:lang w:val="en-US" w:eastAsia="zh-CN"/>
              </w:rPr>
              <w:t>永久用地</w:t>
            </w:r>
            <w:r>
              <w:rPr>
                <w:rFonts w:hint="eastAsia" w:cs="Times New Roman"/>
                <w:b w:val="0"/>
                <w:bCs w:val="0"/>
                <w:color w:val="auto"/>
                <w:sz w:val="24"/>
                <w:szCs w:val="24"/>
                <w:highlight w:val="none"/>
                <w:lang w:val="en-US" w:eastAsia="zh-CN"/>
              </w:rPr>
              <w:t>包括调节水池、加压泵站、值班室用地，</w:t>
            </w:r>
            <w:r>
              <w:rPr>
                <w:rFonts w:hint="eastAsia"/>
                <w:bCs/>
                <w:color w:val="auto"/>
                <w:kern w:val="0"/>
                <w:sz w:val="24"/>
                <w:szCs w:val="24"/>
                <w:highlight w:val="none"/>
                <w:lang w:val="en-US" w:eastAsia="zh-CN"/>
              </w:rPr>
              <w:t>永久用地</w:t>
            </w:r>
            <w:r>
              <w:rPr>
                <w:rFonts w:hint="eastAsia" w:eastAsia="宋体"/>
                <w:bCs/>
                <w:color w:val="auto"/>
                <w:kern w:val="0"/>
                <w:sz w:val="24"/>
                <w:szCs w:val="24"/>
                <w:highlight w:val="none"/>
                <w:lang w:val="en-US" w:eastAsia="zh-CN"/>
              </w:rPr>
              <w:t>面积</w:t>
            </w:r>
            <w:r>
              <w:rPr>
                <w:rFonts w:hint="eastAsia"/>
                <w:color w:val="auto"/>
                <w:sz w:val="24"/>
                <w:szCs w:val="24"/>
                <w:highlight w:val="none"/>
                <w:lang w:val="en-US" w:eastAsia="zh-CN"/>
              </w:rPr>
              <w:t>844.36</w:t>
            </w:r>
            <w:r>
              <w:rPr>
                <w:rFonts w:hint="eastAsia" w:eastAsia="宋体"/>
                <w:bCs/>
                <w:color w:val="auto"/>
                <w:kern w:val="0"/>
                <w:sz w:val="24"/>
                <w:szCs w:val="24"/>
                <w:highlight w:val="none"/>
                <w:lang w:val="en-US" w:eastAsia="zh-CN"/>
              </w:rPr>
              <w:t>m</w:t>
            </w:r>
            <w:r>
              <w:rPr>
                <w:rFonts w:hint="eastAsia" w:eastAsia="宋体"/>
                <w:bCs/>
                <w:color w:val="auto"/>
                <w:kern w:val="0"/>
                <w:sz w:val="24"/>
                <w:szCs w:val="24"/>
                <w:highlight w:val="none"/>
                <w:vertAlign w:val="superscript"/>
                <w:lang w:val="en-US" w:eastAsia="zh-CN"/>
              </w:rPr>
              <w:t>2</w:t>
            </w:r>
            <w:r>
              <w:rPr>
                <w:rFonts w:hint="eastAsia"/>
                <w:bCs/>
                <w:color w:val="auto"/>
                <w:kern w:val="0"/>
                <w:sz w:val="24"/>
                <w:szCs w:val="24"/>
                <w:highlight w:val="none"/>
                <w:lang w:val="en-US" w:eastAsia="zh-CN"/>
              </w:rPr>
              <w:t>，</w:t>
            </w:r>
            <w:r>
              <w:rPr>
                <w:rFonts w:hint="eastAsia" w:ascii="Times New Roman" w:hAnsi="Times New Roman"/>
                <w:color w:val="auto"/>
                <w:sz w:val="24"/>
                <w:szCs w:val="24"/>
                <w:lang w:val="en-US" w:eastAsia="zh-CN"/>
              </w:rPr>
              <w:t>本项目占地生态影响是永久的</w:t>
            </w:r>
            <w:r>
              <w:rPr>
                <w:rFonts w:ascii="Times New Roman" w:hAnsi="Times New Roman"/>
                <w:color w:val="auto"/>
                <w:sz w:val="24"/>
                <w:szCs w:val="24"/>
              </w:rPr>
              <w:t>、不可逆的</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用地位于东柳水厂红线范围内，用地性质为工业用地，</w:t>
            </w:r>
            <w:r>
              <w:rPr>
                <w:rFonts w:hint="eastAsia" w:ascii="宋体" w:hAnsi="宋体" w:eastAsia="宋体" w:cs="宋体"/>
                <w:color w:val="auto"/>
                <w:sz w:val="24"/>
                <w:szCs w:val="24"/>
              </w:rPr>
              <w:t>由于人群活动频繁，</w:t>
            </w:r>
            <w:r>
              <w:rPr>
                <w:rFonts w:hint="eastAsia" w:ascii="宋体" w:hAnsi="宋体" w:eastAsia="宋体" w:cs="宋体"/>
                <w:color w:val="auto"/>
                <w:sz w:val="24"/>
                <w:szCs w:val="24"/>
                <w:lang w:val="en-US" w:eastAsia="zh-CN"/>
              </w:rPr>
              <w:t>项目用地范围受</w:t>
            </w:r>
            <w:r>
              <w:rPr>
                <w:rFonts w:hint="eastAsia" w:ascii="Times New Roman" w:hAnsi="Times New Roman" w:cs="Times New Roman"/>
                <w:color w:val="auto"/>
                <w:sz w:val="24"/>
                <w:szCs w:val="24"/>
                <w:lang w:val="zh-CN"/>
              </w:rPr>
              <w:t>人为活动影响深远，</w:t>
            </w:r>
            <w:r>
              <w:rPr>
                <w:rFonts w:hint="eastAsia" w:ascii="Times New Roman" w:hAnsi="Times New Roman" w:cs="Times New Roman"/>
                <w:color w:val="auto"/>
                <w:sz w:val="24"/>
                <w:szCs w:val="24"/>
                <w:lang w:val="en-US" w:eastAsia="zh-CN"/>
              </w:rPr>
              <w:t>已无自然植被覆盖，项目及周边无</w:t>
            </w:r>
            <w:r>
              <w:rPr>
                <w:rFonts w:hint="eastAsia" w:ascii="宋体" w:hAnsi="宋体" w:eastAsia="宋体" w:cs="宋体"/>
                <w:color w:val="auto"/>
                <w:sz w:val="24"/>
                <w:szCs w:val="24"/>
              </w:rPr>
              <w:t>大型哺乳动物，仅有鸟类、鼠类及昆虫类小型动物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项目动工前，项目用地范围已完成了场地平整，原有用地范围内生态已经受到破坏。本项目建成后，在厂区范围内进行了一定面积的绿化，一定程度上缓解了项目占地生态影响。</w:t>
            </w:r>
          </w:p>
          <w:p>
            <w:pPr>
              <w:adjustRightInd w:val="0"/>
              <w:snapToGrid w:val="0"/>
              <w:spacing w:line="360" w:lineRule="auto"/>
              <w:ind w:firstLine="480" w:firstLineChars="200"/>
              <w:rPr>
                <w:rFonts w:hint="default" w:ascii="宋体" w:hAnsi="宋体" w:eastAsia="宋体" w:cs="宋体"/>
                <w:color w:val="auto"/>
                <w:sz w:val="24"/>
                <w:szCs w:val="24"/>
                <w:lang w:val="en-US" w:eastAsia="zh-CN"/>
              </w:rPr>
            </w:pPr>
            <w:r>
              <w:rPr>
                <w:rFonts w:hint="eastAsia"/>
                <w:bCs/>
                <w:color w:val="auto"/>
                <w:kern w:val="0"/>
                <w:sz w:val="24"/>
                <w:szCs w:val="24"/>
                <w:highlight w:val="none"/>
                <w:lang w:val="en-US" w:eastAsia="zh-CN"/>
              </w:rPr>
              <w:t>本项目管网占地为临时用地，临时用地面积约1644m</w:t>
            </w:r>
            <w:r>
              <w:rPr>
                <w:rFonts w:hint="eastAsia"/>
                <w:bCs/>
                <w:color w:val="auto"/>
                <w:kern w:val="0"/>
                <w:sz w:val="24"/>
                <w:szCs w:val="24"/>
                <w:highlight w:val="none"/>
                <w:vertAlign w:val="superscript"/>
                <w:lang w:val="en-US" w:eastAsia="zh-CN"/>
              </w:rPr>
              <w:t>2</w:t>
            </w:r>
            <w:r>
              <w:rPr>
                <w:rFonts w:hint="eastAsia"/>
                <w:bCs/>
                <w:color w:val="auto"/>
                <w:kern w:val="0"/>
                <w:sz w:val="24"/>
                <w:szCs w:val="24"/>
                <w:highlight w:val="none"/>
                <w:lang w:val="en-US" w:eastAsia="zh-CN"/>
              </w:rPr>
              <w:t>，临时用地类型包括工业用地、道路用地、绿化用地等，</w:t>
            </w:r>
            <w:r>
              <w:rPr>
                <w:rFonts w:hint="eastAsia"/>
                <w:b/>
                <w:bCs w:val="0"/>
                <w:color w:val="auto"/>
                <w:kern w:val="0"/>
                <w:sz w:val="24"/>
                <w:szCs w:val="24"/>
                <w:highlight w:val="none"/>
                <w:lang w:val="en-US" w:eastAsia="zh-CN"/>
              </w:rPr>
              <w:t>根据《中华人民共和国土地管理法实施条例》（国务院令第743号）：</w:t>
            </w:r>
            <w:r>
              <w:rPr>
                <w:rFonts w:hint="eastAsia"/>
                <w:bCs/>
                <w:color w:val="auto"/>
                <w:kern w:val="0"/>
                <w:sz w:val="24"/>
                <w:szCs w:val="24"/>
                <w:highlight w:val="none"/>
                <w:lang w:val="en-US" w:eastAsia="zh-CN"/>
              </w:rPr>
              <w:t>“</w:t>
            </w:r>
            <w:r>
              <w:rPr>
                <w:rFonts w:hint="eastAsia"/>
                <w:b/>
                <w:bCs w:val="0"/>
                <w:color w:val="auto"/>
                <w:kern w:val="0"/>
                <w:sz w:val="24"/>
                <w:szCs w:val="24"/>
                <w:highlight w:val="none"/>
                <w:lang w:val="en-US" w:eastAsia="zh-CN"/>
              </w:rPr>
              <w:t>抢险救灾、疫情防控等急需使用土地的，可以先行使用土地。其中，属于临时用地的，用后应当恢复原状并交还原土地使用者使用，不再办理用地审批手续</w:t>
            </w:r>
            <w:r>
              <w:rPr>
                <w:rFonts w:hint="eastAsia"/>
                <w:bCs/>
                <w:color w:val="auto"/>
                <w:kern w:val="0"/>
                <w:sz w:val="24"/>
                <w:szCs w:val="24"/>
                <w:highlight w:val="none"/>
                <w:lang w:val="en-US" w:eastAsia="zh-CN"/>
              </w:rPr>
              <w:t>”，本项目为抢险救灾工程，符合抢险救灾工程临时用地相关要求。项目已建设完成，临时用地范围已完成迹地恢复，根据现场勘查，项目临时用地生态恢复良好，本项目临时用地未造成明显影响，项目动工至今未受到环保投诉。</w:t>
            </w:r>
          </w:p>
          <w:p>
            <w:pPr>
              <w:pStyle w:val="14"/>
              <w:spacing w:line="360" w:lineRule="auto"/>
              <w:ind w:firstLine="480" w:firstLineChars="200"/>
              <w:rPr>
                <w:rFonts w:ascii="Times New Roman" w:hAnsi="Times New Roman"/>
                <w:b/>
                <w:bCs/>
                <w:color w:val="auto"/>
                <w:sz w:val="24"/>
              </w:rPr>
            </w:pPr>
            <w:r>
              <w:rPr>
                <w:rFonts w:hint="eastAsia" w:ascii="Times New Roman" w:hAnsi="Times New Roman"/>
                <w:color w:val="auto"/>
                <w:sz w:val="24"/>
                <w:lang w:val="en-US" w:eastAsia="zh-CN"/>
              </w:rPr>
              <w:t>2、</w:t>
            </w:r>
            <w:r>
              <w:rPr>
                <w:rFonts w:ascii="Times New Roman" w:hAnsi="Times New Roman"/>
                <w:b/>
                <w:bCs/>
                <w:color w:val="auto"/>
                <w:sz w:val="24"/>
              </w:rPr>
              <w:t>水土流失防治措施</w:t>
            </w:r>
          </w:p>
          <w:p>
            <w:pPr>
              <w:pStyle w:val="14"/>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本项目</w:t>
            </w:r>
            <w:r>
              <w:rPr>
                <w:rFonts w:hint="eastAsia" w:ascii="Times New Roman" w:hAnsi="Times New Roman"/>
                <w:color w:val="auto"/>
                <w:sz w:val="24"/>
                <w:lang w:val="en-US" w:eastAsia="zh-CN"/>
              </w:rPr>
              <w:t>调节池、水泵房、值班室、管沟基础土石方开挖、回填施工将会造成一定程度的</w:t>
            </w:r>
            <w:r>
              <w:rPr>
                <w:rFonts w:ascii="Times New Roman" w:hAnsi="Times New Roman"/>
                <w:color w:val="auto"/>
                <w:sz w:val="24"/>
              </w:rPr>
              <w:t>水土流失</w:t>
            </w:r>
            <w:r>
              <w:rPr>
                <w:rFonts w:hint="eastAsia" w:ascii="Times New Roman" w:hAnsi="Times New Roman"/>
                <w:color w:val="auto"/>
                <w:sz w:val="24"/>
                <w:lang w:eastAsia="zh-CN"/>
              </w:rPr>
              <w:t>，</w:t>
            </w:r>
            <w:r>
              <w:rPr>
                <w:rFonts w:hint="eastAsia" w:ascii="Times New Roman" w:hAnsi="Times New Roman"/>
                <w:color w:val="auto"/>
                <w:sz w:val="24"/>
                <w:lang w:val="en-US" w:eastAsia="zh-CN"/>
              </w:rPr>
              <w:t>本项目施工期采取的水土流失防治措施如下：</w:t>
            </w:r>
          </w:p>
          <w:p>
            <w:pPr>
              <w:pStyle w:val="14"/>
              <w:spacing w:line="360" w:lineRule="auto"/>
              <w:ind w:firstLine="480" w:firstLineChars="200"/>
              <w:rPr>
                <w:rFonts w:ascii="Times New Roman" w:hAnsi="Times New Roman"/>
                <w:color w:val="auto"/>
                <w:sz w:val="24"/>
              </w:rPr>
            </w:pPr>
            <w:r>
              <w:rPr>
                <w:rFonts w:ascii="Times New Roman" w:hAnsi="Times New Roman"/>
                <w:color w:val="auto"/>
                <w:sz w:val="24"/>
              </w:rPr>
              <w:t>项目开工前对区内的表土进行剥离，剥离的表土</w:t>
            </w:r>
            <w:r>
              <w:rPr>
                <w:rFonts w:hint="eastAsia" w:ascii="Times New Roman" w:hAnsi="Times New Roman"/>
                <w:color w:val="auto"/>
                <w:sz w:val="24"/>
                <w:lang w:eastAsia="zh-CN"/>
              </w:rPr>
              <w:t>、</w:t>
            </w:r>
            <w:r>
              <w:rPr>
                <w:rFonts w:hint="eastAsia" w:ascii="Times New Roman" w:hAnsi="Times New Roman"/>
                <w:color w:val="auto"/>
                <w:sz w:val="24"/>
                <w:lang w:val="en-US" w:eastAsia="zh-CN"/>
              </w:rPr>
              <w:t>开挖的土石方</w:t>
            </w:r>
            <w:r>
              <w:rPr>
                <w:rFonts w:ascii="Times New Roman" w:hAnsi="Times New Roman"/>
                <w:color w:val="auto"/>
                <w:sz w:val="24"/>
              </w:rPr>
              <w:t>临时堆存在</w:t>
            </w:r>
            <w:r>
              <w:rPr>
                <w:rFonts w:hint="eastAsia" w:ascii="Times New Roman" w:hAnsi="Times New Roman"/>
                <w:color w:val="auto"/>
                <w:sz w:val="24"/>
                <w:lang w:val="en-US" w:eastAsia="zh-CN"/>
              </w:rPr>
              <w:t>厂区空地，</w:t>
            </w:r>
            <w:r>
              <w:rPr>
                <w:rFonts w:ascii="Times New Roman" w:hAnsi="Times New Roman"/>
                <w:color w:val="auto"/>
                <w:sz w:val="24"/>
              </w:rPr>
              <w:t>并用彩条布进行苫盖保护</w:t>
            </w:r>
            <w:r>
              <w:rPr>
                <w:rFonts w:hint="eastAsia" w:ascii="Times New Roman" w:hAnsi="Times New Roman"/>
                <w:color w:val="auto"/>
                <w:sz w:val="24"/>
                <w:lang w:eastAsia="zh-CN"/>
              </w:rPr>
              <w:t>，</w:t>
            </w:r>
            <w:r>
              <w:rPr>
                <w:rFonts w:hint="eastAsia" w:ascii="Times New Roman" w:hAnsi="Times New Roman"/>
                <w:color w:val="auto"/>
                <w:sz w:val="24"/>
                <w:lang w:val="en-US" w:eastAsia="zh-CN"/>
              </w:rPr>
              <w:t>施工结束后表土及多余的土方用于绿化覆土和厂区低洼处回填</w:t>
            </w:r>
            <w:r>
              <w:rPr>
                <w:rFonts w:ascii="Times New Roman" w:hAnsi="Times New Roman"/>
                <w:color w:val="auto"/>
                <w:sz w:val="24"/>
              </w:rPr>
              <w:t>；施工过程中在水厂围墙外侧修建一条排水沟，排水沟与水厂周边的自然水系顺接；项目建设后期，把剥离的表土回覆至绿化区，完成表土回覆以后进行后续的景观绿化植被种植；并对新生长出来的植被进行抚育管理措施，以提高植被的成活率。</w:t>
            </w:r>
          </w:p>
          <w:p>
            <w:pPr>
              <w:pStyle w:val="14"/>
              <w:spacing w:line="360" w:lineRule="auto"/>
              <w:ind w:firstLine="480" w:firstLineChars="200"/>
              <w:rPr>
                <w:rFonts w:hint="eastAsia"/>
                <w:bCs/>
                <w:color w:val="auto"/>
                <w:kern w:val="0"/>
                <w:sz w:val="24"/>
                <w:szCs w:val="24"/>
                <w:highlight w:val="none"/>
                <w:lang w:val="en-US" w:eastAsia="zh-CN"/>
              </w:rPr>
            </w:pPr>
            <w:r>
              <w:rPr>
                <w:rFonts w:hint="eastAsia" w:ascii="Times New Roman" w:hAnsi="Times New Roman"/>
                <w:color w:val="auto"/>
                <w:sz w:val="24"/>
                <w:lang w:val="en-US" w:eastAsia="zh-CN"/>
              </w:rPr>
              <w:t>本项目施工期已结束，根据现场勘查和走访调查，项目动工至今未造成明显水土流失影响，</w:t>
            </w:r>
            <w:r>
              <w:rPr>
                <w:rFonts w:hint="eastAsia"/>
                <w:bCs/>
                <w:color w:val="auto"/>
                <w:kern w:val="0"/>
                <w:sz w:val="24"/>
                <w:szCs w:val="24"/>
                <w:highlight w:val="none"/>
                <w:lang w:val="en-US" w:eastAsia="zh-CN"/>
              </w:rPr>
              <w:t>项目动工至今未受到环保投诉。</w:t>
            </w:r>
          </w:p>
          <w:p>
            <w:pPr>
              <w:pStyle w:val="14"/>
              <w:spacing w:line="360" w:lineRule="auto"/>
              <w:ind w:firstLine="482" w:firstLineChars="200"/>
              <w:rPr>
                <w:rFonts w:hint="default" w:ascii="Times New Roman" w:hAnsi="Times New Roman"/>
                <w:b/>
                <w:bCs/>
                <w:color w:val="auto"/>
                <w:sz w:val="24"/>
                <w:highlight w:val="none"/>
                <w:lang w:val="en-US" w:eastAsia="zh-CN"/>
              </w:rPr>
            </w:pPr>
            <w:r>
              <w:rPr>
                <w:rFonts w:hint="eastAsia" w:ascii="Times New Roman" w:hAnsi="Times New Roman"/>
                <w:b/>
                <w:bCs/>
                <w:color w:val="auto"/>
                <w:sz w:val="24"/>
                <w:highlight w:val="none"/>
                <w:lang w:val="en-US" w:eastAsia="zh-CN"/>
              </w:rPr>
              <w:t>3、对陆生生物的影响分析</w:t>
            </w:r>
          </w:p>
          <w:p>
            <w:pPr>
              <w:spacing w:line="360" w:lineRule="auto"/>
              <w:ind w:firstLine="480" w:firstLineChars="200"/>
              <w:rPr>
                <w:rFonts w:hint="eastAsia"/>
                <w:b w:val="0"/>
                <w:bCs w:val="0"/>
                <w:color w:val="auto"/>
                <w:sz w:val="24"/>
                <w:szCs w:val="24"/>
                <w:highlight w:val="none"/>
                <w:lang w:val="en-US" w:eastAsia="zh-CN"/>
              </w:rPr>
            </w:pPr>
            <w:r>
              <w:rPr>
                <w:rFonts w:hint="eastAsia" w:eastAsia="宋体"/>
                <w:bCs/>
                <w:color w:val="auto"/>
                <w:kern w:val="0"/>
                <w:sz w:val="24"/>
                <w:szCs w:val="24"/>
                <w:highlight w:val="none"/>
                <w:lang w:val="en-US" w:eastAsia="zh-CN"/>
              </w:rPr>
              <w:t>本项目</w:t>
            </w:r>
            <w:r>
              <w:rPr>
                <w:rFonts w:hint="eastAsia"/>
                <w:bCs/>
                <w:color w:val="auto"/>
                <w:kern w:val="0"/>
                <w:sz w:val="24"/>
                <w:szCs w:val="24"/>
                <w:highlight w:val="none"/>
                <w:lang w:val="en-US" w:eastAsia="zh-CN"/>
              </w:rPr>
              <w:t>永久用地</w:t>
            </w:r>
            <w:r>
              <w:rPr>
                <w:rFonts w:hint="eastAsia" w:cs="Times New Roman"/>
                <w:b w:val="0"/>
                <w:bCs w:val="0"/>
                <w:color w:val="auto"/>
                <w:sz w:val="24"/>
                <w:szCs w:val="24"/>
                <w:highlight w:val="none"/>
                <w:lang w:val="en-US" w:eastAsia="zh-CN"/>
              </w:rPr>
              <w:t>包括调节水池、加压泵站、值班室用地，</w:t>
            </w:r>
            <w:r>
              <w:rPr>
                <w:rFonts w:hint="eastAsia"/>
                <w:bCs/>
                <w:color w:val="auto"/>
                <w:kern w:val="0"/>
                <w:sz w:val="24"/>
                <w:szCs w:val="24"/>
                <w:highlight w:val="none"/>
                <w:lang w:val="en-US" w:eastAsia="zh-CN"/>
              </w:rPr>
              <w:t>永久用地</w:t>
            </w:r>
            <w:r>
              <w:rPr>
                <w:rFonts w:hint="eastAsia" w:eastAsia="宋体"/>
                <w:bCs/>
                <w:color w:val="auto"/>
                <w:kern w:val="0"/>
                <w:sz w:val="24"/>
                <w:szCs w:val="24"/>
                <w:highlight w:val="none"/>
                <w:lang w:val="en-US" w:eastAsia="zh-CN"/>
              </w:rPr>
              <w:t>面积</w:t>
            </w:r>
            <w:r>
              <w:rPr>
                <w:rFonts w:hint="eastAsia"/>
                <w:color w:val="auto"/>
                <w:sz w:val="24"/>
                <w:szCs w:val="24"/>
                <w:highlight w:val="none"/>
                <w:lang w:val="en-US" w:eastAsia="zh-CN"/>
              </w:rPr>
              <w:t>844.36</w:t>
            </w:r>
            <w:r>
              <w:rPr>
                <w:rFonts w:hint="eastAsia" w:eastAsia="宋体"/>
                <w:bCs/>
                <w:color w:val="auto"/>
                <w:kern w:val="0"/>
                <w:sz w:val="24"/>
                <w:szCs w:val="24"/>
                <w:highlight w:val="none"/>
                <w:lang w:val="en-US" w:eastAsia="zh-CN"/>
              </w:rPr>
              <w:t>m</w:t>
            </w:r>
            <w:r>
              <w:rPr>
                <w:rFonts w:hint="eastAsia" w:eastAsia="宋体"/>
                <w:bCs/>
                <w:color w:val="auto"/>
                <w:kern w:val="0"/>
                <w:sz w:val="24"/>
                <w:szCs w:val="24"/>
                <w:highlight w:val="none"/>
                <w:vertAlign w:val="superscript"/>
                <w:lang w:val="en-US" w:eastAsia="zh-CN"/>
              </w:rPr>
              <w:t>2</w:t>
            </w:r>
            <w:r>
              <w:rPr>
                <w:rFonts w:hint="eastAsia"/>
                <w:bCs/>
                <w:color w:val="auto"/>
                <w:kern w:val="0"/>
                <w:sz w:val="24"/>
                <w:szCs w:val="24"/>
                <w:highlight w:val="none"/>
                <w:lang w:val="en-US" w:eastAsia="zh-CN"/>
              </w:rPr>
              <w:t>，本项目管网占地为临时用地，面积约1644m</w:t>
            </w:r>
            <w:r>
              <w:rPr>
                <w:rFonts w:hint="eastAsia"/>
                <w:bCs/>
                <w:color w:val="auto"/>
                <w:kern w:val="0"/>
                <w:sz w:val="24"/>
                <w:szCs w:val="24"/>
                <w:highlight w:val="none"/>
                <w:vertAlign w:val="superscript"/>
                <w:lang w:val="en-US" w:eastAsia="zh-CN"/>
              </w:rPr>
              <w:t>2</w:t>
            </w:r>
            <w:r>
              <w:rPr>
                <w:rFonts w:hint="eastAsia"/>
                <w:bCs/>
                <w:color w:val="auto"/>
                <w:kern w:val="0"/>
                <w:sz w:val="24"/>
                <w:szCs w:val="24"/>
                <w:highlight w:val="none"/>
                <w:vertAlign w:val="baseline"/>
                <w:lang w:val="en-US" w:eastAsia="zh-CN"/>
              </w:rPr>
              <w:t>，。</w:t>
            </w:r>
            <w:r>
              <w:rPr>
                <w:rFonts w:hint="eastAsia" w:ascii="Times New Roman" w:hAnsi="Times New Roman"/>
                <w:color w:val="auto"/>
                <w:sz w:val="24"/>
                <w:szCs w:val="24"/>
                <w:highlight w:val="none"/>
                <w:lang w:val="en-US" w:eastAsia="zh-CN"/>
              </w:rPr>
              <w:t>本项目</w:t>
            </w:r>
            <w:r>
              <w:rPr>
                <w:rFonts w:hint="eastAsia"/>
                <w:color w:val="auto"/>
                <w:sz w:val="24"/>
                <w:szCs w:val="24"/>
                <w:highlight w:val="none"/>
                <w:lang w:val="en-US" w:eastAsia="zh-CN"/>
              </w:rPr>
              <w:t>施工区域主要包括大竹经济开发区、乌木镇，项目所在区域</w:t>
            </w:r>
            <w:r>
              <w:rPr>
                <w:rFonts w:hint="eastAsia" w:ascii="宋体" w:hAnsi="宋体" w:eastAsia="宋体" w:cs="宋体"/>
                <w:color w:val="auto"/>
                <w:sz w:val="24"/>
                <w:szCs w:val="24"/>
                <w:highlight w:val="none"/>
              </w:rPr>
              <w:t>由于人群活动频繁，</w:t>
            </w:r>
            <w:r>
              <w:rPr>
                <w:rFonts w:hint="eastAsia" w:ascii="宋体" w:hAnsi="宋体" w:eastAsia="宋体" w:cs="宋体"/>
                <w:color w:val="auto"/>
                <w:sz w:val="24"/>
                <w:szCs w:val="24"/>
                <w:highlight w:val="none"/>
                <w:lang w:val="en-US" w:eastAsia="zh-CN"/>
              </w:rPr>
              <w:t>项目用地范围受</w:t>
            </w:r>
            <w:r>
              <w:rPr>
                <w:rFonts w:hint="eastAsia" w:ascii="Times New Roman" w:hAnsi="Times New Roman" w:cs="Times New Roman"/>
                <w:color w:val="auto"/>
                <w:sz w:val="24"/>
                <w:szCs w:val="24"/>
                <w:highlight w:val="none"/>
                <w:lang w:val="zh-CN"/>
              </w:rPr>
              <w:t>人为活动影响深远，</w:t>
            </w:r>
            <w:r>
              <w:rPr>
                <w:rFonts w:hint="eastAsia" w:ascii="Times New Roman" w:hAnsi="Times New Roman" w:cs="Times New Roman"/>
                <w:color w:val="auto"/>
                <w:sz w:val="24"/>
                <w:szCs w:val="24"/>
                <w:highlight w:val="none"/>
                <w:lang w:val="en-US" w:eastAsia="zh-CN"/>
              </w:rPr>
              <w:t>项目及周边无</w:t>
            </w:r>
            <w:r>
              <w:rPr>
                <w:rFonts w:hint="eastAsia" w:ascii="宋体" w:hAnsi="宋体" w:eastAsia="宋体" w:cs="宋体"/>
                <w:color w:val="auto"/>
                <w:sz w:val="24"/>
                <w:szCs w:val="24"/>
                <w:highlight w:val="none"/>
              </w:rPr>
              <w:t>大型哺乳动物，仅有鸟类、鼠类及昆虫类小型动物</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施工期通过加强施工人员教育，未发生捕猎野生动物、破坏野生动物洞穴及栖息地等事件。</w:t>
            </w:r>
            <w:r>
              <w:rPr>
                <w:rFonts w:hint="eastAsia"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已施工结束，施工期临时占地完成复绿，临时占地区域已恢复施工前生态环境水平，施工活动对陆生动物影响已消除</w:t>
            </w:r>
            <w:r>
              <w:rPr>
                <w:rFonts w:hint="eastAsia"/>
                <w:b w:val="0"/>
                <w:bCs w:val="0"/>
                <w:color w:val="auto"/>
                <w:sz w:val="24"/>
                <w:szCs w:val="24"/>
                <w:highlight w:val="none"/>
                <w:lang w:val="en-US"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根据现场</w:t>
            </w:r>
            <w:r>
              <w:rPr>
                <w:rFonts w:hint="eastAsia" w:cs="Times New Roman"/>
                <w:color w:val="auto"/>
                <w:sz w:val="24"/>
                <w:szCs w:val="24"/>
                <w:highlight w:val="none"/>
                <w:lang w:val="en-US" w:eastAsia="zh-CN"/>
              </w:rPr>
              <w:t>踏勘及走访调查</w:t>
            </w:r>
            <w:r>
              <w:rPr>
                <w:rFonts w:hint="eastAsia" w:ascii="Times New Roman" w:hAnsi="Times New Roman" w:eastAsia="宋体" w:cs="Times New Roman"/>
                <w:color w:val="auto"/>
                <w:sz w:val="24"/>
                <w:szCs w:val="24"/>
                <w:highlight w:val="none"/>
                <w:lang w:val="en-US" w:eastAsia="zh-CN"/>
              </w:rPr>
              <w:t>，项目的建设</w:t>
            </w:r>
            <w:r>
              <w:rPr>
                <w:rFonts w:hint="eastAsia" w:cs="Times New Roman"/>
                <w:color w:val="auto"/>
                <w:sz w:val="24"/>
                <w:szCs w:val="24"/>
                <w:highlight w:val="none"/>
                <w:lang w:val="en-US" w:eastAsia="zh-CN"/>
              </w:rPr>
              <w:t>未</w:t>
            </w:r>
            <w:r>
              <w:rPr>
                <w:rFonts w:hint="eastAsia" w:ascii="Times New Roman" w:hAnsi="Times New Roman" w:eastAsia="宋体" w:cs="Times New Roman"/>
                <w:color w:val="auto"/>
                <w:sz w:val="24"/>
                <w:szCs w:val="24"/>
                <w:highlight w:val="none"/>
                <w:lang w:val="en-US" w:eastAsia="zh-CN"/>
              </w:rPr>
              <w:t>对陆生生物</w:t>
            </w:r>
            <w:r>
              <w:rPr>
                <w:rFonts w:hint="eastAsia" w:cs="Times New Roman"/>
                <w:color w:val="auto"/>
                <w:sz w:val="24"/>
                <w:szCs w:val="24"/>
                <w:highlight w:val="none"/>
                <w:lang w:val="en-US" w:eastAsia="zh-CN"/>
              </w:rPr>
              <w:t>造成明显影响，</w:t>
            </w:r>
            <w:r>
              <w:rPr>
                <w:rFonts w:hint="eastAsia"/>
                <w:bCs/>
                <w:color w:val="auto"/>
                <w:kern w:val="0"/>
                <w:sz w:val="24"/>
                <w:szCs w:val="24"/>
                <w:highlight w:val="none"/>
                <w:lang w:val="en-US" w:eastAsia="zh-CN"/>
              </w:rPr>
              <w:t>项目动工至今未受到环保投诉。</w:t>
            </w:r>
          </w:p>
          <w:p>
            <w:pPr>
              <w:pStyle w:val="14"/>
              <w:spacing w:line="360" w:lineRule="auto"/>
              <w:ind w:firstLine="482" w:firstLineChars="200"/>
              <w:rPr>
                <w:rFonts w:hint="eastAsia" w:ascii="Times New Roman" w:hAnsi="Times New Roman"/>
                <w:b/>
                <w:bCs/>
                <w:color w:val="auto"/>
                <w:sz w:val="24"/>
                <w:lang w:val="fr-FR" w:eastAsia="zh-CN"/>
              </w:rPr>
            </w:pPr>
            <w:r>
              <w:rPr>
                <w:rFonts w:hint="eastAsia" w:ascii="Times New Roman" w:hAnsi="Times New Roman"/>
                <w:b/>
                <w:bCs/>
                <w:color w:val="auto"/>
                <w:sz w:val="24"/>
                <w:lang w:val="en-US" w:eastAsia="zh-CN"/>
              </w:rPr>
              <w:t>4、</w:t>
            </w:r>
            <w:r>
              <w:rPr>
                <w:rFonts w:hint="eastAsia" w:ascii="Times New Roman" w:hAnsi="Times New Roman"/>
                <w:b/>
                <w:bCs/>
                <w:color w:val="auto"/>
                <w:sz w:val="24"/>
                <w:lang w:val="fr-FR" w:eastAsia="zh-CN"/>
              </w:rPr>
              <w:t>对水生生物的影响分析</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color w:val="auto"/>
                <w:sz w:val="24"/>
                <w:szCs w:val="24"/>
                <w:highlight w:val="none"/>
                <w:lang w:val="en-US" w:eastAsia="zh-CN"/>
              </w:rPr>
              <w:t>项目已建成，施工活动已结束。输水管道</w:t>
            </w:r>
            <w:r>
              <w:rPr>
                <w:rFonts w:hint="eastAsia" w:ascii="宋体" w:hAnsi="宋体" w:eastAsia="宋体"/>
                <w:color w:val="auto"/>
                <w:sz w:val="24"/>
                <w:szCs w:val="24"/>
                <w:highlight w:val="none"/>
              </w:rPr>
              <w:t>管沟的开挖噪声对鱼类有</w:t>
            </w:r>
            <w:r>
              <w:rPr>
                <w:rFonts w:hint="eastAsia" w:ascii="宋体" w:hAnsi="宋体"/>
                <w:color w:val="auto"/>
                <w:sz w:val="24"/>
                <w:szCs w:val="24"/>
                <w:highlight w:val="none"/>
                <w:lang w:val="en-US" w:eastAsia="zh-CN"/>
              </w:rPr>
              <w:t>一定的</w:t>
            </w:r>
            <w:r>
              <w:rPr>
                <w:rFonts w:hint="eastAsia" w:ascii="宋体" w:hAnsi="宋体" w:eastAsia="宋体"/>
                <w:color w:val="auto"/>
                <w:sz w:val="24"/>
                <w:szCs w:val="24"/>
                <w:highlight w:val="none"/>
              </w:rPr>
              <w:t>驱离作用，导致工程建设期间邻近水域鱼类资源量减少。由于施工噪音对鱼类不形成致死作用，只是将鱼类驱离该水域，工程直接影响并不会导致评价区资源量显著减少。</w:t>
            </w:r>
            <w:r>
              <w:rPr>
                <w:rFonts w:hint="eastAsia" w:ascii="宋体" w:hAnsi="宋体"/>
                <w:color w:val="auto"/>
                <w:sz w:val="24"/>
                <w:szCs w:val="24"/>
                <w:highlight w:val="none"/>
                <w:lang w:val="en-US" w:eastAsia="zh-CN"/>
              </w:rPr>
              <w:t>项目施工期较短，施工活动已结束，施工期已严格</w:t>
            </w:r>
            <w:r>
              <w:rPr>
                <w:rFonts w:hint="eastAsia" w:ascii="宋体" w:hAnsi="宋体" w:eastAsia="宋体"/>
                <w:color w:val="auto"/>
                <w:sz w:val="24"/>
                <w:szCs w:val="24"/>
                <w:highlight w:val="none"/>
              </w:rPr>
              <w:t>执行</w:t>
            </w:r>
            <w:r>
              <w:rPr>
                <w:rFonts w:hint="eastAsia" w:ascii="宋体" w:hAnsi="宋体"/>
                <w:color w:val="auto"/>
                <w:sz w:val="24"/>
                <w:szCs w:val="24"/>
                <w:highlight w:val="none"/>
                <w:lang w:eastAsia="zh-CN"/>
              </w:rPr>
              <w:t>了</w:t>
            </w:r>
            <w:r>
              <w:rPr>
                <w:rFonts w:hint="eastAsia" w:ascii="宋体" w:hAnsi="宋体" w:eastAsia="宋体"/>
                <w:color w:val="auto"/>
                <w:sz w:val="24"/>
                <w:szCs w:val="24"/>
                <w:highlight w:val="none"/>
              </w:rPr>
              <w:t>禁止排污的环保制度，</w:t>
            </w:r>
            <w:r>
              <w:rPr>
                <w:rFonts w:hint="eastAsia" w:ascii="宋体" w:hAnsi="宋体"/>
                <w:color w:val="auto"/>
                <w:sz w:val="24"/>
                <w:szCs w:val="24"/>
                <w:highlight w:val="none"/>
                <w:lang w:val="en-US" w:eastAsia="zh-CN"/>
              </w:rPr>
              <w:t>项目</w:t>
            </w:r>
            <w:r>
              <w:rPr>
                <w:rFonts w:hint="eastAsia" w:ascii="宋体" w:hAnsi="宋体" w:eastAsia="宋体"/>
                <w:color w:val="auto"/>
                <w:sz w:val="24"/>
                <w:szCs w:val="24"/>
                <w:highlight w:val="none"/>
              </w:rPr>
              <w:t>管道占用的水域和河床基础很小，对</w:t>
            </w:r>
            <w:r>
              <w:rPr>
                <w:rFonts w:hint="eastAsia" w:ascii="宋体" w:hAnsi="宋体"/>
                <w:color w:val="auto"/>
                <w:sz w:val="24"/>
                <w:szCs w:val="24"/>
                <w:highlight w:val="none"/>
                <w:lang w:val="en-US" w:eastAsia="zh-CN"/>
              </w:rPr>
              <w:t>鱼类和</w:t>
            </w:r>
            <w:r>
              <w:rPr>
                <w:rFonts w:hint="eastAsia" w:ascii="宋体" w:hAnsi="宋体" w:eastAsia="宋体"/>
                <w:color w:val="auto"/>
                <w:sz w:val="24"/>
                <w:szCs w:val="24"/>
                <w:highlight w:val="none"/>
              </w:rPr>
              <w:t>浮游生物影响轻微，并且影响较小。项目施工期仅占用少量水域面积，且为临时占用，对其他水生生物的种类组成和数量影响并不显著，项目的建设</w:t>
            </w:r>
            <w:r>
              <w:rPr>
                <w:rFonts w:hint="eastAsia" w:ascii="宋体" w:hAnsi="宋体"/>
                <w:color w:val="auto"/>
                <w:sz w:val="24"/>
                <w:szCs w:val="24"/>
                <w:highlight w:val="none"/>
                <w:lang w:val="en-US" w:eastAsia="zh-CN"/>
              </w:rPr>
              <w:t>并未</w:t>
            </w:r>
            <w:r>
              <w:rPr>
                <w:rFonts w:hint="eastAsia" w:ascii="宋体" w:hAnsi="宋体" w:eastAsia="宋体"/>
                <w:color w:val="auto"/>
                <w:sz w:val="24"/>
                <w:szCs w:val="24"/>
                <w:highlight w:val="none"/>
              </w:rPr>
              <w:t>导致水生生物多样性的变化，</w:t>
            </w:r>
            <w:r>
              <w:rPr>
                <w:rFonts w:hint="eastAsia" w:ascii="宋体" w:hAnsi="宋体"/>
                <w:color w:val="auto"/>
                <w:sz w:val="24"/>
                <w:szCs w:val="24"/>
                <w:highlight w:val="none"/>
                <w:lang w:val="en-US" w:eastAsia="zh-CN"/>
              </w:rPr>
              <w:t>未</w:t>
            </w:r>
            <w:r>
              <w:rPr>
                <w:rFonts w:hint="eastAsia" w:ascii="宋体" w:hAnsi="宋体" w:eastAsia="宋体"/>
                <w:color w:val="auto"/>
                <w:sz w:val="24"/>
                <w:szCs w:val="24"/>
                <w:highlight w:val="none"/>
              </w:rPr>
              <w:t>造成鱼类栖息环境的剧烈变化</w:t>
            </w:r>
            <w:r>
              <w:rPr>
                <w:rFonts w:hint="eastAsia" w:ascii="宋体" w:hAnsi="宋体"/>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对水生生态影响可接受。</w:t>
            </w:r>
          </w:p>
          <w:p>
            <w:pPr>
              <w:pStyle w:val="14"/>
              <w:spacing w:line="360" w:lineRule="auto"/>
              <w:ind w:firstLine="482" w:firstLineChars="200"/>
              <w:rPr>
                <w:rFonts w:hint="default" w:ascii="Times New Roman" w:hAnsi="Times New Roman"/>
                <w:b/>
                <w:bCs/>
                <w:color w:val="auto"/>
                <w:sz w:val="24"/>
                <w:lang w:val="en-US" w:eastAsia="zh-CN"/>
              </w:rPr>
            </w:pPr>
            <w:r>
              <w:rPr>
                <w:rFonts w:hint="eastAsia" w:ascii="Times New Roman" w:hAnsi="Times New Roman"/>
                <w:b/>
                <w:bCs/>
                <w:color w:val="auto"/>
                <w:sz w:val="24"/>
                <w:lang w:val="en-US" w:eastAsia="zh-CN"/>
              </w:rPr>
              <w:t>5、</w:t>
            </w:r>
            <w:r>
              <w:rPr>
                <w:rFonts w:hint="eastAsia" w:ascii="Times New Roman" w:hAnsi="Times New Roman"/>
                <w:b/>
                <w:bCs/>
                <w:color w:val="auto"/>
                <w:sz w:val="24"/>
                <w:lang w:val="fr-FR" w:eastAsia="zh-CN"/>
              </w:rPr>
              <w:t>对景观环境的影响分析</w:t>
            </w:r>
          </w:p>
          <w:p>
            <w:pPr>
              <w:pStyle w:val="108"/>
              <w:spacing w:line="360" w:lineRule="auto"/>
              <w:ind w:firstLine="480"/>
              <w:rPr>
                <w:rFonts w:hint="default" w:cs="Times New Roman"/>
                <w:snapToGrid w:val="0"/>
                <w:color w:val="auto"/>
                <w:sz w:val="24"/>
                <w:szCs w:val="24"/>
                <w:highlight w:val="none"/>
                <w:lang w:val="en-US" w:eastAsia="zh-CN" w:bidi="ar-SA"/>
              </w:rPr>
            </w:pPr>
            <w:r>
              <w:rPr>
                <w:rFonts w:hint="eastAsia" w:cs="Times New Roman"/>
                <w:snapToGrid w:val="0"/>
                <w:color w:val="auto"/>
                <w:sz w:val="24"/>
                <w:szCs w:val="24"/>
                <w:highlight w:val="none"/>
                <w:lang w:val="en-US" w:eastAsia="zh-CN" w:bidi="ar-SA"/>
              </w:rPr>
              <w:t>项目已建成，施工活动已结束。施工期</w:t>
            </w:r>
            <w:r>
              <w:rPr>
                <w:rFonts w:hint="eastAsia" w:ascii="Times New Roman" w:hAnsi="Times New Roman" w:eastAsia="宋体" w:cs="Times New Roman"/>
                <w:snapToGrid w:val="0"/>
                <w:color w:val="auto"/>
                <w:sz w:val="24"/>
                <w:szCs w:val="24"/>
                <w:highlight w:val="none"/>
                <w:lang w:val="fr-FR" w:eastAsia="zh-CN" w:bidi="ar-SA"/>
              </w:rPr>
              <w:t>短期内存在对自然景观和自然生态的影响，</w:t>
            </w:r>
            <w:r>
              <w:rPr>
                <w:rFonts w:hint="eastAsia" w:ascii="Times New Roman" w:hAnsi="Times New Roman" w:eastAsia="宋体" w:cs="Times New Roman"/>
                <w:snapToGrid w:val="0"/>
                <w:color w:val="auto"/>
                <w:sz w:val="24"/>
                <w:szCs w:val="24"/>
                <w:highlight w:val="none"/>
                <w:lang w:val="en-US" w:eastAsia="zh-CN" w:bidi="ar-SA"/>
              </w:rPr>
              <w:t>但目前该项目已建成，</w:t>
            </w:r>
            <w:r>
              <w:rPr>
                <w:rFonts w:hint="eastAsia" w:cs="Times New Roman"/>
                <w:snapToGrid w:val="0"/>
                <w:color w:val="auto"/>
                <w:sz w:val="24"/>
                <w:szCs w:val="24"/>
                <w:highlight w:val="none"/>
                <w:lang w:val="en-US" w:eastAsia="zh-CN" w:bidi="ar-SA"/>
              </w:rPr>
              <w:t>输水</w:t>
            </w:r>
            <w:r>
              <w:rPr>
                <w:rFonts w:hint="eastAsia" w:ascii="Times New Roman" w:hAnsi="Times New Roman" w:eastAsia="宋体" w:cs="Times New Roman"/>
                <w:snapToGrid w:val="0"/>
                <w:color w:val="auto"/>
                <w:sz w:val="24"/>
                <w:szCs w:val="24"/>
                <w:highlight w:val="none"/>
                <w:lang w:val="en-US" w:eastAsia="zh-CN" w:bidi="ar-SA"/>
              </w:rPr>
              <w:t>管网沿线均已完成了植被恢复，形成了与周边环境相宜的生态系统，未对周边生态景观环境造成较大的破坏。</w:t>
            </w:r>
          </w:p>
          <w:p>
            <w:pPr>
              <w:pStyle w:val="108"/>
              <w:spacing w:line="360" w:lineRule="auto"/>
              <w:ind w:firstLine="480"/>
              <w:rPr>
                <w:rFonts w:hint="default" w:eastAsia="宋体"/>
                <w:b/>
                <w:bCs/>
                <w:color w:val="auto"/>
                <w:sz w:val="24"/>
                <w:szCs w:val="24"/>
                <w:highlight w:val="none"/>
                <w:lang w:val="en-US" w:eastAsia="zh-CN"/>
              </w:rPr>
            </w:pPr>
            <w:r>
              <w:rPr>
                <w:b/>
                <w:bCs/>
                <w:color w:val="auto"/>
                <w:sz w:val="24"/>
                <w:szCs w:val="24"/>
                <w:highlight w:val="none"/>
              </w:rPr>
              <w:t>综上所述，项目</w:t>
            </w:r>
            <w:r>
              <w:rPr>
                <w:rFonts w:hint="eastAsia"/>
                <w:b/>
                <w:bCs/>
                <w:color w:val="auto"/>
                <w:sz w:val="24"/>
                <w:szCs w:val="24"/>
                <w:highlight w:val="none"/>
                <w:lang w:val="en-US" w:eastAsia="zh-CN"/>
              </w:rPr>
              <w:t>已建成，</w:t>
            </w:r>
            <w:r>
              <w:rPr>
                <w:b/>
                <w:bCs/>
                <w:color w:val="auto"/>
                <w:sz w:val="24"/>
                <w:szCs w:val="24"/>
                <w:highlight w:val="none"/>
              </w:rPr>
              <w:t>施工期间</w:t>
            </w:r>
            <w:r>
              <w:rPr>
                <w:rFonts w:hint="eastAsia"/>
                <w:b/>
                <w:bCs/>
                <w:color w:val="auto"/>
                <w:sz w:val="24"/>
                <w:szCs w:val="24"/>
                <w:highlight w:val="none"/>
                <w:lang w:val="en-US" w:eastAsia="zh-CN"/>
              </w:rPr>
              <w:t>采取了相应的生态保护措施，将项目施工负面影响降至了最低，目前施工活动已结束，影响已全部消除</w:t>
            </w:r>
            <w:r>
              <w:rPr>
                <w:rFonts w:hint="eastAsia"/>
                <w:b/>
                <w:iCs/>
                <w:color w:val="auto"/>
                <w:kern w:val="0"/>
                <w:sz w:val="24"/>
                <w:szCs w:val="24"/>
                <w:highlight w:val="none"/>
                <w:lang w:eastAsia="zh-CN"/>
              </w:rPr>
              <w:t>，</w:t>
            </w:r>
            <w:r>
              <w:rPr>
                <w:rFonts w:hint="eastAsia"/>
                <w:b/>
                <w:iCs/>
                <w:color w:val="auto"/>
                <w:kern w:val="0"/>
                <w:sz w:val="24"/>
                <w:szCs w:val="24"/>
                <w:highlight w:val="none"/>
                <w:lang w:val="en-US" w:eastAsia="zh-CN"/>
              </w:rPr>
              <w:t>未收到环保投诉</w:t>
            </w:r>
            <w:r>
              <w:rPr>
                <w:rFonts w:hint="eastAsia"/>
                <w:b/>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二、施工期大气环境保护措施</w:t>
            </w:r>
          </w:p>
          <w:p>
            <w:pPr>
              <w:spacing w:line="360" w:lineRule="auto"/>
              <w:ind w:firstLine="482" w:firstLineChars="200"/>
              <w:rPr>
                <w:b/>
                <w:bCs/>
                <w:color w:val="auto"/>
                <w:sz w:val="24"/>
              </w:rPr>
            </w:pPr>
            <w:r>
              <w:rPr>
                <w:b/>
                <w:color w:val="auto"/>
                <w:sz w:val="24"/>
              </w:rPr>
              <w:t>（1）</w:t>
            </w:r>
            <w:r>
              <w:rPr>
                <w:b/>
                <w:bCs/>
                <w:color w:val="auto"/>
                <w:sz w:val="24"/>
              </w:rPr>
              <w:t>施工扬尘</w:t>
            </w:r>
          </w:p>
          <w:p>
            <w:pPr>
              <w:pStyle w:val="141"/>
              <w:spacing w:line="360" w:lineRule="auto"/>
              <w:ind w:firstLine="480" w:firstLineChars="200"/>
              <w:rPr>
                <w:color w:val="auto"/>
                <w:szCs w:val="24"/>
              </w:rPr>
            </w:pPr>
            <w:r>
              <w:rPr>
                <w:color w:val="auto"/>
                <w:szCs w:val="24"/>
              </w:rPr>
              <w:t>在施工过程中，施工单位应对施工扬尘进行治理，尽量减少扬尘对环境的影响程度。根据《四川省大气污染防治法实施办法》（四川省第十三届人民代表大会常务委员会公告第24号）相关要求，</w:t>
            </w:r>
            <w:r>
              <w:rPr>
                <w:rFonts w:hint="eastAsia"/>
                <w:b/>
                <w:bCs/>
                <w:color w:val="auto"/>
                <w:szCs w:val="24"/>
                <w:u w:val="single"/>
                <w:lang w:val="en-US" w:eastAsia="zh-CN"/>
              </w:rPr>
              <w:t>本项目施工期已采取的扬尘防治</w:t>
            </w:r>
            <w:r>
              <w:rPr>
                <w:b/>
                <w:bCs/>
                <w:color w:val="auto"/>
                <w:szCs w:val="24"/>
                <w:u w:val="single"/>
              </w:rPr>
              <w:t>措施：</w:t>
            </w:r>
          </w:p>
          <w:p>
            <w:pPr>
              <w:pStyle w:val="141"/>
              <w:numPr>
                <w:ilvl w:val="0"/>
                <w:numId w:val="9"/>
              </w:numPr>
              <w:spacing w:line="360" w:lineRule="auto"/>
              <w:ind w:firstLine="480" w:firstLineChars="200"/>
              <w:rPr>
                <w:color w:val="auto"/>
                <w:szCs w:val="24"/>
              </w:rPr>
            </w:pPr>
            <w:r>
              <w:rPr>
                <w:color w:val="auto"/>
                <w:szCs w:val="24"/>
              </w:rPr>
              <w:t>施工单位在施工工地设置</w:t>
            </w:r>
            <w:r>
              <w:rPr>
                <w:rFonts w:hint="eastAsia"/>
                <w:color w:val="auto"/>
                <w:szCs w:val="24"/>
                <w:lang w:val="en-US" w:eastAsia="zh-CN"/>
              </w:rPr>
              <w:t>有</w:t>
            </w:r>
            <w:r>
              <w:rPr>
                <w:color w:val="auto"/>
                <w:szCs w:val="24"/>
              </w:rPr>
              <w:t>围挡，并采取抑尘、降尘措施。建筑土方、工程渣土等建筑垃圾在场地内</w:t>
            </w:r>
            <w:r>
              <w:rPr>
                <w:rFonts w:hint="eastAsia"/>
                <w:color w:val="auto"/>
                <w:szCs w:val="24"/>
                <w:lang w:val="en-US" w:eastAsia="zh-CN"/>
              </w:rPr>
              <w:t>临时</w:t>
            </w:r>
            <w:r>
              <w:rPr>
                <w:color w:val="auto"/>
                <w:szCs w:val="24"/>
              </w:rPr>
              <w:t>堆存</w:t>
            </w:r>
            <w:r>
              <w:rPr>
                <w:rFonts w:hint="eastAsia"/>
                <w:color w:val="auto"/>
                <w:szCs w:val="24"/>
                <w:lang w:val="en-US" w:eastAsia="zh-CN"/>
              </w:rPr>
              <w:t>采取</w:t>
            </w:r>
            <w:r>
              <w:rPr>
                <w:color w:val="auto"/>
                <w:szCs w:val="24"/>
              </w:rPr>
              <w:t>遮盖</w:t>
            </w:r>
            <w:r>
              <w:rPr>
                <w:rFonts w:hint="eastAsia"/>
                <w:color w:val="auto"/>
                <w:szCs w:val="24"/>
                <w:lang w:val="en-US" w:eastAsia="zh-CN"/>
              </w:rPr>
              <w:t>措施；</w:t>
            </w:r>
            <w:r>
              <w:rPr>
                <w:color w:val="auto"/>
                <w:szCs w:val="24"/>
              </w:rPr>
              <w:t>对裸露地面进行覆盖。</w:t>
            </w:r>
          </w:p>
          <w:p>
            <w:pPr>
              <w:pStyle w:val="141"/>
              <w:numPr>
                <w:ilvl w:val="0"/>
                <w:numId w:val="9"/>
              </w:numPr>
              <w:spacing w:line="360" w:lineRule="auto"/>
              <w:ind w:firstLine="480" w:firstLineChars="200"/>
              <w:rPr>
                <w:color w:val="auto"/>
                <w:szCs w:val="24"/>
              </w:rPr>
            </w:pPr>
            <w:r>
              <w:rPr>
                <w:rFonts w:hint="eastAsia"/>
                <w:color w:val="auto"/>
                <w:szCs w:val="24"/>
                <w:lang w:val="en-US" w:eastAsia="zh-CN"/>
              </w:rPr>
              <w:t>采用</w:t>
            </w:r>
            <w:r>
              <w:rPr>
                <w:color w:val="auto"/>
                <w:szCs w:val="24"/>
              </w:rPr>
              <w:t>符合条件的</w:t>
            </w:r>
            <w:r>
              <w:rPr>
                <w:rFonts w:hint="eastAsia"/>
                <w:color w:val="auto"/>
                <w:szCs w:val="24"/>
                <w:lang w:val="en-US" w:eastAsia="zh-CN"/>
              </w:rPr>
              <w:t>混凝土</w:t>
            </w:r>
            <w:r>
              <w:rPr>
                <w:color w:val="auto"/>
                <w:szCs w:val="24"/>
              </w:rPr>
              <w:t>的运输车辆，密闭运输</w:t>
            </w:r>
            <w:r>
              <w:rPr>
                <w:rFonts w:hint="eastAsia"/>
                <w:color w:val="auto"/>
                <w:szCs w:val="24"/>
                <w:lang w:eastAsia="zh-CN"/>
              </w:rPr>
              <w:t>，</w:t>
            </w:r>
            <w:r>
              <w:rPr>
                <w:rFonts w:hint="eastAsia"/>
                <w:color w:val="auto"/>
                <w:szCs w:val="24"/>
                <w:lang w:val="en-US" w:eastAsia="zh-CN"/>
              </w:rPr>
              <w:t>进出场地车辆进行冲洗</w:t>
            </w:r>
            <w:r>
              <w:rPr>
                <w:color w:val="auto"/>
                <w:szCs w:val="24"/>
              </w:rPr>
              <w:t>。</w:t>
            </w:r>
          </w:p>
          <w:p>
            <w:pPr>
              <w:pStyle w:val="141"/>
              <w:spacing w:line="360" w:lineRule="auto"/>
              <w:ind w:firstLine="480" w:firstLineChars="200"/>
              <w:rPr>
                <w:color w:val="auto"/>
                <w:szCs w:val="24"/>
              </w:rPr>
            </w:pPr>
            <w:r>
              <w:rPr>
                <w:color w:val="auto"/>
                <w:szCs w:val="24"/>
              </w:rPr>
              <w:t>3）</w:t>
            </w:r>
            <w:r>
              <w:rPr>
                <w:rFonts w:hint="eastAsia"/>
                <w:color w:val="auto"/>
                <w:szCs w:val="24"/>
                <w:lang w:val="en-US" w:eastAsia="zh-CN"/>
              </w:rPr>
              <w:t>施工期按照</w:t>
            </w:r>
            <w:r>
              <w:rPr>
                <w:rFonts w:hint="eastAsia" w:ascii="宋体" w:hAnsi="宋体" w:eastAsia="宋体" w:cs="宋体"/>
                <w:color w:val="auto"/>
                <w:szCs w:val="24"/>
              </w:rPr>
              <w:t>“六必须”“七不准”</w:t>
            </w:r>
            <w:r>
              <w:rPr>
                <w:rFonts w:hint="eastAsia" w:ascii="宋体" w:hAnsi="宋体" w:eastAsia="宋体" w:cs="宋体"/>
                <w:color w:val="auto"/>
                <w:szCs w:val="24"/>
                <w:lang w:val="en-US" w:eastAsia="zh-CN"/>
              </w:rPr>
              <w:t>要求施工</w:t>
            </w:r>
            <w:r>
              <w:rPr>
                <w:rFonts w:hint="eastAsia" w:ascii="宋体" w:hAnsi="宋体" w:eastAsia="宋体" w:cs="宋体"/>
                <w:color w:val="auto"/>
                <w:szCs w:val="24"/>
              </w:rPr>
              <w:t>。“六必须”：</w:t>
            </w:r>
            <w:r>
              <w:rPr>
                <w:color w:val="auto"/>
                <w:szCs w:val="24"/>
              </w:rPr>
              <w:t>必须湿法作业、必须打围作业、必须硬化道路、必须设置冲洗设备设施、必须配齐保洁人员、必须定时清扫施工现</w:t>
            </w:r>
            <w:r>
              <w:rPr>
                <w:rFonts w:hint="eastAsia" w:ascii="宋体" w:hAnsi="宋体" w:eastAsia="宋体" w:cs="宋体"/>
                <w:color w:val="auto"/>
                <w:szCs w:val="24"/>
              </w:rPr>
              <w:t>场；“七不准”包括不</w:t>
            </w:r>
            <w:r>
              <w:rPr>
                <w:color w:val="auto"/>
                <w:szCs w:val="24"/>
              </w:rPr>
              <w:t>准车辆带泥出门、不准运渣车辆超载、不准高空抛撒建渣、不准现场搅拌混凝土、不准场地积水、不准粉尘材料不入库、不准现场焚烧废弃物。</w:t>
            </w:r>
          </w:p>
          <w:p>
            <w:pPr>
              <w:pStyle w:val="141"/>
              <w:spacing w:line="360" w:lineRule="auto"/>
              <w:ind w:firstLine="480" w:firstLineChars="200"/>
              <w:rPr>
                <w:color w:val="auto"/>
                <w:szCs w:val="24"/>
              </w:rPr>
            </w:pPr>
            <w:r>
              <w:rPr>
                <w:color w:val="auto"/>
                <w:szCs w:val="24"/>
              </w:rPr>
              <w:t>4）由于道路和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选择对周围环境影响较小的运输路线，定时对运输路线进行清扫，运输车辆出场时必须封闭，避免在运输过程中的抛洒现象。</w:t>
            </w:r>
          </w:p>
          <w:p>
            <w:pPr>
              <w:pStyle w:val="141"/>
              <w:spacing w:line="360" w:lineRule="auto"/>
              <w:ind w:firstLine="480" w:firstLineChars="200"/>
              <w:rPr>
                <w:color w:val="auto"/>
                <w:szCs w:val="24"/>
              </w:rPr>
            </w:pPr>
            <w:r>
              <w:rPr>
                <w:color w:val="auto"/>
                <w:szCs w:val="24"/>
              </w:rPr>
              <w:t>5）建材堆放地点要相对集中，临时废弃土石堆场以毡布覆盖，裸露地面进行硬化和绿化，减少建材的露天堆放时间；开挖出的土石方应加强围栏，表面用毡布覆盖，多余弃土</w:t>
            </w:r>
            <w:r>
              <w:rPr>
                <w:rFonts w:hint="eastAsia"/>
                <w:color w:val="auto"/>
                <w:szCs w:val="24"/>
                <w:lang w:val="en-US" w:eastAsia="zh-CN"/>
              </w:rPr>
              <w:t>及时覆土</w:t>
            </w:r>
            <w:r>
              <w:rPr>
                <w:color w:val="auto"/>
                <w:szCs w:val="24"/>
              </w:rPr>
              <w:t>。</w:t>
            </w:r>
          </w:p>
          <w:p>
            <w:pPr>
              <w:pStyle w:val="141"/>
              <w:spacing w:line="360" w:lineRule="auto"/>
              <w:ind w:firstLine="480" w:firstLineChars="200"/>
              <w:rPr>
                <w:color w:val="auto"/>
                <w:szCs w:val="24"/>
              </w:rPr>
            </w:pPr>
            <w:r>
              <w:rPr>
                <w:color w:val="auto"/>
                <w:szCs w:val="24"/>
              </w:rPr>
              <w:t>6）要求施工单位文明施工，定期对地面洒水，并对撒落在路面的渣土及时清除，清理阶段做到先洒水后清扫，避免产生扬尘对</w:t>
            </w:r>
            <w:r>
              <w:rPr>
                <w:rFonts w:hint="eastAsia"/>
                <w:color w:val="auto"/>
                <w:szCs w:val="24"/>
                <w:lang w:val="en-US" w:eastAsia="zh-CN"/>
              </w:rPr>
              <w:t>环境</w:t>
            </w:r>
            <w:r>
              <w:rPr>
                <w:color w:val="auto"/>
                <w:szCs w:val="24"/>
              </w:rPr>
              <w:t>造成影响；</w:t>
            </w:r>
          </w:p>
          <w:p>
            <w:pPr>
              <w:pStyle w:val="141"/>
              <w:spacing w:line="360" w:lineRule="auto"/>
              <w:ind w:firstLine="480" w:firstLineChars="200"/>
              <w:rPr>
                <w:color w:val="auto"/>
                <w:szCs w:val="24"/>
              </w:rPr>
            </w:pPr>
            <w:r>
              <w:rPr>
                <w:rFonts w:hint="eastAsia"/>
                <w:color w:val="auto"/>
                <w:szCs w:val="24"/>
                <w:lang w:val="en-US" w:eastAsia="zh-CN"/>
              </w:rPr>
              <w:t>7</w:t>
            </w:r>
            <w:r>
              <w:rPr>
                <w:color w:val="auto"/>
                <w:szCs w:val="24"/>
              </w:rPr>
              <w:t>）</w:t>
            </w:r>
            <w:r>
              <w:rPr>
                <w:rFonts w:hint="eastAsia" w:cs="Times New Roman"/>
                <w:color w:val="auto"/>
                <w:kern w:val="0"/>
                <w:sz w:val="21"/>
                <w:szCs w:val="21"/>
                <w:lang w:val="en-US" w:eastAsia="zh-CN"/>
              </w:rPr>
              <w:t>本项目为抢险救灾工程，根据达州市重污染天气应急预案，本项目可在重污染天气实施，同时已按照要求落实了预案提出的“六必须、六不准”以及重污染天气增加</w:t>
            </w:r>
            <w:r>
              <w:rPr>
                <w:rFonts w:ascii="Times New Roman" w:hAnsi="Times New Roman"/>
                <w:color w:val="auto"/>
              </w:rPr>
              <w:t>洒水</w:t>
            </w:r>
            <w:r>
              <w:rPr>
                <w:rFonts w:hint="eastAsia" w:ascii="Times New Roman" w:hAnsi="Times New Roman"/>
                <w:color w:val="auto"/>
                <w:lang w:val="en-US" w:eastAsia="zh-CN"/>
              </w:rPr>
              <w:t>频次</w:t>
            </w:r>
            <w:r>
              <w:rPr>
                <w:rFonts w:ascii="Times New Roman" w:hAnsi="Times New Roman"/>
                <w:color w:val="auto"/>
              </w:rPr>
              <w:t>、</w:t>
            </w:r>
            <w:r>
              <w:rPr>
                <w:rFonts w:hint="eastAsia" w:ascii="Times New Roman" w:hAnsi="Times New Roman"/>
                <w:color w:val="auto"/>
                <w:lang w:val="en-US" w:eastAsia="zh-CN"/>
              </w:rPr>
              <w:t>裸露场地全覆盖等措施。</w:t>
            </w:r>
          </w:p>
          <w:p>
            <w:pPr>
              <w:pStyle w:val="14"/>
              <w:spacing w:line="360" w:lineRule="auto"/>
              <w:ind w:firstLine="480" w:firstLineChars="200"/>
              <w:rPr>
                <w:rFonts w:ascii="Times New Roman" w:hAnsi="Times New Roman"/>
                <w:bCs/>
                <w:color w:val="auto"/>
                <w:sz w:val="24"/>
              </w:rPr>
            </w:pPr>
            <w:r>
              <w:rPr>
                <w:rFonts w:hint="eastAsia" w:ascii="Times New Roman" w:hAnsi="Times New Roman"/>
                <w:bCs/>
                <w:color w:val="auto"/>
                <w:sz w:val="24"/>
                <w:lang w:val="en-US" w:eastAsia="zh-CN"/>
              </w:rPr>
              <w:t>8</w:t>
            </w:r>
            <w:r>
              <w:rPr>
                <w:rFonts w:ascii="Times New Roman" w:hAnsi="Times New Roman"/>
                <w:bCs/>
                <w:color w:val="auto"/>
                <w:sz w:val="24"/>
              </w:rPr>
              <w:t>）</w:t>
            </w:r>
            <w:r>
              <w:rPr>
                <w:rFonts w:hint="eastAsia" w:ascii="Times New Roman" w:hAnsi="Times New Roman"/>
                <w:bCs/>
                <w:color w:val="auto"/>
                <w:sz w:val="24"/>
                <w:lang w:val="en-US" w:eastAsia="zh-CN"/>
              </w:rPr>
              <w:t>临时表土和</w:t>
            </w:r>
            <w:r>
              <w:rPr>
                <w:rFonts w:ascii="Times New Roman" w:hAnsi="Times New Roman"/>
                <w:bCs/>
                <w:color w:val="auto"/>
                <w:sz w:val="24"/>
              </w:rPr>
              <w:t>弃土</w:t>
            </w:r>
            <w:r>
              <w:rPr>
                <w:rFonts w:hint="eastAsia" w:ascii="Times New Roman" w:hAnsi="Times New Roman"/>
                <w:bCs/>
                <w:color w:val="auto"/>
                <w:sz w:val="24"/>
                <w:lang w:val="en-US" w:eastAsia="zh-CN"/>
              </w:rPr>
              <w:t>堆场采用</w:t>
            </w:r>
            <w:r>
              <w:rPr>
                <w:rFonts w:ascii="Times New Roman" w:hAnsi="Times New Roman"/>
                <w:bCs/>
                <w:color w:val="auto"/>
                <w:sz w:val="24"/>
              </w:rPr>
              <w:t>覆盖防尘网、洒水控尘；出场口设置</w:t>
            </w:r>
            <w:r>
              <w:rPr>
                <w:rFonts w:hint="eastAsia" w:ascii="Times New Roman" w:hAnsi="Times New Roman"/>
                <w:bCs/>
                <w:color w:val="auto"/>
                <w:sz w:val="24"/>
                <w:lang w:val="en-US" w:eastAsia="zh-CN"/>
              </w:rPr>
              <w:t>了</w:t>
            </w:r>
            <w:r>
              <w:rPr>
                <w:rFonts w:ascii="Times New Roman" w:hAnsi="Times New Roman"/>
                <w:bCs/>
                <w:color w:val="auto"/>
                <w:sz w:val="24"/>
              </w:rPr>
              <w:t>车辆冲洗设施，轮胎冲洗干净后</w:t>
            </w:r>
            <w:r>
              <w:rPr>
                <w:rFonts w:hint="eastAsia" w:ascii="Times New Roman" w:hAnsi="Times New Roman"/>
                <w:bCs/>
                <w:color w:val="auto"/>
                <w:sz w:val="24"/>
                <w:lang w:val="en-US" w:eastAsia="zh-CN"/>
              </w:rPr>
              <w:t>进</w:t>
            </w:r>
            <w:r>
              <w:rPr>
                <w:rFonts w:ascii="Times New Roman" w:hAnsi="Times New Roman"/>
                <w:bCs/>
                <w:color w:val="auto"/>
                <w:sz w:val="24"/>
              </w:rPr>
              <w:t>出场。由于施工工期相对较短，随着施工结束，扬尘的影响也随之结束</w:t>
            </w:r>
            <w:r>
              <w:rPr>
                <w:rFonts w:hint="eastAsia" w:ascii="Times New Roman" w:hAnsi="Times New Roman"/>
                <w:bCs/>
                <w:color w:val="auto"/>
                <w:sz w:val="24"/>
                <w:lang w:val="en-US" w:eastAsia="zh-CN"/>
              </w:rPr>
              <w:t>了</w:t>
            </w:r>
            <w:r>
              <w:rPr>
                <w:rFonts w:ascii="Times New Roman" w:hAnsi="Times New Roman"/>
                <w:bCs/>
                <w:color w:val="auto"/>
                <w:sz w:val="24"/>
              </w:rPr>
              <w:t>。</w:t>
            </w:r>
          </w:p>
          <w:p>
            <w:pPr>
              <w:pStyle w:val="14"/>
              <w:spacing w:line="360" w:lineRule="auto"/>
              <w:ind w:firstLine="482" w:firstLineChars="200"/>
              <w:rPr>
                <w:rFonts w:ascii="Times New Roman" w:hAnsi="Times New Roman"/>
                <w:color w:val="auto"/>
                <w:sz w:val="24"/>
                <w:u w:val="single"/>
              </w:rPr>
            </w:pPr>
            <w:r>
              <w:rPr>
                <w:rFonts w:ascii="Times New Roman" w:hAnsi="Times New Roman"/>
                <w:b/>
                <w:color w:val="auto"/>
                <w:sz w:val="24"/>
                <w:u w:val="single"/>
              </w:rPr>
              <w:t>综上，项目施工期对施工场地周围的环境空气质量造成</w:t>
            </w:r>
            <w:r>
              <w:rPr>
                <w:rFonts w:hint="eastAsia" w:ascii="Times New Roman" w:hAnsi="Times New Roman"/>
                <w:b/>
                <w:color w:val="auto"/>
                <w:sz w:val="24"/>
                <w:u w:val="single"/>
                <w:lang w:val="en-US" w:eastAsia="zh-CN"/>
              </w:rPr>
              <w:t>了</w:t>
            </w:r>
            <w:r>
              <w:rPr>
                <w:rFonts w:ascii="Times New Roman" w:hAnsi="Times New Roman"/>
                <w:b/>
                <w:color w:val="auto"/>
                <w:sz w:val="24"/>
                <w:u w:val="single"/>
              </w:rPr>
              <w:t>一定影响，但在采取</w:t>
            </w:r>
            <w:r>
              <w:rPr>
                <w:rFonts w:hint="eastAsia" w:ascii="Times New Roman" w:hAnsi="Times New Roman"/>
                <w:b/>
                <w:color w:val="auto"/>
                <w:sz w:val="24"/>
                <w:u w:val="single"/>
                <w:lang w:val="en-US" w:eastAsia="zh-CN"/>
              </w:rPr>
              <w:t>了</w:t>
            </w:r>
            <w:r>
              <w:rPr>
                <w:rFonts w:ascii="Times New Roman" w:hAnsi="Times New Roman"/>
                <w:b/>
                <w:color w:val="auto"/>
                <w:sz w:val="24"/>
                <w:u w:val="single"/>
              </w:rPr>
              <w:t>上述措施后，有效降低</w:t>
            </w:r>
            <w:r>
              <w:rPr>
                <w:rFonts w:hint="eastAsia" w:ascii="Times New Roman" w:hAnsi="Times New Roman"/>
                <w:b/>
                <w:color w:val="auto"/>
                <w:sz w:val="24"/>
                <w:u w:val="single"/>
                <w:lang w:val="en-US" w:eastAsia="zh-CN"/>
              </w:rPr>
              <w:t>了施工期扬尘</w:t>
            </w:r>
            <w:r>
              <w:rPr>
                <w:rFonts w:ascii="Times New Roman" w:hAnsi="Times New Roman"/>
                <w:b/>
                <w:color w:val="auto"/>
                <w:sz w:val="24"/>
                <w:u w:val="single"/>
              </w:rPr>
              <w:t>对周边环境的影响</w:t>
            </w:r>
            <w:r>
              <w:rPr>
                <w:rFonts w:hint="eastAsia" w:ascii="Times New Roman" w:hAnsi="Times New Roman"/>
                <w:b/>
                <w:color w:val="auto"/>
                <w:sz w:val="24"/>
                <w:u w:val="single"/>
                <w:lang w:eastAsia="zh-CN"/>
              </w:rPr>
              <w:t>，</w:t>
            </w:r>
            <w:r>
              <w:rPr>
                <w:rFonts w:hint="eastAsia" w:ascii="Times New Roman" w:hAnsi="Times New Roman"/>
                <w:b/>
                <w:color w:val="auto"/>
                <w:sz w:val="24"/>
                <w:u w:val="single"/>
                <w:lang w:val="en-US" w:eastAsia="zh-CN"/>
              </w:rPr>
              <w:t>根据现场勘查及走访调查，施工期间未发生施工扬尘污染事件，施工期未受到环保投诉</w:t>
            </w:r>
            <w:r>
              <w:rPr>
                <w:rFonts w:ascii="Times New Roman" w:hAnsi="Times New Roman"/>
                <w:b/>
                <w:color w:val="auto"/>
                <w:sz w:val="24"/>
                <w:u w:val="single"/>
              </w:rPr>
              <w:t>。</w:t>
            </w:r>
          </w:p>
          <w:p>
            <w:pPr>
              <w:pStyle w:val="141"/>
              <w:spacing w:line="360" w:lineRule="auto"/>
              <w:ind w:firstLineChars="200"/>
              <w:rPr>
                <w:b/>
                <w:color w:val="auto"/>
              </w:rPr>
            </w:pPr>
            <w:r>
              <w:rPr>
                <w:b/>
                <w:color w:val="auto"/>
              </w:rPr>
              <w:t>（2）施工机械尾气</w:t>
            </w:r>
          </w:p>
          <w:p>
            <w:pPr>
              <w:spacing w:line="360" w:lineRule="auto"/>
              <w:ind w:firstLine="480" w:firstLineChars="200"/>
              <w:rPr>
                <w:bCs/>
                <w:color w:val="auto"/>
                <w:sz w:val="24"/>
              </w:rPr>
            </w:pPr>
            <w:r>
              <w:rPr>
                <w:bCs/>
                <w:color w:val="auto"/>
                <w:sz w:val="24"/>
              </w:rPr>
              <w:t>本项目燃油废气主要来源于土建施工时运输车辆、挖掘机等设备产生的尾气。</w:t>
            </w:r>
          </w:p>
          <w:p>
            <w:pPr>
              <w:spacing w:line="360" w:lineRule="auto"/>
              <w:ind w:firstLine="480" w:firstLineChars="200"/>
              <w:rPr>
                <w:rFonts w:hint="eastAsia"/>
                <w:bCs/>
                <w:color w:val="auto"/>
                <w:sz w:val="24"/>
                <w:lang w:eastAsia="zh-CN"/>
              </w:rPr>
            </w:pPr>
            <w:r>
              <w:rPr>
                <w:bCs/>
                <w:color w:val="auto"/>
                <w:sz w:val="24"/>
              </w:rPr>
              <w:t>汽车尾气放的污染物主要有CO、NO×、THC。其特点是产生量较小，属间歇式、分散式排放，其污染程度相对较轻。据相关文献资料，在距离施工现场50m处CO、NO</w:t>
            </w:r>
            <w:r>
              <w:rPr>
                <w:bCs/>
                <w:color w:val="auto"/>
                <w:sz w:val="24"/>
                <w:vertAlign w:val="subscript"/>
              </w:rPr>
              <w:t>2</w:t>
            </w:r>
            <w:r>
              <w:rPr>
                <w:bCs/>
                <w:color w:val="auto"/>
                <w:sz w:val="24"/>
              </w:rPr>
              <w:t>1小时平均浓度分别为0.2mg/m</w:t>
            </w:r>
            <w:r>
              <w:rPr>
                <w:bCs/>
                <w:color w:val="auto"/>
                <w:sz w:val="24"/>
                <w:vertAlign w:val="superscript"/>
              </w:rPr>
              <w:t>3</w:t>
            </w:r>
            <w:r>
              <w:rPr>
                <w:bCs/>
                <w:color w:val="auto"/>
                <w:sz w:val="24"/>
              </w:rPr>
              <w:t>和0.13mg/m</w:t>
            </w:r>
            <w:r>
              <w:rPr>
                <w:bCs/>
                <w:color w:val="auto"/>
                <w:sz w:val="24"/>
                <w:vertAlign w:val="superscript"/>
              </w:rPr>
              <w:t>3</w:t>
            </w:r>
            <w:r>
              <w:rPr>
                <w:bCs/>
                <w:color w:val="auto"/>
                <w:sz w:val="24"/>
              </w:rPr>
              <w:t>；日平均浓度分别为0.13mg/m</w:t>
            </w:r>
            <w:r>
              <w:rPr>
                <w:bCs/>
                <w:color w:val="auto"/>
                <w:sz w:val="24"/>
                <w:vertAlign w:val="superscript"/>
              </w:rPr>
              <w:t>3</w:t>
            </w:r>
            <w:r>
              <w:rPr>
                <w:bCs/>
                <w:color w:val="auto"/>
                <w:sz w:val="24"/>
              </w:rPr>
              <w:t>和0.062mg/m</w:t>
            </w:r>
            <w:r>
              <w:rPr>
                <w:bCs/>
                <w:color w:val="auto"/>
                <w:sz w:val="24"/>
                <w:vertAlign w:val="superscript"/>
              </w:rPr>
              <w:t>3</w:t>
            </w:r>
            <w:r>
              <w:rPr>
                <w:bCs/>
                <w:color w:val="auto"/>
                <w:sz w:val="24"/>
              </w:rPr>
              <w:t>，均满足国家环境空气质量标准二级标准的要求</w:t>
            </w:r>
            <w:r>
              <w:rPr>
                <w:rFonts w:hint="eastAsia"/>
                <w:bCs/>
                <w:color w:val="auto"/>
                <w:sz w:val="24"/>
                <w:lang w:eastAsia="zh-CN"/>
              </w:rPr>
              <w:t>。</w:t>
            </w:r>
          </w:p>
          <w:p>
            <w:pPr>
              <w:spacing w:line="360" w:lineRule="auto"/>
              <w:ind w:firstLine="482" w:firstLineChars="200"/>
              <w:rPr>
                <w:rFonts w:hint="default" w:eastAsia="宋体"/>
                <w:b/>
                <w:bCs w:val="0"/>
                <w:color w:val="auto"/>
                <w:sz w:val="24"/>
                <w:u w:val="single"/>
                <w:lang w:val="en-US" w:eastAsia="zh-CN"/>
              </w:rPr>
            </w:pPr>
            <w:r>
              <w:rPr>
                <w:rFonts w:hint="eastAsia"/>
                <w:b/>
                <w:bCs w:val="0"/>
                <w:color w:val="auto"/>
                <w:sz w:val="24"/>
                <w:u w:val="single"/>
                <w:lang w:val="en-US" w:eastAsia="zh-CN"/>
              </w:rPr>
              <w:t>本项目施工场地空旷，自然扩散条件良好，施工期车辆及机械设备尾气通过自然扩散排入大气，施工期未对环境空气造成明显影响</w:t>
            </w:r>
            <w:r>
              <w:rPr>
                <w:b/>
                <w:bCs w:val="0"/>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三、施工期地表水环境保护措施</w:t>
            </w:r>
          </w:p>
          <w:p>
            <w:pPr>
              <w:pStyle w:val="14"/>
              <w:spacing w:line="360" w:lineRule="auto"/>
              <w:ind w:firstLine="482" w:firstLineChars="200"/>
              <w:rPr>
                <w:rFonts w:ascii="Times New Roman" w:hAnsi="Times New Roman"/>
                <w:b/>
                <w:bCs/>
                <w:color w:val="auto"/>
                <w:sz w:val="24"/>
              </w:rPr>
            </w:pPr>
            <w:r>
              <w:rPr>
                <w:rFonts w:ascii="Times New Roman" w:hAnsi="Times New Roman"/>
                <w:b/>
                <w:bCs/>
                <w:color w:val="auto"/>
                <w:sz w:val="24"/>
              </w:rPr>
              <w:t>（1）施工场地生产废水</w:t>
            </w:r>
          </w:p>
          <w:p>
            <w:pPr>
              <w:pStyle w:val="14"/>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本项目</w:t>
            </w:r>
            <w:r>
              <w:rPr>
                <w:rFonts w:ascii="Times New Roman" w:hAnsi="Times New Roman"/>
                <w:color w:val="auto"/>
                <w:sz w:val="24"/>
              </w:rPr>
              <w:t>施工生产废水主要包含混凝土养护废水、降尘废水、设备冲洗水、场地冲洗水等，主要污染物为少量的石油类和SS，</w:t>
            </w:r>
            <w:r>
              <w:rPr>
                <w:rFonts w:ascii="Times New Roman" w:hAnsi="Times New Roman"/>
                <w:b/>
                <w:bCs/>
                <w:color w:val="auto"/>
                <w:sz w:val="24"/>
                <w:u w:val="single"/>
              </w:rPr>
              <w:t>施工场地产生的生产废水通过收集后进入沉淀池处理后</w:t>
            </w:r>
            <w:r>
              <w:rPr>
                <w:rFonts w:hint="eastAsia" w:ascii="Times New Roman" w:hAnsi="Times New Roman"/>
                <w:b/>
                <w:bCs/>
                <w:color w:val="auto"/>
                <w:sz w:val="24"/>
                <w:u w:val="single"/>
                <w:lang w:val="en-US" w:eastAsia="zh-CN"/>
              </w:rPr>
              <w:t>全部</w:t>
            </w:r>
            <w:r>
              <w:rPr>
                <w:rFonts w:ascii="Times New Roman" w:hAnsi="Times New Roman"/>
                <w:b/>
                <w:bCs/>
                <w:color w:val="auto"/>
                <w:sz w:val="24"/>
                <w:u w:val="single"/>
              </w:rPr>
              <w:t>回用，</w:t>
            </w:r>
            <w:r>
              <w:rPr>
                <w:rFonts w:hint="eastAsia" w:ascii="Times New Roman" w:hAnsi="Times New Roman"/>
                <w:b/>
                <w:bCs/>
                <w:color w:val="auto"/>
                <w:sz w:val="24"/>
                <w:u w:val="single"/>
                <w:lang w:val="en-US" w:eastAsia="zh-CN"/>
              </w:rPr>
              <w:t>未</w:t>
            </w:r>
            <w:r>
              <w:rPr>
                <w:rFonts w:ascii="Times New Roman" w:hAnsi="Times New Roman"/>
                <w:b/>
                <w:bCs/>
                <w:color w:val="auto"/>
                <w:sz w:val="24"/>
                <w:u w:val="single"/>
              </w:rPr>
              <w:t>外排</w:t>
            </w:r>
            <w:r>
              <w:rPr>
                <w:rFonts w:hint="eastAsia" w:ascii="Times New Roman" w:hAnsi="Times New Roman"/>
                <w:b/>
                <w:bCs/>
                <w:color w:val="auto"/>
                <w:sz w:val="24"/>
                <w:u w:val="single"/>
                <w:lang w:eastAsia="zh-CN"/>
              </w:rPr>
              <w:t>，</w:t>
            </w:r>
            <w:r>
              <w:rPr>
                <w:rFonts w:hint="eastAsia" w:ascii="Times New Roman" w:hAnsi="Times New Roman"/>
                <w:b/>
                <w:bCs/>
                <w:color w:val="auto"/>
                <w:sz w:val="24"/>
                <w:u w:val="single"/>
                <w:lang w:val="en-US" w:eastAsia="zh-CN"/>
              </w:rPr>
              <w:t>未对周边地表水环境造成明显影响</w:t>
            </w:r>
            <w:r>
              <w:rPr>
                <w:rFonts w:ascii="Times New Roman" w:hAnsi="Times New Roman"/>
                <w:b/>
                <w:bCs/>
                <w:color w:val="auto"/>
                <w:sz w:val="24"/>
                <w:u w:val="single"/>
              </w:rPr>
              <w:t>。</w:t>
            </w:r>
          </w:p>
          <w:p>
            <w:pPr>
              <w:pStyle w:val="14"/>
              <w:spacing w:line="360" w:lineRule="auto"/>
              <w:ind w:firstLine="482" w:firstLineChars="200"/>
              <w:rPr>
                <w:rFonts w:ascii="Times New Roman" w:hAnsi="Times New Roman"/>
                <w:b/>
                <w:bCs/>
                <w:color w:val="auto"/>
                <w:sz w:val="24"/>
                <w:u w:val="single"/>
              </w:rPr>
            </w:pPr>
            <w:r>
              <w:rPr>
                <w:rFonts w:hint="eastAsia" w:ascii="Times New Roman" w:hAnsi="Times New Roman"/>
                <w:b/>
                <w:bCs/>
                <w:color w:val="auto"/>
                <w:sz w:val="24"/>
                <w:u w:val="single"/>
                <w:lang w:val="en-US" w:eastAsia="zh-CN"/>
              </w:rPr>
              <w:t>本项目施工期临时堆土场、</w:t>
            </w:r>
            <w:r>
              <w:rPr>
                <w:rFonts w:ascii="Times New Roman" w:hAnsi="Times New Roman"/>
                <w:b/>
                <w:bCs/>
                <w:color w:val="auto"/>
                <w:sz w:val="24"/>
                <w:u w:val="single"/>
              </w:rPr>
              <w:t>物料堆场等设在暴雨径流冲刷影响小的地方，同时在四周</w:t>
            </w:r>
            <w:r>
              <w:rPr>
                <w:rFonts w:hint="eastAsia" w:ascii="Times New Roman" w:hAnsi="Times New Roman"/>
                <w:b/>
                <w:bCs/>
                <w:color w:val="auto"/>
                <w:sz w:val="24"/>
                <w:u w:val="single"/>
                <w:lang w:val="en-US" w:eastAsia="zh-CN"/>
              </w:rPr>
              <w:t>设置了截排水</w:t>
            </w:r>
            <w:r>
              <w:rPr>
                <w:rFonts w:ascii="Times New Roman" w:hAnsi="Times New Roman"/>
                <w:b/>
                <w:bCs/>
                <w:color w:val="auto"/>
                <w:sz w:val="24"/>
                <w:u w:val="single"/>
              </w:rPr>
              <w:t>沟、沉淀池，</w:t>
            </w:r>
            <w:r>
              <w:rPr>
                <w:rFonts w:hint="eastAsia" w:ascii="Times New Roman" w:hAnsi="Times New Roman"/>
                <w:b/>
                <w:bCs/>
                <w:color w:val="auto"/>
                <w:sz w:val="24"/>
                <w:u w:val="single"/>
                <w:lang w:val="en-US" w:eastAsia="zh-CN"/>
              </w:rPr>
              <w:t>施工期对临时堆土场、临时</w:t>
            </w:r>
            <w:r>
              <w:rPr>
                <w:rFonts w:ascii="Times New Roman" w:hAnsi="Times New Roman"/>
                <w:b/>
                <w:bCs/>
                <w:color w:val="auto"/>
                <w:sz w:val="24"/>
                <w:u w:val="single"/>
              </w:rPr>
              <w:t>物料堆场等</w:t>
            </w:r>
            <w:r>
              <w:rPr>
                <w:rFonts w:hint="eastAsia" w:ascii="Times New Roman" w:hAnsi="Times New Roman"/>
                <w:b/>
                <w:bCs/>
                <w:color w:val="auto"/>
                <w:sz w:val="24"/>
                <w:u w:val="single"/>
                <w:lang w:val="en-US" w:eastAsia="zh-CN"/>
              </w:rPr>
              <w:t>采用遮盖</w:t>
            </w:r>
            <w:r>
              <w:rPr>
                <w:rFonts w:ascii="Times New Roman" w:hAnsi="Times New Roman"/>
                <w:b/>
                <w:bCs/>
                <w:color w:val="auto"/>
                <w:sz w:val="24"/>
                <w:u w:val="single"/>
              </w:rPr>
              <w:t>等</w:t>
            </w:r>
            <w:r>
              <w:rPr>
                <w:rFonts w:hint="eastAsia" w:ascii="Times New Roman" w:hAnsi="Times New Roman"/>
                <w:b/>
                <w:bCs/>
                <w:color w:val="auto"/>
                <w:sz w:val="24"/>
                <w:u w:val="single"/>
                <w:lang w:val="en-US" w:eastAsia="zh-CN"/>
              </w:rPr>
              <w:t>措施</w:t>
            </w:r>
            <w:r>
              <w:rPr>
                <w:rFonts w:ascii="Times New Roman" w:hAnsi="Times New Roman"/>
                <w:b/>
                <w:bCs/>
                <w:color w:val="auto"/>
                <w:sz w:val="24"/>
                <w:u w:val="single"/>
              </w:rPr>
              <w:t>，</w:t>
            </w:r>
            <w:r>
              <w:rPr>
                <w:rFonts w:hint="eastAsia" w:ascii="Times New Roman" w:hAnsi="Times New Roman"/>
                <w:b/>
                <w:bCs/>
                <w:color w:val="auto"/>
                <w:sz w:val="24"/>
                <w:u w:val="single"/>
                <w:lang w:val="en-US" w:eastAsia="zh-CN"/>
              </w:rPr>
              <w:t>有效</w:t>
            </w:r>
            <w:r>
              <w:rPr>
                <w:rFonts w:ascii="Times New Roman" w:hAnsi="Times New Roman"/>
                <w:b/>
                <w:bCs/>
                <w:color w:val="auto"/>
                <w:sz w:val="24"/>
                <w:u w:val="single"/>
              </w:rPr>
              <w:t>防止</w:t>
            </w:r>
            <w:r>
              <w:rPr>
                <w:rFonts w:hint="eastAsia" w:ascii="Times New Roman" w:hAnsi="Times New Roman"/>
                <w:b/>
                <w:bCs/>
                <w:color w:val="auto"/>
                <w:sz w:val="24"/>
                <w:u w:val="single"/>
                <w:lang w:val="en-US" w:eastAsia="zh-CN"/>
              </w:rPr>
              <w:t>了</w:t>
            </w:r>
            <w:r>
              <w:rPr>
                <w:rFonts w:ascii="Times New Roman" w:hAnsi="Times New Roman"/>
                <w:b/>
                <w:bCs/>
                <w:color w:val="auto"/>
                <w:sz w:val="24"/>
                <w:u w:val="single"/>
              </w:rPr>
              <w:t>被暴雨</w:t>
            </w:r>
            <w:r>
              <w:rPr>
                <w:rFonts w:hint="eastAsia" w:ascii="Times New Roman" w:hAnsi="Times New Roman"/>
                <w:b/>
                <w:bCs/>
                <w:color w:val="auto"/>
                <w:sz w:val="24"/>
                <w:u w:val="single"/>
                <w:lang w:val="en-US" w:eastAsia="zh-CN"/>
              </w:rPr>
              <w:t>冲刷</w:t>
            </w:r>
            <w:r>
              <w:rPr>
                <w:rFonts w:ascii="Times New Roman" w:hAnsi="Times New Roman"/>
                <w:b/>
                <w:bCs/>
                <w:color w:val="auto"/>
                <w:sz w:val="24"/>
                <w:u w:val="single"/>
              </w:rPr>
              <w:t>进入地表水体</w:t>
            </w:r>
            <w:r>
              <w:rPr>
                <w:rFonts w:hint="eastAsia" w:ascii="Times New Roman" w:hAnsi="Times New Roman"/>
                <w:b/>
                <w:bCs/>
                <w:color w:val="auto"/>
                <w:sz w:val="24"/>
                <w:u w:val="single"/>
                <w:lang w:val="en-US" w:eastAsia="zh-CN"/>
              </w:rPr>
              <w:t>造成污染</w:t>
            </w:r>
            <w:r>
              <w:rPr>
                <w:rFonts w:ascii="Times New Roman" w:hAnsi="Times New Roman"/>
                <w:b/>
                <w:bCs/>
                <w:color w:val="auto"/>
                <w:sz w:val="24"/>
                <w:u w:val="single"/>
              </w:rPr>
              <w:t>。</w:t>
            </w:r>
          </w:p>
          <w:p>
            <w:pPr>
              <w:pStyle w:val="14"/>
              <w:spacing w:line="360" w:lineRule="auto"/>
              <w:ind w:firstLine="482" w:firstLineChars="200"/>
              <w:rPr>
                <w:rFonts w:ascii="Times New Roman" w:hAnsi="Times New Roman"/>
                <w:b/>
                <w:bCs/>
                <w:color w:val="auto"/>
                <w:sz w:val="24"/>
              </w:rPr>
            </w:pPr>
            <w:r>
              <w:rPr>
                <w:rFonts w:ascii="Times New Roman" w:hAnsi="Times New Roman"/>
                <w:b/>
                <w:bCs/>
                <w:color w:val="auto"/>
                <w:sz w:val="24"/>
              </w:rPr>
              <w:t>（3）施工人员生活污水</w:t>
            </w:r>
          </w:p>
          <w:p>
            <w:pPr>
              <w:spacing w:line="360" w:lineRule="auto"/>
              <w:ind w:firstLine="482"/>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b/>
                <w:bCs/>
                <w:color w:val="auto"/>
                <w:sz w:val="24"/>
                <w:u w:val="single"/>
                <w:lang w:val="en-US" w:eastAsia="zh-CN"/>
              </w:rPr>
              <w:t>本项目</w:t>
            </w:r>
            <w:r>
              <w:rPr>
                <w:rFonts w:ascii="Times New Roman" w:hAnsi="Times New Roman"/>
                <w:b/>
                <w:bCs/>
                <w:color w:val="auto"/>
                <w:sz w:val="24"/>
                <w:u w:val="single"/>
              </w:rPr>
              <w:t>施工人员生活污水</w:t>
            </w:r>
            <w:r>
              <w:rPr>
                <w:rFonts w:hint="eastAsia"/>
                <w:b/>
                <w:bCs/>
                <w:color w:val="auto"/>
                <w:sz w:val="24"/>
                <w:u w:val="single"/>
                <w:lang w:val="en-US" w:eastAsia="zh-CN"/>
              </w:rPr>
              <w:t>经</w:t>
            </w:r>
            <w:r>
              <w:rPr>
                <w:rFonts w:hint="eastAsia" w:cs="Times New Roman"/>
                <w:b/>
                <w:bCs/>
                <w:color w:val="auto"/>
                <w:sz w:val="24"/>
                <w:szCs w:val="24"/>
                <w:u w:val="single"/>
                <w:lang w:val="en-US" w:eastAsia="zh-CN"/>
              </w:rPr>
              <w:t>值班室</w:t>
            </w:r>
            <w:r>
              <w:rPr>
                <w:rFonts w:hint="eastAsia" w:ascii="Times New Roman" w:hAnsi="Times New Roman" w:eastAsia="宋体" w:cs="Times New Roman"/>
                <w:b/>
                <w:bCs/>
                <w:color w:val="auto"/>
                <w:sz w:val="24"/>
                <w:szCs w:val="24"/>
                <w:u w:val="single"/>
                <w:lang w:val="en-US" w:eastAsia="zh-CN"/>
              </w:rPr>
              <w:t>化粪池收集后，经该项目建设的污水管道接入园区污水管网，最终经园区污水厂处理后达标排入东柳河。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四、施工期声环境保护措施</w:t>
            </w:r>
          </w:p>
          <w:p>
            <w:pPr>
              <w:pStyle w:val="14"/>
              <w:spacing w:line="360" w:lineRule="auto"/>
              <w:ind w:firstLine="480" w:firstLineChars="200"/>
              <w:rPr>
                <w:rFonts w:ascii="Times New Roman" w:hAnsi="Times New Roman"/>
                <w:bCs/>
                <w:color w:val="auto"/>
                <w:sz w:val="24"/>
              </w:rPr>
            </w:pPr>
            <w:r>
              <w:rPr>
                <w:rFonts w:ascii="Times New Roman" w:hAnsi="Times New Roman"/>
                <w:bCs/>
                <w:color w:val="auto"/>
                <w:sz w:val="24"/>
              </w:rPr>
              <w:t>噪声为瞬时性影响，声波能量在时间上不具累积性，故噪声防护以保证敏感点区域声环境质量满足环境功能要求为控制目标，昼、夜噪声控制标准分别为</w:t>
            </w:r>
            <w:r>
              <w:rPr>
                <w:rFonts w:hint="eastAsia" w:ascii="Times New Roman" w:hAnsi="Times New Roman"/>
                <w:bCs/>
                <w:color w:val="auto"/>
                <w:sz w:val="24"/>
                <w:lang w:val="en-US" w:eastAsia="zh-CN"/>
              </w:rPr>
              <w:t>65</w:t>
            </w:r>
            <w:r>
              <w:rPr>
                <w:rFonts w:ascii="Times New Roman" w:hAnsi="Times New Roman"/>
                <w:bCs/>
                <w:color w:val="auto"/>
                <w:sz w:val="24"/>
              </w:rPr>
              <w:t>dB（A）、</w:t>
            </w:r>
            <w:r>
              <w:rPr>
                <w:rFonts w:hint="eastAsia" w:ascii="Times New Roman" w:hAnsi="Times New Roman"/>
                <w:bCs/>
                <w:color w:val="auto"/>
                <w:sz w:val="24"/>
                <w:lang w:val="en-US" w:eastAsia="zh-CN"/>
              </w:rPr>
              <w:t>55</w:t>
            </w:r>
            <w:r>
              <w:rPr>
                <w:rFonts w:ascii="Times New Roman" w:hAnsi="Times New Roman"/>
                <w:bCs/>
                <w:color w:val="auto"/>
                <w:sz w:val="24"/>
              </w:rPr>
              <w:t>dB（A）。</w:t>
            </w:r>
          </w:p>
          <w:p>
            <w:pPr>
              <w:pStyle w:val="14"/>
              <w:spacing w:line="360" w:lineRule="auto"/>
              <w:ind w:firstLine="482" w:firstLineChars="200"/>
              <w:rPr>
                <w:rFonts w:ascii="Times New Roman" w:hAnsi="Times New Roman"/>
                <w:b/>
                <w:color w:val="auto"/>
                <w:sz w:val="24"/>
              </w:rPr>
            </w:pPr>
            <w:r>
              <w:rPr>
                <w:rFonts w:ascii="Times New Roman" w:hAnsi="Times New Roman"/>
                <w:b/>
                <w:color w:val="auto"/>
                <w:sz w:val="24"/>
              </w:rPr>
              <w:t>（1）环保措施</w:t>
            </w:r>
          </w:p>
          <w:p>
            <w:pPr>
              <w:pStyle w:val="14"/>
              <w:spacing w:line="360" w:lineRule="auto"/>
              <w:ind w:firstLine="480" w:firstLineChars="200"/>
              <w:rPr>
                <w:rFonts w:ascii="Times New Roman" w:hAnsi="Times New Roman"/>
                <w:bCs/>
                <w:color w:val="auto"/>
                <w:sz w:val="24"/>
              </w:rPr>
            </w:pPr>
            <w:r>
              <w:rPr>
                <w:rFonts w:ascii="Times New Roman" w:hAnsi="Times New Roman"/>
                <w:bCs/>
                <w:color w:val="auto"/>
                <w:sz w:val="24"/>
              </w:rPr>
              <w:t>1）从声源上控制：选用符合环保规定的低噪声机械设备，同时在施工过程中施工单位设专人对设备进行定期保养和维护，并负责对现场工作人员进行培训，严格按操作规范使用各类机械，高噪声设备安装减震垫。</w:t>
            </w:r>
          </w:p>
          <w:p>
            <w:pPr>
              <w:pStyle w:val="14"/>
              <w:spacing w:line="360" w:lineRule="auto"/>
              <w:ind w:firstLine="480" w:firstLineChars="200"/>
              <w:rPr>
                <w:rFonts w:ascii="Times New Roman" w:hAnsi="Times New Roman"/>
                <w:bCs/>
                <w:color w:val="auto"/>
                <w:sz w:val="24"/>
              </w:rPr>
            </w:pPr>
            <w:r>
              <w:rPr>
                <w:rFonts w:ascii="Times New Roman" w:hAnsi="Times New Roman"/>
                <w:bCs/>
                <w:color w:val="auto"/>
                <w:sz w:val="24"/>
              </w:rPr>
              <w:t>2）项目</w:t>
            </w:r>
            <w:r>
              <w:rPr>
                <w:rFonts w:hint="eastAsia" w:ascii="Times New Roman" w:hAnsi="Times New Roman"/>
                <w:bCs/>
                <w:color w:val="auto"/>
                <w:sz w:val="24"/>
                <w:lang w:val="en-US" w:eastAsia="zh-CN"/>
              </w:rPr>
              <w:t>厂区</w:t>
            </w:r>
            <w:r>
              <w:rPr>
                <w:rFonts w:ascii="Times New Roman" w:hAnsi="Times New Roman"/>
                <w:bCs/>
                <w:color w:val="auto"/>
                <w:sz w:val="24"/>
              </w:rPr>
              <w:t>周边</w:t>
            </w:r>
            <w:r>
              <w:rPr>
                <w:rFonts w:hint="eastAsia" w:ascii="Times New Roman" w:hAnsi="Times New Roman"/>
                <w:bCs/>
                <w:color w:val="auto"/>
                <w:sz w:val="24"/>
                <w:lang w:val="en-US" w:eastAsia="zh-CN"/>
              </w:rPr>
              <w:t>5</w:t>
            </w:r>
            <w:r>
              <w:rPr>
                <w:rFonts w:ascii="Times New Roman" w:hAnsi="Times New Roman"/>
                <w:bCs/>
                <w:color w:val="auto"/>
                <w:sz w:val="24"/>
              </w:rPr>
              <w:t>0m范围内</w:t>
            </w:r>
            <w:r>
              <w:rPr>
                <w:rFonts w:hint="eastAsia" w:ascii="Times New Roman" w:hAnsi="Times New Roman"/>
                <w:bCs/>
                <w:color w:val="auto"/>
                <w:sz w:val="24"/>
                <w:lang w:val="en-US" w:eastAsia="zh-CN"/>
              </w:rPr>
              <w:t>无</w:t>
            </w:r>
            <w:r>
              <w:rPr>
                <w:rFonts w:ascii="Times New Roman" w:hAnsi="Times New Roman"/>
                <w:bCs/>
                <w:color w:val="auto"/>
                <w:sz w:val="24"/>
              </w:rPr>
              <w:t>环境保护目标；</w:t>
            </w:r>
            <w:r>
              <w:rPr>
                <w:rFonts w:hint="eastAsia" w:ascii="Times New Roman" w:hAnsi="Times New Roman"/>
                <w:bCs/>
                <w:color w:val="auto"/>
                <w:sz w:val="24"/>
                <w:lang w:val="en-US" w:eastAsia="zh-CN"/>
              </w:rPr>
              <w:t>通过</w:t>
            </w:r>
            <w:r>
              <w:rPr>
                <w:rFonts w:ascii="Times New Roman" w:hAnsi="Times New Roman"/>
                <w:bCs/>
                <w:color w:val="auto"/>
                <w:sz w:val="24"/>
              </w:rPr>
              <w:t>合理安排施工时间，</w:t>
            </w:r>
            <w:r>
              <w:rPr>
                <w:rFonts w:hint="eastAsia" w:ascii="Times New Roman" w:hAnsi="Times New Roman"/>
                <w:bCs/>
                <w:color w:val="auto"/>
                <w:sz w:val="24"/>
                <w:lang w:val="en-US" w:eastAsia="zh-CN"/>
              </w:rPr>
              <w:t>高噪设备尽量避免了夜间和午间施工</w:t>
            </w:r>
            <w:r>
              <w:rPr>
                <w:rFonts w:ascii="Times New Roman" w:hAnsi="Times New Roman"/>
                <w:bCs/>
                <w:color w:val="auto"/>
                <w:sz w:val="24"/>
              </w:rPr>
              <w:t>。</w:t>
            </w:r>
          </w:p>
          <w:p>
            <w:pPr>
              <w:pStyle w:val="14"/>
              <w:spacing w:line="360" w:lineRule="auto"/>
              <w:ind w:firstLine="480" w:firstLineChars="200"/>
              <w:rPr>
                <w:rFonts w:ascii="Times New Roman" w:hAnsi="Times New Roman"/>
                <w:bCs/>
                <w:color w:val="auto"/>
                <w:sz w:val="24"/>
              </w:rPr>
            </w:pPr>
            <w:r>
              <w:rPr>
                <w:rFonts w:ascii="Times New Roman" w:hAnsi="Times New Roman"/>
                <w:bCs/>
                <w:color w:val="auto"/>
                <w:sz w:val="24"/>
              </w:rPr>
              <w:t>3）物料运输尽可能安排在白天，</w:t>
            </w:r>
            <w:r>
              <w:rPr>
                <w:rFonts w:hint="eastAsia" w:ascii="Times New Roman" w:hAnsi="Times New Roman"/>
                <w:bCs/>
                <w:color w:val="auto"/>
                <w:sz w:val="24"/>
                <w:lang w:val="en-US" w:eastAsia="zh-CN"/>
              </w:rPr>
              <w:t>运输过程中尽量</w:t>
            </w:r>
            <w:r>
              <w:rPr>
                <w:rFonts w:ascii="Times New Roman" w:hAnsi="Times New Roman"/>
                <w:bCs/>
                <w:color w:val="auto"/>
                <w:sz w:val="24"/>
              </w:rPr>
              <w:t>减速慢行，并禁止鸣笛。</w:t>
            </w:r>
          </w:p>
          <w:p>
            <w:pPr>
              <w:pStyle w:val="14"/>
              <w:spacing w:line="360" w:lineRule="auto"/>
              <w:ind w:firstLine="480" w:firstLineChars="200"/>
              <w:rPr>
                <w:rFonts w:hint="eastAsia" w:ascii="Times New Roman" w:hAnsi="Times New Roman"/>
                <w:bCs/>
                <w:color w:val="auto"/>
                <w:sz w:val="24"/>
                <w:lang w:eastAsia="zh-CN"/>
              </w:rPr>
            </w:pPr>
            <w:r>
              <w:rPr>
                <w:rFonts w:ascii="Times New Roman" w:hAnsi="Times New Roman"/>
                <w:bCs/>
                <w:color w:val="auto"/>
                <w:sz w:val="24"/>
              </w:rPr>
              <w:t>施工期噪声减缓措施从噪声源、距离防护、施工时间等方面</w:t>
            </w:r>
            <w:r>
              <w:rPr>
                <w:rFonts w:hint="eastAsia" w:ascii="Times New Roman" w:hAnsi="Times New Roman"/>
                <w:bCs/>
                <w:color w:val="auto"/>
                <w:sz w:val="24"/>
                <w:lang w:val="en-US" w:eastAsia="zh-CN"/>
              </w:rPr>
              <w:t>均采取了</w:t>
            </w:r>
            <w:r>
              <w:rPr>
                <w:rFonts w:ascii="Times New Roman" w:hAnsi="Times New Roman"/>
                <w:bCs/>
                <w:color w:val="auto"/>
                <w:sz w:val="24"/>
              </w:rPr>
              <w:t>相应环保措施，由于</w:t>
            </w:r>
            <w:r>
              <w:rPr>
                <w:rFonts w:hint="eastAsia" w:ascii="Times New Roman" w:hAnsi="Times New Roman"/>
                <w:bCs/>
                <w:color w:val="auto"/>
                <w:sz w:val="24"/>
                <w:lang w:val="en-US" w:eastAsia="zh-CN"/>
              </w:rPr>
              <w:t>5</w:t>
            </w:r>
            <w:r>
              <w:rPr>
                <w:rFonts w:ascii="Times New Roman" w:hAnsi="Times New Roman"/>
                <w:bCs/>
                <w:color w:val="auto"/>
                <w:sz w:val="24"/>
              </w:rPr>
              <w:t>0m范围内</w:t>
            </w:r>
            <w:r>
              <w:rPr>
                <w:rFonts w:hint="eastAsia" w:ascii="Times New Roman" w:hAnsi="Times New Roman"/>
                <w:bCs/>
                <w:color w:val="auto"/>
                <w:sz w:val="24"/>
                <w:lang w:val="en-US" w:eastAsia="zh-CN"/>
              </w:rPr>
              <w:t>无声环境</w:t>
            </w:r>
            <w:r>
              <w:rPr>
                <w:rFonts w:ascii="Times New Roman" w:hAnsi="Times New Roman"/>
                <w:bCs/>
                <w:color w:val="auto"/>
                <w:sz w:val="24"/>
              </w:rPr>
              <w:t>敏感点，施工期通过采取</w:t>
            </w:r>
            <w:r>
              <w:rPr>
                <w:rFonts w:hint="eastAsia" w:ascii="Times New Roman" w:hAnsi="Times New Roman"/>
                <w:bCs/>
                <w:color w:val="auto"/>
                <w:sz w:val="24"/>
                <w:lang w:val="en-US" w:eastAsia="zh-CN"/>
              </w:rPr>
              <w:t>上述</w:t>
            </w:r>
            <w:r>
              <w:rPr>
                <w:rFonts w:ascii="Times New Roman" w:hAnsi="Times New Roman"/>
                <w:bCs/>
                <w:color w:val="auto"/>
                <w:sz w:val="24"/>
              </w:rPr>
              <w:t>噪声控制措施，最大限度地减少</w:t>
            </w:r>
            <w:r>
              <w:rPr>
                <w:rFonts w:hint="eastAsia" w:ascii="Times New Roman" w:hAnsi="Times New Roman"/>
                <w:bCs/>
                <w:color w:val="auto"/>
                <w:sz w:val="24"/>
                <w:lang w:val="en-US" w:eastAsia="zh-CN"/>
              </w:rPr>
              <w:t>了</w:t>
            </w:r>
            <w:r>
              <w:rPr>
                <w:rFonts w:ascii="Times New Roman" w:hAnsi="Times New Roman"/>
                <w:bCs/>
                <w:color w:val="auto"/>
                <w:sz w:val="24"/>
              </w:rPr>
              <w:t>施工噪声对周围环境的影响，满足《建筑施工场界环境噪声排放标准》（GB12523-2011）的要求</w:t>
            </w:r>
            <w:r>
              <w:rPr>
                <w:rFonts w:hint="eastAsia" w:ascii="Times New Roman" w:hAnsi="Times New Roman"/>
                <w:bCs/>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0"/>
              </w:rPr>
            </w:pPr>
            <w:r>
              <w:rPr>
                <w:b/>
                <w:bCs/>
                <w:color w:val="auto"/>
                <w:sz w:val="24"/>
                <w:szCs w:val="20"/>
              </w:rPr>
              <w:t>五、施工期固体</w:t>
            </w:r>
            <w:r>
              <w:rPr>
                <w:rFonts w:ascii="Times New Roman" w:hAnsi="Times New Roman" w:eastAsia="宋体" w:cs="Times New Roman"/>
                <w:b/>
                <w:bCs/>
                <w:color w:val="auto"/>
                <w:sz w:val="24"/>
                <w:szCs w:val="20"/>
              </w:rPr>
              <w:t>废弃物</w:t>
            </w:r>
            <w:r>
              <w:rPr>
                <w:b/>
                <w:bCs/>
                <w:color w:val="auto"/>
                <w:sz w:val="24"/>
                <w:szCs w:val="20"/>
              </w:rPr>
              <w:t>环境保护措施</w:t>
            </w:r>
          </w:p>
          <w:p>
            <w:pPr>
              <w:pStyle w:val="14"/>
              <w:spacing w:line="360" w:lineRule="auto"/>
              <w:ind w:firstLine="480" w:firstLineChars="200"/>
              <w:rPr>
                <w:rFonts w:ascii="Times New Roman" w:hAnsi="Times New Roman"/>
                <w:color w:val="auto"/>
                <w:sz w:val="24"/>
              </w:rPr>
            </w:pPr>
            <w:r>
              <w:rPr>
                <w:rFonts w:ascii="Times New Roman" w:hAnsi="Times New Roman"/>
                <w:color w:val="auto"/>
                <w:sz w:val="24"/>
              </w:rPr>
              <w:t>（1）施工期间</w:t>
            </w:r>
            <w:r>
              <w:rPr>
                <w:rFonts w:hint="eastAsia" w:ascii="Times New Roman" w:hAnsi="Times New Roman"/>
                <w:color w:val="auto"/>
                <w:sz w:val="24"/>
                <w:lang w:val="en-US" w:eastAsia="zh-CN"/>
              </w:rPr>
              <w:t>在厂区空地设置有1处临时堆土场，根据前文分析可知本项目弃土量为0.02万m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，弃土量较少，施工结束后已用于厂区低洼处回填及绿化覆土，就地平衡未外运</w:t>
            </w:r>
            <w:r>
              <w:rPr>
                <w:rFonts w:ascii="Times New Roman" w:hAnsi="Times New Roman"/>
                <w:color w:val="auto"/>
                <w:sz w:val="24"/>
              </w:rPr>
              <w:t>。</w:t>
            </w:r>
          </w:p>
          <w:p>
            <w:pPr>
              <w:pStyle w:val="14"/>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（2）</w:t>
            </w:r>
            <w:r>
              <w:rPr>
                <w:rFonts w:hint="eastAsia" w:ascii="Times New Roman" w:hAnsi="Times New Roman"/>
                <w:color w:val="auto"/>
                <w:sz w:val="24"/>
                <w:lang w:val="en-US" w:eastAsia="zh-CN"/>
              </w:rPr>
              <w:t>本项目建筑垃圾主要是废</w:t>
            </w:r>
            <w:r>
              <w:rPr>
                <w:rFonts w:ascii="Times New Roman" w:hAnsi="Times New Roman"/>
                <w:color w:val="auto"/>
                <w:sz w:val="24"/>
              </w:rPr>
              <w:t>钢筋、钢板等下角料</w:t>
            </w:r>
            <w:r>
              <w:rPr>
                <w:rFonts w:hint="eastAsia" w:ascii="Times New Roman" w:hAnsi="Times New Roman"/>
                <w:color w:val="auto"/>
                <w:sz w:val="24"/>
                <w:lang w:eastAsia="zh-CN"/>
              </w:rPr>
              <w:t>，</w:t>
            </w:r>
            <w:r>
              <w:rPr>
                <w:rFonts w:ascii="Times New Roman" w:hAnsi="Times New Roman"/>
                <w:color w:val="auto"/>
                <w:sz w:val="24"/>
              </w:rPr>
              <w:t>分类</w:t>
            </w:r>
            <w:r>
              <w:rPr>
                <w:rFonts w:hint="eastAsia" w:ascii="Times New Roman" w:hAnsi="Times New Roman"/>
                <w:color w:val="auto"/>
                <w:sz w:val="24"/>
                <w:lang w:val="en-US" w:eastAsia="zh-CN"/>
              </w:rPr>
              <w:t>收集后已由施工方回收或外售废品回收站，无外运建筑垃圾。</w:t>
            </w:r>
          </w:p>
          <w:p>
            <w:pPr>
              <w:pStyle w:val="14"/>
              <w:spacing w:line="360" w:lineRule="auto"/>
              <w:ind w:firstLine="480" w:firstLineChars="20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3</w:t>
            </w:r>
            <w:r>
              <w:rPr>
                <w:rFonts w:ascii="Times New Roman" w:hAnsi="Times New Roman"/>
                <w:color w:val="auto"/>
                <w:sz w:val="24"/>
              </w:rPr>
              <w:t>）施工人员每日产生的生活垃圾应经过袋装收集后，由环卫部门统一运送到垃圾处理场集中处理。</w:t>
            </w:r>
          </w:p>
          <w:p>
            <w:pPr>
              <w:pStyle w:val="14"/>
              <w:spacing w:line="360" w:lineRule="auto"/>
              <w:ind w:firstLine="480" w:firstLineChars="20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4</w:t>
            </w:r>
            <w:r>
              <w:rPr>
                <w:rFonts w:ascii="Times New Roman" w:hAnsi="Times New Roman"/>
                <w:color w:val="auto"/>
                <w:sz w:val="24"/>
              </w:rPr>
              <w:t>）项目施工期固体废物处置、暂存等严格按照《中华人民共和国固体废物</w:t>
            </w:r>
            <w:r>
              <w:rPr>
                <w:rFonts w:hint="eastAsia" w:ascii="Times New Roman" w:hAnsi="Times New Roman"/>
                <w:color w:val="auto"/>
                <w:sz w:val="24"/>
                <w:lang w:val="en-US" w:eastAsia="zh-CN"/>
              </w:rPr>
              <w:t>污染</w:t>
            </w:r>
            <w:r>
              <w:rPr>
                <w:rFonts w:ascii="Times New Roman" w:hAnsi="Times New Roman"/>
                <w:color w:val="auto"/>
                <w:sz w:val="24"/>
              </w:rPr>
              <w:t>环境防治法（2020年修订）》中相关要求进行</w:t>
            </w:r>
            <w:r>
              <w:rPr>
                <w:rFonts w:hint="eastAsia" w:ascii="Times New Roman" w:hAnsi="Times New Roman"/>
                <w:color w:val="auto"/>
                <w:sz w:val="24"/>
                <w:lang w:val="en-US" w:eastAsia="zh-CN"/>
              </w:rPr>
              <w:t>了处置</w:t>
            </w:r>
            <w:r>
              <w:rPr>
                <w:rFonts w:ascii="Times New Roman" w:hAnsi="Times New Roman"/>
                <w:color w:val="auto"/>
                <w:sz w:val="24"/>
              </w:rPr>
              <w:t>。</w:t>
            </w:r>
          </w:p>
          <w:p>
            <w:pPr>
              <w:pStyle w:val="14"/>
              <w:spacing w:line="360" w:lineRule="auto"/>
              <w:ind w:firstLine="482" w:firstLineChars="200"/>
              <w:rPr>
                <w:rFonts w:hint="eastAsia" w:ascii="Times New Roman" w:eastAsia="宋体"/>
                <w:color w:val="auto"/>
                <w:lang w:eastAsia="zh-CN"/>
              </w:rPr>
            </w:pPr>
            <w:r>
              <w:rPr>
                <w:rFonts w:hint="eastAsia" w:ascii="Times New Roman" w:hAnsi="Times New Roman"/>
                <w:b/>
                <w:bCs/>
                <w:color w:val="auto"/>
                <w:sz w:val="24"/>
                <w:u w:val="single"/>
                <w:lang w:val="en-US" w:eastAsia="zh-CN"/>
              </w:rPr>
              <w:t>本项目施工期已结束，在</w:t>
            </w:r>
            <w:r>
              <w:rPr>
                <w:rFonts w:ascii="Times New Roman" w:hAnsi="Times New Roman"/>
                <w:b/>
                <w:bCs/>
                <w:color w:val="auto"/>
                <w:sz w:val="24"/>
                <w:u w:val="single"/>
              </w:rPr>
              <w:t>采取</w:t>
            </w:r>
            <w:r>
              <w:rPr>
                <w:rFonts w:hint="eastAsia" w:ascii="Times New Roman" w:hAnsi="Times New Roman"/>
                <w:b/>
                <w:bCs/>
                <w:color w:val="auto"/>
                <w:sz w:val="24"/>
                <w:u w:val="single"/>
                <w:lang w:val="en-US" w:eastAsia="zh-CN"/>
              </w:rPr>
              <w:t>了</w:t>
            </w:r>
            <w:r>
              <w:rPr>
                <w:rFonts w:ascii="Times New Roman" w:hAnsi="Times New Roman"/>
                <w:b/>
                <w:bCs/>
                <w:color w:val="auto"/>
                <w:sz w:val="24"/>
                <w:u w:val="single"/>
              </w:rPr>
              <w:t>上述处置措施后</w:t>
            </w:r>
            <w:r>
              <w:rPr>
                <w:rFonts w:hint="eastAsia" w:ascii="Times New Roman" w:hAnsi="Times New Roman"/>
                <w:b/>
                <w:bCs/>
                <w:color w:val="auto"/>
                <w:sz w:val="24"/>
                <w:u w:val="single"/>
                <w:lang w:eastAsia="zh-CN"/>
              </w:rPr>
              <w:t>，</w:t>
            </w:r>
            <w:r>
              <w:rPr>
                <w:rFonts w:ascii="Times New Roman" w:hAnsi="Times New Roman"/>
                <w:b/>
                <w:bCs/>
                <w:color w:val="auto"/>
                <w:sz w:val="24"/>
                <w:u w:val="single"/>
              </w:rPr>
              <w:t>施工</w:t>
            </w:r>
            <w:r>
              <w:rPr>
                <w:rFonts w:hint="eastAsia" w:ascii="Times New Roman" w:hAnsi="Times New Roman"/>
                <w:b/>
                <w:bCs/>
                <w:color w:val="auto"/>
                <w:sz w:val="24"/>
                <w:u w:val="single"/>
                <w:lang w:val="en-US" w:eastAsia="zh-CN"/>
              </w:rPr>
              <w:t>期</w:t>
            </w:r>
            <w:r>
              <w:rPr>
                <w:rFonts w:ascii="Times New Roman" w:hAnsi="Times New Roman"/>
                <w:b/>
                <w:bCs/>
                <w:color w:val="auto"/>
                <w:sz w:val="24"/>
                <w:u w:val="single"/>
              </w:rPr>
              <w:t>固废</w:t>
            </w:r>
            <w:r>
              <w:rPr>
                <w:rFonts w:hint="eastAsia" w:ascii="Times New Roman" w:hAnsi="Times New Roman"/>
                <w:b/>
                <w:bCs/>
                <w:color w:val="auto"/>
                <w:sz w:val="24"/>
                <w:u w:val="single"/>
                <w:lang w:val="en-US" w:eastAsia="zh-CN"/>
              </w:rPr>
              <w:t>均得到妥善处置，未</w:t>
            </w:r>
            <w:r>
              <w:rPr>
                <w:rFonts w:ascii="Times New Roman" w:hAnsi="Times New Roman"/>
                <w:b/>
                <w:bCs/>
                <w:color w:val="auto"/>
                <w:sz w:val="24"/>
                <w:u w:val="single"/>
              </w:rPr>
              <w:t>对环境造成二次污染</w:t>
            </w:r>
            <w:r>
              <w:rPr>
                <w:rFonts w:hint="eastAsia" w:ascii="Times New Roman" w:hAnsi="Times New Roman"/>
                <w:b/>
                <w:bCs/>
                <w:color w:val="auto"/>
                <w:sz w:val="24"/>
                <w:u w:val="singl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78" w:type="dxa"/>
            <w:tcMar>
              <w:left w:w="28" w:type="dxa"/>
              <w:right w:w="28" w:type="dxa"/>
            </w:tcMar>
            <w:vAlign w:val="center"/>
          </w:tcPr>
          <w:p>
            <w:pPr>
              <w:adjustRightInd w:val="0"/>
              <w:snapToGrid w:val="0"/>
              <w:jc w:val="center"/>
              <w:rPr>
                <w:bCs/>
                <w:color w:val="auto"/>
                <w:szCs w:val="21"/>
              </w:rPr>
            </w:pPr>
            <w:r>
              <w:rPr>
                <w:bCs/>
                <w:color w:val="auto"/>
                <w:szCs w:val="21"/>
              </w:rPr>
              <w:t>运营期环境影响和保护措施</w:t>
            </w:r>
          </w:p>
        </w:tc>
        <w:tc>
          <w:tcPr>
            <w:tcW w:w="8203" w:type="dxa"/>
          </w:tcPr>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一</w:t>
            </w:r>
            <w:r>
              <w:rPr>
                <w:rFonts w:ascii="Times New Roman" w:hAnsi="Times New Roman" w:eastAsia="宋体" w:cs="Times New Roman"/>
                <w:b/>
                <w:bCs/>
                <w:color w:val="auto"/>
                <w:sz w:val="24"/>
              </w:rPr>
              <w:t>、大气环境保护措施</w:t>
            </w:r>
          </w:p>
          <w:p>
            <w:pPr>
              <w:pStyle w:val="14"/>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本项目不设食堂、不设备用柴油发电机，</w:t>
            </w:r>
            <w:r>
              <w:rPr>
                <w:rFonts w:ascii="Times New Roman" w:hAnsi="Times New Roman"/>
                <w:color w:val="auto"/>
                <w:sz w:val="24"/>
              </w:rPr>
              <w:t>项目运营期</w:t>
            </w:r>
            <w:r>
              <w:rPr>
                <w:rFonts w:hint="eastAsia" w:ascii="Times New Roman" w:hAnsi="Times New Roman"/>
                <w:color w:val="auto"/>
                <w:sz w:val="24"/>
                <w:lang w:val="en-US" w:eastAsia="zh-CN"/>
              </w:rPr>
              <w:t>无废气排放</w:t>
            </w:r>
            <w:r>
              <w:rPr>
                <w:rFonts w:ascii="Times New Roman" w:hAnsi="Times New Roman"/>
                <w:color w:val="auto"/>
                <w:sz w:val="24"/>
              </w:rPr>
              <w:t>，</w:t>
            </w:r>
            <w:r>
              <w:rPr>
                <w:rFonts w:hint="eastAsia" w:ascii="Times New Roman" w:hAnsi="Times New Roman"/>
                <w:color w:val="auto"/>
                <w:sz w:val="24"/>
                <w:lang w:val="en-US" w:eastAsia="zh-CN"/>
              </w:rPr>
              <w:t>不会对大气环境造成影响</w:t>
            </w:r>
            <w:r>
              <w:rPr>
                <w:rFonts w:ascii="Times New Roman" w:hAnsi="Times New Roman"/>
                <w:color w:val="auto"/>
                <w:sz w:val="24"/>
              </w:rPr>
              <w:t>。</w:t>
            </w:r>
          </w:p>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二</w:t>
            </w:r>
            <w:r>
              <w:rPr>
                <w:rFonts w:ascii="Times New Roman" w:hAnsi="Times New Roman" w:eastAsia="宋体" w:cs="Times New Roman"/>
                <w:b/>
                <w:bCs/>
                <w:color w:val="auto"/>
                <w:sz w:val="24"/>
              </w:rPr>
              <w:t>、水环境保护措施</w:t>
            </w:r>
          </w:p>
          <w:p>
            <w:pPr>
              <w:spacing w:line="360" w:lineRule="auto"/>
              <w:ind w:firstLine="480" w:firstLineChars="200"/>
              <w:rPr>
                <w:rFonts w:hint="default" w:ascii="Times New Roman" w:hAnsi="Times New Roman" w:eastAsia="宋体"/>
                <w:color w:val="auto"/>
                <w:sz w:val="24"/>
                <w:lang w:val="en-US" w:eastAsia="zh-CN"/>
              </w:rPr>
            </w:pPr>
            <w:r>
              <w:rPr>
                <w:color w:val="auto"/>
                <w:sz w:val="24"/>
              </w:rPr>
              <w:t>本项目</w:t>
            </w:r>
            <w:r>
              <w:rPr>
                <w:rFonts w:hint="eastAsia"/>
                <w:color w:val="auto"/>
                <w:sz w:val="24"/>
                <w:lang w:val="en-US" w:eastAsia="zh-CN"/>
              </w:rPr>
              <w:t>营运期无废水排放</w:t>
            </w:r>
          </w:p>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三</w:t>
            </w:r>
            <w:r>
              <w:rPr>
                <w:rFonts w:ascii="Times New Roman" w:hAnsi="Times New Roman" w:eastAsia="宋体" w:cs="Times New Roman"/>
                <w:b/>
                <w:bCs/>
                <w:color w:val="auto"/>
                <w:sz w:val="24"/>
              </w:rPr>
              <w:t>、声环境保护措施</w:t>
            </w:r>
          </w:p>
          <w:p>
            <w:pPr>
              <w:adjustRightInd w:val="0"/>
              <w:snapToGrid w:val="0"/>
              <w:spacing w:line="360" w:lineRule="auto"/>
              <w:ind w:firstLine="480" w:firstLineChars="200"/>
              <w:rPr>
                <w:color w:val="auto"/>
                <w:sz w:val="24"/>
              </w:rPr>
            </w:pPr>
            <w:r>
              <w:rPr>
                <w:color w:val="auto"/>
                <w:sz w:val="24"/>
              </w:rPr>
              <w:t>项目营运期噪声主要来源于</w:t>
            </w:r>
          </w:p>
          <w:p>
            <w:pPr>
              <w:adjustRightInd w:val="0"/>
              <w:snapToGrid w:val="0"/>
              <w:spacing w:line="360" w:lineRule="auto"/>
              <w:ind w:firstLine="480" w:firstLineChars="200"/>
              <w:rPr>
                <w:color w:val="auto"/>
                <w:sz w:val="24"/>
              </w:rPr>
            </w:pPr>
            <w:r>
              <w:rPr>
                <w:color w:val="auto"/>
                <w:sz w:val="24"/>
              </w:rPr>
              <w:t>的取水泵、送水泵房、反冲洗泵房中双吸泵、离心泵、风机等设备运行过程中产生的机械动力噪声；根据类比分析，此类噪声源强一般在70～92dB(A)。本项目机械噪声源位置及源强详见下表。</w:t>
            </w:r>
          </w:p>
          <w:p>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表4-2  本项目主要噪声源强及拟采取治理措施</w:t>
            </w:r>
          </w:p>
          <w:tbl>
            <w:tblPr>
              <w:tblStyle w:val="92"/>
              <w:tblW w:w="79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5"/>
              <w:gridCol w:w="1141"/>
              <w:gridCol w:w="1791"/>
              <w:gridCol w:w="927"/>
              <w:gridCol w:w="2523"/>
              <w:gridCol w:w="1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tcBorders>
                    <w:top w:val="single" w:color="auto" w:sz="4" w:space="0"/>
                    <w:left w:val="single" w:color="auto" w:sz="0" w:space="0"/>
                  </w:tcBorders>
                  <w:shd w:val="clear" w:color="auto" w:fill="auto"/>
                  <w:vAlign w:val="center"/>
                </w:tcPr>
                <w:p>
                  <w:pPr>
                    <w:jc w:val="center"/>
                    <w:rPr>
                      <w:b/>
                      <w:bCs/>
                      <w:color w:val="auto"/>
                      <w:szCs w:val="21"/>
                    </w:rPr>
                  </w:pPr>
                  <w:r>
                    <w:rPr>
                      <w:b/>
                      <w:bCs/>
                      <w:color w:val="auto"/>
                      <w:szCs w:val="21"/>
                    </w:rPr>
                    <w:t>序号</w:t>
                  </w:r>
                </w:p>
              </w:tc>
              <w:tc>
                <w:tcPr>
                  <w:tcW w:w="1141" w:type="dxa"/>
                  <w:tcBorders>
                    <w:top w:val="single" w:color="auto" w:sz="4" w:space="0"/>
                  </w:tcBorders>
                  <w:shd w:val="clear" w:color="auto" w:fill="auto"/>
                  <w:vAlign w:val="center"/>
                </w:tcPr>
                <w:p>
                  <w:pPr>
                    <w:jc w:val="center"/>
                    <w:rPr>
                      <w:b/>
                      <w:bCs/>
                      <w:color w:val="auto"/>
                      <w:szCs w:val="21"/>
                    </w:rPr>
                  </w:pPr>
                  <w:r>
                    <w:rPr>
                      <w:b/>
                      <w:bCs/>
                      <w:color w:val="auto"/>
                      <w:w w:val="99"/>
                      <w:szCs w:val="21"/>
                    </w:rPr>
                    <w:t>位置</w:t>
                  </w:r>
                </w:p>
              </w:tc>
              <w:tc>
                <w:tcPr>
                  <w:tcW w:w="1791" w:type="dxa"/>
                  <w:tcBorders>
                    <w:top w:val="single" w:color="auto" w:sz="4" w:space="0"/>
                  </w:tcBorders>
                  <w:shd w:val="clear" w:color="auto" w:fill="auto"/>
                  <w:vAlign w:val="center"/>
                </w:tcPr>
                <w:p>
                  <w:pPr>
                    <w:jc w:val="center"/>
                    <w:rPr>
                      <w:b/>
                      <w:bCs/>
                      <w:color w:val="auto"/>
                      <w:szCs w:val="21"/>
                    </w:rPr>
                  </w:pPr>
                  <w:r>
                    <w:rPr>
                      <w:b/>
                      <w:bCs/>
                      <w:color w:val="auto"/>
                      <w:szCs w:val="21"/>
                    </w:rPr>
                    <w:t>主</w:t>
                  </w:r>
                  <w:r>
                    <w:rPr>
                      <w:b/>
                      <w:bCs/>
                      <w:color w:val="auto"/>
                      <w:spacing w:val="2"/>
                      <w:szCs w:val="21"/>
                    </w:rPr>
                    <w:t>要</w:t>
                  </w:r>
                  <w:r>
                    <w:rPr>
                      <w:b/>
                      <w:bCs/>
                      <w:color w:val="auto"/>
                      <w:szCs w:val="21"/>
                    </w:rPr>
                    <w:t>噪</w:t>
                  </w:r>
                  <w:r>
                    <w:rPr>
                      <w:b/>
                      <w:bCs/>
                      <w:color w:val="auto"/>
                      <w:spacing w:val="2"/>
                      <w:szCs w:val="21"/>
                    </w:rPr>
                    <w:t>声</w:t>
                  </w:r>
                  <w:r>
                    <w:rPr>
                      <w:b/>
                      <w:bCs/>
                      <w:color w:val="auto"/>
                      <w:szCs w:val="21"/>
                    </w:rPr>
                    <w:t>源</w:t>
                  </w:r>
                </w:p>
              </w:tc>
              <w:tc>
                <w:tcPr>
                  <w:tcW w:w="927" w:type="dxa"/>
                  <w:tcBorders>
                    <w:top w:val="single" w:color="auto" w:sz="4" w:space="0"/>
                  </w:tcBorders>
                  <w:shd w:val="clear" w:color="auto" w:fill="auto"/>
                  <w:vAlign w:val="center"/>
                </w:tcPr>
                <w:p>
                  <w:pPr>
                    <w:jc w:val="center"/>
                    <w:rPr>
                      <w:b/>
                      <w:bCs/>
                      <w:color w:val="auto"/>
                      <w:szCs w:val="21"/>
                    </w:rPr>
                  </w:pPr>
                  <w:r>
                    <w:rPr>
                      <w:b/>
                      <w:bCs/>
                      <w:color w:val="auto"/>
                      <w:szCs w:val="21"/>
                    </w:rPr>
                    <w:t>噪</w:t>
                  </w:r>
                  <w:r>
                    <w:rPr>
                      <w:b/>
                      <w:bCs/>
                      <w:color w:val="auto"/>
                      <w:spacing w:val="2"/>
                      <w:szCs w:val="21"/>
                    </w:rPr>
                    <w:t>声</w:t>
                  </w:r>
                  <w:r>
                    <w:rPr>
                      <w:b/>
                      <w:bCs/>
                      <w:color w:val="auto"/>
                      <w:szCs w:val="21"/>
                    </w:rPr>
                    <w:t>级</w:t>
                  </w:r>
                </w:p>
              </w:tc>
              <w:tc>
                <w:tcPr>
                  <w:tcW w:w="2523" w:type="dxa"/>
                  <w:tcBorders>
                    <w:top w:val="single" w:color="auto" w:sz="4" w:space="0"/>
                  </w:tcBorders>
                  <w:shd w:val="clear" w:color="auto" w:fill="auto"/>
                  <w:vAlign w:val="center"/>
                </w:tcPr>
                <w:p>
                  <w:pPr>
                    <w:jc w:val="center"/>
                    <w:rPr>
                      <w:b/>
                      <w:bCs/>
                      <w:color w:val="auto"/>
                      <w:szCs w:val="21"/>
                    </w:rPr>
                  </w:pPr>
                  <w:r>
                    <w:rPr>
                      <w:b/>
                      <w:bCs/>
                      <w:color w:val="auto"/>
                      <w:szCs w:val="21"/>
                    </w:rPr>
                    <w:t>治</w:t>
                  </w:r>
                  <w:r>
                    <w:rPr>
                      <w:b/>
                      <w:bCs/>
                      <w:color w:val="auto"/>
                      <w:spacing w:val="2"/>
                      <w:szCs w:val="21"/>
                    </w:rPr>
                    <w:t>理</w:t>
                  </w:r>
                  <w:r>
                    <w:rPr>
                      <w:b/>
                      <w:bCs/>
                      <w:color w:val="auto"/>
                      <w:szCs w:val="21"/>
                    </w:rPr>
                    <w:t>措施</w:t>
                  </w:r>
                </w:p>
              </w:tc>
              <w:tc>
                <w:tcPr>
                  <w:tcW w:w="1040" w:type="dxa"/>
                  <w:tcBorders>
                    <w:top w:val="single" w:color="auto" w:sz="4" w:space="0"/>
                    <w:right w:val="single" w:color="auto" w:sz="4" w:space="0"/>
                  </w:tcBorders>
                  <w:shd w:val="clear" w:color="auto" w:fill="auto"/>
                  <w:vAlign w:val="center"/>
                </w:tcPr>
                <w:p>
                  <w:pPr>
                    <w:jc w:val="center"/>
                    <w:rPr>
                      <w:b/>
                      <w:bCs/>
                      <w:color w:val="auto"/>
                      <w:szCs w:val="21"/>
                    </w:rPr>
                  </w:pPr>
                  <w:r>
                    <w:rPr>
                      <w:b/>
                      <w:bCs/>
                      <w:color w:val="auto"/>
                      <w:szCs w:val="21"/>
                    </w:rPr>
                    <w:t>治</w:t>
                  </w:r>
                  <w:r>
                    <w:rPr>
                      <w:b/>
                      <w:bCs/>
                      <w:color w:val="auto"/>
                      <w:spacing w:val="2"/>
                      <w:szCs w:val="21"/>
                    </w:rPr>
                    <w:t>理</w:t>
                  </w:r>
                  <w:r>
                    <w:rPr>
                      <w:b/>
                      <w:bCs/>
                      <w:color w:val="auto"/>
                      <w:szCs w:val="21"/>
                    </w:rPr>
                    <w:t>后</w:t>
                  </w:r>
                </w:p>
                <w:p>
                  <w:pPr>
                    <w:jc w:val="center"/>
                    <w:rPr>
                      <w:b/>
                      <w:bCs/>
                      <w:color w:val="auto"/>
                      <w:szCs w:val="21"/>
                    </w:rPr>
                  </w:pPr>
                  <w:r>
                    <w:rPr>
                      <w:b/>
                      <w:bCs/>
                      <w:color w:val="auto"/>
                      <w:position w:val="-1"/>
                      <w:szCs w:val="21"/>
                    </w:rPr>
                    <w:t>噪</w:t>
                  </w:r>
                  <w:r>
                    <w:rPr>
                      <w:b/>
                      <w:bCs/>
                      <w:color w:val="auto"/>
                      <w:spacing w:val="2"/>
                      <w:position w:val="-1"/>
                      <w:szCs w:val="21"/>
                    </w:rPr>
                    <w:t>声</w:t>
                  </w:r>
                  <w:r>
                    <w:rPr>
                      <w:b/>
                      <w:bCs/>
                      <w:color w:val="auto"/>
                      <w:position w:val="-1"/>
                      <w:szCs w:val="21"/>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65" w:type="dxa"/>
                  <w:tcBorders>
                    <w:left w:val="single" w:color="auto" w:sz="4" w:space="0"/>
                  </w:tcBorders>
                  <w:shd w:val="clear" w:color="auto" w:fill="auto"/>
                  <w:vAlign w:val="center"/>
                </w:tcPr>
                <w:p>
                  <w:pPr>
                    <w:jc w:val="center"/>
                    <w:rPr>
                      <w:color w:val="auto"/>
                      <w:szCs w:val="21"/>
                    </w:rPr>
                  </w:pPr>
                  <w:r>
                    <w:rPr>
                      <w:color w:val="auto"/>
                      <w:w w:val="99"/>
                      <w:szCs w:val="21"/>
                    </w:rPr>
                    <w:t>1</w:t>
                  </w:r>
                </w:p>
              </w:tc>
              <w:tc>
                <w:tcPr>
                  <w:tcW w:w="1141" w:type="dxa"/>
                  <w:shd w:val="clear" w:color="auto" w:fill="auto"/>
                  <w:vAlign w:val="center"/>
                </w:tcPr>
                <w:p>
                  <w:pPr>
                    <w:jc w:val="center"/>
                    <w:rPr>
                      <w:rFonts w:hint="default"/>
                      <w:color w:val="auto"/>
                      <w:szCs w:val="21"/>
                      <w:lang w:val="en-US"/>
                    </w:rPr>
                  </w:pPr>
                  <w:r>
                    <w:rPr>
                      <w:rFonts w:hint="eastAsia" w:cs="Times New Roman"/>
                      <w:color w:val="auto"/>
                      <w:sz w:val="21"/>
                      <w:szCs w:val="21"/>
                      <w:lang w:val="en-US" w:eastAsia="zh-CN"/>
                    </w:rPr>
                    <w:t>加压泵房</w:t>
                  </w:r>
                </w:p>
              </w:tc>
              <w:tc>
                <w:tcPr>
                  <w:tcW w:w="1791" w:type="dxa"/>
                  <w:shd w:val="clear" w:color="auto" w:fill="auto"/>
                  <w:vAlign w:val="center"/>
                </w:tcPr>
                <w:p>
                  <w:pPr>
                    <w:jc w:val="center"/>
                    <w:rPr>
                      <w:rFonts w:hint="default"/>
                      <w:color w:val="auto"/>
                      <w:szCs w:val="21"/>
                      <w:lang w:val="en-US"/>
                    </w:rPr>
                  </w:pPr>
                  <w:r>
                    <w:rPr>
                      <w:rFonts w:hint="eastAsia" w:cs="Times New Roman"/>
                      <w:color w:val="auto"/>
                      <w:sz w:val="21"/>
                      <w:szCs w:val="21"/>
                      <w:lang w:val="en-US" w:eastAsia="zh-CN"/>
                    </w:rPr>
                    <w:t>清水输送泵（5台）</w:t>
                  </w:r>
                </w:p>
              </w:tc>
              <w:tc>
                <w:tcPr>
                  <w:tcW w:w="927" w:type="dxa"/>
                  <w:shd w:val="clear" w:color="auto" w:fill="auto"/>
                  <w:vAlign w:val="center"/>
                </w:tcPr>
                <w:p>
                  <w:pPr>
                    <w:jc w:val="center"/>
                    <w:rPr>
                      <w:color w:val="auto"/>
                      <w:szCs w:val="21"/>
                    </w:rPr>
                  </w:pPr>
                  <w:r>
                    <w:rPr>
                      <w:color w:val="auto"/>
                      <w:szCs w:val="21"/>
                    </w:rPr>
                    <w:t>80~90</w:t>
                  </w:r>
                </w:p>
              </w:tc>
              <w:tc>
                <w:tcPr>
                  <w:tcW w:w="2523" w:type="dxa"/>
                  <w:shd w:val="clear" w:color="auto" w:fill="auto"/>
                  <w:vAlign w:val="center"/>
                </w:tcPr>
                <w:p>
                  <w:pPr>
                    <w:jc w:val="center"/>
                    <w:rPr>
                      <w:color w:val="auto"/>
                      <w:szCs w:val="21"/>
                    </w:rPr>
                  </w:pPr>
                  <w:r>
                    <w:rPr>
                      <w:color w:val="auto"/>
                      <w:szCs w:val="21"/>
                    </w:rPr>
                    <w:t>选用低噪声设备、基础减振、厂房隔声</w:t>
                  </w:r>
                </w:p>
              </w:tc>
              <w:tc>
                <w:tcPr>
                  <w:tcW w:w="1040" w:type="dxa"/>
                  <w:tcBorders>
                    <w:right w:val="single" w:color="auto" w:sz="4" w:space="0"/>
                  </w:tcBorders>
                  <w:shd w:val="clear" w:color="auto" w:fill="auto"/>
                  <w:vAlign w:val="center"/>
                </w:tcPr>
                <w:p>
                  <w:pPr>
                    <w:jc w:val="center"/>
                    <w:rPr>
                      <w:color w:val="auto"/>
                      <w:szCs w:val="21"/>
                    </w:rPr>
                  </w:pPr>
                  <w:r>
                    <w:rPr>
                      <w:rFonts w:hint="eastAsia"/>
                      <w:color w:val="auto"/>
                      <w:szCs w:val="21"/>
                      <w:lang w:val="en-US" w:eastAsia="zh-CN"/>
                    </w:rPr>
                    <w:t>65~75</w:t>
                  </w:r>
                </w:p>
              </w:tc>
            </w:tr>
          </w:tbl>
          <w:p>
            <w:pPr>
              <w:widowControl/>
              <w:adjustRightInd w:val="0"/>
              <w:snapToGrid w:val="0"/>
              <w:spacing w:line="360" w:lineRule="auto"/>
              <w:ind w:firstLine="482" w:firstLineChars="200"/>
              <w:rPr>
                <w:b/>
                <w:bCs/>
                <w:color w:val="auto"/>
                <w:sz w:val="24"/>
              </w:rPr>
            </w:pPr>
            <w:r>
              <w:rPr>
                <w:b/>
                <w:bCs/>
                <w:color w:val="auto"/>
                <w:sz w:val="24"/>
              </w:rPr>
              <w:t>2、采取的噪声治理措施</w:t>
            </w:r>
          </w:p>
          <w:p>
            <w:pPr>
              <w:widowControl/>
              <w:adjustRightInd w:val="0"/>
              <w:snapToGrid w:val="0"/>
              <w:spacing w:line="360" w:lineRule="auto"/>
              <w:ind w:firstLine="480" w:firstLineChars="200"/>
              <w:rPr>
                <w:color w:val="auto"/>
                <w:sz w:val="24"/>
              </w:rPr>
            </w:pPr>
            <w:r>
              <w:rPr>
                <w:color w:val="auto"/>
                <w:sz w:val="24"/>
              </w:rPr>
              <w:t>由上表可知，本项目设备噪声源强较高，为降低本项目营运期噪声对周围环境的影响，</w:t>
            </w:r>
            <w:r>
              <w:rPr>
                <w:rFonts w:hint="eastAsia"/>
                <w:color w:val="auto"/>
                <w:sz w:val="24"/>
                <w:lang w:val="en-US" w:eastAsia="zh-CN"/>
              </w:rPr>
              <w:t>本</w:t>
            </w:r>
            <w:r>
              <w:rPr>
                <w:color w:val="auto"/>
                <w:sz w:val="24"/>
              </w:rPr>
              <w:t>项目</w:t>
            </w:r>
            <w:r>
              <w:rPr>
                <w:rFonts w:hint="eastAsia"/>
                <w:color w:val="auto"/>
                <w:sz w:val="24"/>
                <w:lang w:val="en-US" w:eastAsia="zh-CN"/>
              </w:rPr>
              <w:t>已</w:t>
            </w:r>
            <w:r>
              <w:rPr>
                <w:color w:val="auto"/>
                <w:sz w:val="24"/>
              </w:rPr>
              <w:t>采取的降噪措施如下：</w:t>
            </w:r>
          </w:p>
          <w:p>
            <w:pPr>
              <w:widowControl/>
              <w:adjustRightInd w:val="0"/>
              <w:snapToGrid w:val="0"/>
              <w:spacing w:line="360" w:lineRule="auto"/>
              <w:ind w:firstLine="480" w:firstLineChars="200"/>
              <w:rPr>
                <w:color w:val="auto"/>
                <w:sz w:val="24"/>
              </w:rPr>
            </w:pPr>
            <w:r>
              <w:rPr>
                <w:color w:val="auto"/>
                <w:sz w:val="24"/>
              </w:rPr>
              <w:t>1）设备选型时，在综合考虑性价比的基础上，购买的设备选用低噪声高性能的产品，从声源上降低设备本身噪声；</w:t>
            </w:r>
          </w:p>
          <w:p>
            <w:pPr>
              <w:widowControl/>
              <w:adjustRightInd w:val="0"/>
              <w:snapToGrid w:val="0"/>
              <w:spacing w:line="360" w:lineRule="auto"/>
              <w:ind w:firstLine="480" w:firstLineChars="200"/>
              <w:rPr>
                <w:color w:val="auto"/>
                <w:sz w:val="24"/>
              </w:rPr>
            </w:pPr>
            <w:r>
              <w:rPr>
                <w:color w:val="auto"/>
                <w:sz w:val="24"/>
              </w:rPr>
              <w:t>2）合理布局：主要产噪设备均布置在封闭的生产厂房内，利用基础减震和厂房隔声措施，降低噪声影响；</w:t>
            </w:r>
          </w:p>
          <w:p>
            <w:pPr>
              <w:widowControl/>
              <w:adjustRightInd w:val="0"/>
              <w:snapToGrid w:val="0"/>
              <w:spacing w:line="360" w:lineRule="auto"/>
              <w:ind w:firstLine="480" w:firstLineChars="200"/>
              <w:rPr>
                <w:color w:val="auto"/>
                <w:sz w:val="24"/>
              </w:rPr>
            </w:pPr>
            <w:r>
              <w:rPr>
                <w:color w:val="auto"/>
                <w:sz w:val="24"/>
              </w:rPr>
              <w:t>3）加强设备的维护，安排专人负责设备的日常维修和保养，确保设备处于良好的运转状态，杜绝因设备不正常运转时产生的高噪声现象；</w:t>
            </w:r>
          </w:p>
          <w:p>
            <w:pPr>
              <w:widowControl/>
              <w:adjustRightInd w:val="0"/>
              <w:snapToGrid w:val="0"/>
              <w:spacing w:line="360" w:lineRule="auto"/>
              <w:ind w:firstLine="480" w:firstLineChars="200"/>
              <w:rPr>
                <w:color w:val="auto"/>
                <w:sz w:val="24"/>
              </w:rPr>
            </w:pPr>
            <w:r>
              <w:rPr>
                <w:color w:val="auto"/>
                <w:sz w:val="24"/>
              </w:rPr>
              <w:t>4）设备安装减震基础，如减震垫等，对设备连接处安装柔性接头；</w:t>
            </w:r>
          </w:p>
          <w:p>
            <w:pPr>
              <w:widowControl/>
              <w:adjustRightInd w:val="0"/>
              <w:snapToGrid w:val="0"/>
              <w:spacing w:line="360" w:lineRule="auto"/>
              <w:ind w:firstLine="480" w:firstLineChars="200"/>
              <w:rPr>
                <w:color w:val="auto"/>
                <w:sz w:val="24"/>
              </w:rPr>
            </w:pPr>
            <w:r>
              <w:rPr>
                <w:color w:val="auto"/>
                <w:sz w:val="24"/>
              </w:rPr>
              <w:t>5）进出车辆采取限制车速、夜间禁止鸣笛等措施。</w:t>
            </w:r>
          </w:p>
          <w:p>
            <w:pPr>
              <w:widowControl/>
              <w:adjustRightInd w:val="0"/>
              <w:snapToGrid w:val="0"/>
              <w:spacing w:line="360" w:lineRule="auto"/>
              <w:ind w:firstLine="480" w:firstLineChars="200"/>
              <w:rPr>
                <w:color w:val="auto"/>
                <w:sz w:val="24"/>
              </w:rPr>
            </w:pPr>
            <w:r>
              <w:rPr>
                <w:color w:val="auto"/>
                <w:sz w:val="24"/>
              </w:rPr>
              <w:t>通过上述的治理措施后可有效降低噪声值15dB(A)以上，再通过采取选用低噪声设备、基础减震的措施，并且噪声通过距离衰减及生产区封闭隔声、绿化隔声后，本项目正常运行期间厂界噪声能符合《工业企业厂界环境噪声排放标准》（GB12348-2008）中的</w:t>
            </w:r>
            <w:r>
              <w:rPr>
                <w:rFonts w:hint="eastAsia"/>
                <w:color w:val="auto"/>
                <w:sz w:val="24"/>
                <w:lang w:val="en-US" w:eastAsia="zh-CN"/>
              </w:rPr>
              <w:t>3</w:t>
            </w:r>
            <w:r>
              <w:rPr>
                <w:color w:val="auto"/>
                <w:sz w:val="24"/>
              </w:rPr>
              <w:t>类标准。</w:t>
            </w:r>
          </w:p>
          <w:p>
            <w:pPr>
              <w:widowControl/>
              <w:adjustRightInd w:val="0"/>
              <w:snapToGrid w:val="0"/>
              <w:spacing w:line="360" w:lineRule="auto"/>
              <w:ind w:firstLine="482" w:firstLineChars="200"/>
              <w:rPr>
                <w:b/>
                <w:bCs/>
                <w:color w:val="auto"/>
                <w:sz w:val="24"/>
              </w:rPr>
            </w:pPr>
            <w:r>
              <w:rPr>
                <w:b/>
                <w:bCs/>
                <w:color w:val="auto"/>
                <w:sz w:val="24"/>
              </w:rPr>
              <w:t>3、达标情况分析</w:t>
            </w:r>
          </w:p>
          <w:p>
            <w:pPr>
              <w:adjustRightInd w:val="0"/>
              <w:snapToGrid w:val="0"/>
              <w:spacing w:line="360" w:lineRule="auto"/>
              <w:ind w:firstLine="482" w:firstLineChars="200"/>
              <w:rPr>
                <w:b/>
                <w:bCs/>
                <w:color w:val="auto"/>
                <w:sz w:val="24"/>
              </w:rPr>
            </w:pPr>
            <w:r>
              <w:rPr>
                <w:b/>
                <w:bCs/>
                <w:color w:val="auto"/>
                <w:sz w:val="24"/>
              </w:rPr>
              <w:t>1）预测方法</w:t>
            </w:r>
          </w:p>
          <w:p>
            <w:pPr>
              <w:adjustRightInd w:val="0"/>
              <w:snapToGrid w:val="0"/>
              <w:spacing w:line="360" w:lineRule="auto"/>
              <w:ind w:firstLine="480" w:firstLineChars="200"/>
              <w:rPr>
                <w:color w:val="auto"/>
                <w:sz w:val="24"/>
              </w:rPr>
            </w:pPr>
            <w:r>
              <w:rPr>
                <w:color w:val="auto"/>
                <w:sz w:val="24"/>
              </w:rPr>
              <w:t>根据《环境影响评价技术导则 声环境》（HJ2.4-2021）中推荐的计算模式：噪声源有室外和室内两种声源，应分别计算。一般来讲，进行环境噪声预测时所 使用的噪声源都可按点声源处理。</w:t>
            </w:r>
          </w:p>
          <w:p>
            <w:pPr>
              <w:adjustRightInd w:val="0"/>
              <w:snapToGrid w:val="0"/>
              <w:spacing w:line="360" w:lineRule="auto"/>
              <w:ind w:firstLine="482" w:firstLineChars="200"/>
              <w:rPr>
                <w:b/>
                <w:bCs/>
                <w:color w:val="auto"/>
                <w:sz w:val="24"/>
              </w:rPr>
            </w:pPr>
            <w:r>
              <w:rPr>
                <w:b/>
                <w:bCs/>
                <w:color w:val="auto"/>
                <w:sz w:val="24"/>
              </w:rPr>
              <w:t>A、室外声源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计算某个声源在预测点的倍频带声压级</w:t>
            </w:r>
          </w:p>
          <w:p>
            <w:pPr>
              <w:adjustRightInd w:val="0"/>
              <w:snapToGrid w:val="0"/>
              <w:spacing w:line="360" w:lineRule="auto"/>
              <w:jc w:val="center"/>
              <w:rPr>
                <w:color w:val="auto"/>
                <w:sz w:val="24"/>
              </w:rPr>
            </w:pPr>
            <w:r>
              <w:rPr>
                <w:color w:val="auto"/>
              </w:rPr>
              <w:drawing>
                <wp:inline distT="0" distB="0" distL="0" distR="0">
                  <wp:extent cx="2268855" cy="448945"/>
                  <wp:effectExtent l="0" t="0" r="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68855" cy="4489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w:t>
            </w:r>
            <w:r>
              <w:rPr>
                <w:color w:val="auto"/>
                <w:sz w:val="24"/>
                <w:vertAlign w:val="subscript"/>
              </w:rPr>
              <w:t>oct</w:t>
            </w:r>
            <w:r>
              <w:rPr>
                <w:color w:val="auto"/>
                <w:sz w:val="24"/>
              </w:rPr>
              <w:t>（r）--点声源在预测点产生的倍频带声压级；</w:t>
            </w:r>
          </w:p>
          <w:p>
            <w:pPr>
              <w:adjustRightInd w:val="0"/>
              <w:snapToGrid w:val="0"/>
              <w:spacing w:line="360" w:lineRule="auto"/>
              <w:ind w:firstLine="1200" w:firstLineChars="500"/>
              <w:rPr>
                <w:color w:val="auto"/>
                <w:sz w:val="24"/>
              </w:rPr>
            </w:pPr>
            <w:r>
              <w:rPr>
                <w:color w:val="auto"/>
                <w:sz w:val="24"/>
              </w:rPr>
              <w:t>L</w:t>
            </w:r>
            <w:r>
              <w:rPr>
                <w:color w:val="auto"/>
                <w:sz w:val="24"/>
                <w:vertAlign w:val="subscript"/>
              </w:rPr>
              <w:t>oct</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处的倍频带声压级；</w:t>
            </w:r>
          </w:p>
          <w:p>
            <w:pPr>
              <w:adjustRightInd w:val="0"/>
              <w:snapToGrid w:val="0"/>
              <w:spacing w:line="360" w:lineRule="auto"/>
              <w:ind w:firstLine="1200" w:firstLineChars="500"/>
              <w:rPr>
                <w:color w:val="auto"/>
                <w:sz w:val="24"/>
              </w:rPr>
            </w:pPr>
            <w:r>
              <w:rPr>
                <w:color w:val="auto"/>
                <w:sz w:val="24"/>
              </w:rPr>
              <w:t>r--预测点距声源的距离，m；r</w:t>
            </w:r>
            <w:r>
              <w:rPr>
                <w:color w:val="auto"/>
                <w:sz w:val="24"/>
                <w:vertAlign w:val="subscript"/>
              </w:rPr>
              <w:t>0</w:t>
            </w:r>
            <w:r>
              <w:rPr>
                <w:color w:val="auto"/>
                <w:sz w:val="24"/>
              </w:rPr>
              <w:t>--参考位置距声源的距离，m；</w:t>
            </w:r>
          </w:p>
          <w:p>
            <w:pPr>
              <w:adjustRightInd w:val="0"/>
              <w:snapToGrid w:val="0"/>
              <w:spacing w:line="360" w:lineRule="auto"/>
              <w:ind w:firstLine="1200" w:firstLineChars="500"/>
              <w:rPr>
                <w:color w:val="auto"/>
                <w:sz w:val="24"/>
              </w:rPr>
            </w:pPr>
            <w:r>
              <w:rPr>
                <w:color w:val="auto"/>
                <w:sz w:val="24"/>
              </w:rPr>
              <w:t>ΔL</w:t>
            </w:r>
            <w:r>
              <w:rPr>
                <w:color w:val="auto"/>
                <w:sz w:val="24"/>
                <w:vertAlign w:val="subscript"/>
              </w:rPr>
              <w:t>oct</w:t>
            </w:r>
            <w:r>
              <w:rPr>
                <w:color w:val="auto"/>
                <w:sz w:val="24"/>
              </w:rPr>
              <w:t>--各种因素引起的衰减量（包括声屏障、遮挡物、空气吸收、地面效应等引起的衰减量，其计算方法详见“导则”正文）。</w:t>
            </w:r>
          </w:p>
          <w:p>
            <w:pPr>
              <w:adjustRightInd w:val="0"/>
              <w:snapToGrid w:val="0"/>
              <w:spacing w:line="360" w:lineRule="auto"/>
              <w:ind w:firstLine="480" w:firstLineChars="200"/>
              <w:rPr>
                <w:color w:val="auto"/>
                <w:sz w:val="24"/>
              </w:rPr>
            </w:pPr>
            <w:r>
              <w:rPr>
                <w:color w:val="auto"/>
                <w:sz w:val="24"/>
              </w:rPr>
              <w:t>如果已知声源的倍频带声功率级L</w:t>
            </w:r>
            <w:r>
              <w:rPr>
                <w:color w:val="auto"/>
                <w:sz w:val="24"/>
                <w:vertAlign w:val="subscript"/>
              </w:rPr>
              <w:t>woct</w:t>
            </w:r>
            <w:r>
              <w:rPr>
                <w:color w:val="auto"/>
                <w:sz w:val="24"/>
              </w:rPr>
              <w:t>，且声源可看作是位于地面上的</w:t>
            </w:r>
          </w:p>
          <w:p>
            <w:pPr>
              <w:adjustRightInd w:val="0"/>
              <w:snapToGrid w:val="0"/>
              <w:spacing w:line="360" w:lineRule="auto"/>
              <w:jc w:val="center"/>
              <w:rPr>
                <w:color w:val="auto"/>
                <w:sz w:val="24"/>
              </w:rPr>
            </w:pPr>
            <w:r>
              <w:rPr>
                <w:color w:val="auto"/>
                <w:sz w:val="24"/>
              </w:rPr>
              <w:t>则</w:t>
            </w:r>
            <w:r>
              <w:rPr>
                <w:color w:val="auto"/>
              </w:rPr>
              <w:drawing>
                <wp:inline distT="0" distB="0" distL="0" distR="0">
                  <wp:extent cx="2103755" cy="287655"/>
                  <wp:effectExtent l="0" t="0" r="0" b="0"/>
                  <wp:docPr id="13383832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83281"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03755" cy="28765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由各倍频带声压级合成计算出该声源产生的声级LA。</w:t>
            </w:r>
          </w:p>
          <w:p>
            <w:pPr>
              <w:adjustRightInd w:val="0"/>
              <w:snapToGrid w:val="0"/>
              <w:spacing w:line="360" w:lineRule="auto"/>
              <w:ind w:firstLine="482" w:firstLineChars="200"/>
              <w:rPr>
                <w:b/>
                <w:bCs/>
                <w:color w:val="auto"/>
                <w:sz w:val="24"/>
              </w:rPr>
            </w:pPr>
            <w:r>
              <w:rPr>
                <w:b/>
                <w:bCs/>
                <w:color w:val="auto"/>
                <w:sz w:val="24"/>
              </w:rPr>
              <w:t>B、室内声源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首先计算出某个室内靠近围护结构处的倍频带声压级：</w:t>
            </w:r>
          </w:p>
          <w:p>
            <w:pPr>
              <w:adjustRightInd w:val="0"/>
              <w:snapToGrid w:val="0"/>
              <w:spacing w:line="360" w:lineRule="auto"/>
              <w:jc w:val="center"/>
              <w:rPr>
                <w:color w:val="auto"/>
                <w:sz w:val="24"/>
              </w:rPr>
            </w:pPr>
            <w:r>
              <w:rPr>
                <w:color w:val="auto"/>
              </w:rPr>
              <w:drawing>
                <wp:inline distT="0" distB="0" distL="0" distR="0">
                  <wp:extent cx="2400300" cy="605155"/>
                  <wp:effectExtent l="0" t="0" r="0" b="0"/>
                  <wp:docPr id="7584742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4221"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00300" cy="60515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w:t>
            </w:r>
            <w:r>
              <w:rPr>
                <w:color w:val="auto"/>
                <w:sz w:val="24"/>
                <w:vertAlign w:val="subscript"/>
              </w:rPr>
              <w:t>oct，1</w:t>
            </w:r>
            <w:r>
              <w:rPr>
                <w:color w:val="auto"/>
                <w:sz w:val="24"/>
              </w:rPr>
              <w:t>为某个室内声源在靠近围护结构处产生的倍频带声压级，L</w:t>
            </w:r>
            <w:r>
              <w:rPr>
                <w:color w:val="auto"/>
                <w:sz w:val="24"/>
                <w:vertAlign w:val="subscript"/>
              </w:rPr>
              <w:t>woct</w:t>
            </w:r>
            <w:r>
              <w:rPr>
                <w:color w:val="auto"/>
                <w:sz w:val="24"/>
              </w:rPr>
              <w:t>为某个声源的倍频带声功率级，r</w:t>
            </w:r>
            <w:r>
              <w:rPr>
                <w:color w:val="auto"/>
                <w:sz w:val="24"/>
                <w:vertAlign w:val="subscript"/>
              </w:rPr>
              <w:t>1</w:t>
            </w:r>
            <w:r>
              <w:rPr>
                <w:color w:val="auto"/>
                <w:sz w:val="24"/>
              </w:rPr>
              <w:t>为室内某个声源与靠近围护结构处的距离，R为房间常数，Q为方向因子。</w:t>
            </w:r>
          </w:p>
          <w:p>
            <w:pPr>
              <w:adjustRightInd w:val="0"/>
              <w:snapToGrid w:val="0"/>
              <w:spacing w:line="360" w:lineRule="auto"/>
              <w:jc w:val="center"/>
              <w:rPr>
                <w:color w:val="auto"/>
              </w:rPr>
            </w:pPr>
            <w:r>
              <w:rPr>
                <w:color w:val="auto"/>
              </w:rPr>
              <w:drawing>
                <wp:inline distT="0" distB="0" distL="0" distR="0">
                  <wp:extent cx="3157855" cy="1795145"/>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157855" cy="1795145"/>
                          </a:xfrm>
                          <a:prstGeom prst="rect">
                            <a:avLst/>
                          </a:prstGeom>
                          <a:noFill/>
                          <a:ln>
                            <a:noFill/>
                          </a:ln>
                        </pic:spPr>
                      </pic:pic>
                    </a:graphicData>
                  </a:graphic>
                </wp:inline>
              </w:drawing>
            </w:r>
          </w:p>
          <w:p>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图4-1  室内声源等效为室外声源图例</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计算出所有室内声源在靠近围护结构处产生的总倍频带声压级：</w:t>
            </w:r>
          </w:p>
          <w:p>
            <w:pPr>
              <w:adjustRightInd w:val="0"/>
              <w:snapToGrid w:val="0"/>
              <w:spacing w:line="360" w:lineRule="auto"/>
              <w:jc w:val="center"/>
              <w:rPr>
                <w:color w:val="auto"/>
                <w:sz w:val="24"/>
              </w:rPr>
            </w:pPr>
            <w:r>
              <w:rPr>
                <w:color w:val="auto"/>
              </w:rPr>
              <w:drawing>
                <wp:inline distT="0" distB="0" distL="0" distR="0">
                  <wp:extent cx="2379345" cy="537845"/>
                  <wp:effectExtent l="0" t="0" r="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79345" cy="5378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计算出室外靠近围护结构处的声压级：</w:t>
            </w:r>
          </w:p>
          <w:p>
            <w:pPr>
              <w:adjustRightInd w:val="0"/>
              <w:snapToGrid w:val="0"/>
              <w:spacing w:line="360" w:lineRule="auto"/>
              <w:jc w:val="center"/>
              <w:rPr>
                <w:color w:val="auto"/>
                <w:sz w:val="24"/>
              </w:rPr>
            </w:pPr>
            <w:r>
              <w:rPr>
                <w:color w:val="auto"/>
              </w:rPr>
              <w:drawing>
                <wp:inline distT="0" distB="0" distL="0" distR="0">
                  <wp:extent cx="2455545" cy="283845"/>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55545" cy="2838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将室外声级L</w:t>
            </w:r>
            <w:r>
              <w:rPr>
                <w:color w:val="auto"/>
                <w:sz w:val="24"/>
                <w:vertAlign w:val="subscript"/>
              </w:rPr>
              <w:t>oct，2</w:t>
            </w:r>
            <w:r>
              <w:rPr>
                <w:color w:val="auto"/>
                <w:sz w:val="24"/>
              </w:rPr>
              <w:t>（T）和透声面积换算成等效的室外声源，计算出等效声源第i个倍频带的声功率级L</w:t>
            </w:r>
            <w:r>
              <w:rPr>
                <w:color w:val="auto"/>
                <w:sz w:val="24"/>
                <w:vertAlign w:val="subscript"/>
              </w:rPr>
              <w:t>woct</w:t>
            </w:r>
            <w:r>
              <w:rPr>
                <w:color w:val="auto"/>
                <w:sz w:val="24"/>
              </w:rPr>
              <w:t>：</w:t>
            </w:r>
          </w:p>
          <w:p>
            <w:pPr>
              <w:adjustRightInd w:val="0"/>
              <w:snapToGrid w:val="0"/>
              <w:spacing w:line="360" w:lineRule="auto"/>
              <w:jc w:val="center"/>
              <w:rPr>
                <w:color w:val="auto"/>
                <w:sz w:val="24"/>
              </w:rPr>
            </w:pPr>
            <w:r>
              <w:rPr>
                <w:color w:val="auto"/>
              </w:rPr>
              <w:drawing>
                <wp:inline distT="0" distB="0" distL="0" distR="0">
                  <wp:extent cx="2082800" cy="381000"/>
                  <wp:effectExtent l="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82800" cy="381000"/>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式中：S为透声面积，m</w:t>
            </w:r>
            <w:r>
              <w:rPr>
                <w:color w:val="auto"/>
                <w:sz w:val="24"/>
                <w:vertAlign w:val="superscript"/>
              </w:rPr>
              <w:t>2</w:t>
            </w:r>
            <w:r>
              <w:rPr>
                <w:color w:val="auto"/>
                <w:sz w:val="24"/>
              </w:rPr>
              <w:t>。</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等效室外声源的位置为围护结构的位置，其倍频带声功率级为L</w:t>
            </w:r>
            <w:r>
              <w:rPr>
                <w:color w:val="auto"/>
                <w:sz w:val="24"/>
                <w:vertAlign w:val="subscript"/>
              </w:rPr>
              <w:t>woct</w:t>
            </w:r>
            <w:r>
              <w:rPr>
                <w:color w:val="auto"/>
                <w:sz w:val="24"/>
              </w:rPr>
              <w:t>，由此按室外声源方法计算等效室外声源在预测点产生的声级。</w:t>
            </w:r>
          </w:p>
          <w:p>
            <w:pPr>
              <w:adjustRightInd w:val="0"/>
              <w:snapToGrid w:val="0"/>
              <w:spacing w:line="360" w:lineRule="auto"/>
              <w:ind w:firstLine="482" w:firstLineChars="200"/>
              <w:rPr>
                <w:b/>
                <w:bCs/>
                <w:color w:val="auto"/>
                <w:sz w:val="24"/>
              </w:rPr>
            </w:pPr>
            <w:r>
              <w:rPr>
                <w:b/>
                <w:bCs/>
                <w:color w:val="auto"/>
                <w:sz w:val="24"/>
              </w:rPr>
              <w:t>C、计算总声压级</w:t>
            </w:r>
          </w:p>
          <w:p>
            <w:pPr>
              <w:adjustRightInd w:val="0"/>
              <w:snapToGrid w:val="0"/>
              <w:spacing w:line="360" w:lineRule="auto"/>
              <w:ind w:firstLine="480" w:firstLineChars="200"/>
              <w:rPr>
                <w:color w:val="auto"/>
                <w:sz w:val="24"/>
              </w:rPr>
            </w:pPr>
            <w:r>
              <w:rPr>
                <w:color w:val="auto"/>
                <w:sz w:val="24"/>
              </w:rPr>
              <w:t>设第i个室外声源在预测点产生的A声级为L</w:t>
            </w:r>
            <w:r>
              <w:rPr>
                <w:color w:val="auto"/>
                <w:sz w:val="24"/>
                <w:vertAlign w:val="subscript"/>
              </w:rPr>
              <w:t>Ain，i</w:t>
            </w:r>
            <w:r>
              <w:rPr>
                <w:color w:val="auto"/>
                <w:sz w:val="24"/>
              </w:rPr>
              <w:t>，在T时间内该声源工作时间为tin，i；第j个等效室外声源在预测点产生的A声级为L</w:t>
            </w:r>
            <w:r>
              <w:rPr>
                <w:color w:val="auto"/>
                <w:sz w:val="24"/>
                <w:vertAlign w:val="subscript"/>
              </w:rPr>
              <w:t>Aout，j</w:t>
            </w:r>
            <w:r>
              <w:rPr>
                <w:color w:val="auto"/>
                <w:sz w:val="24"/>
              </w:rPr>
              <w:t>，在T时间内该声源工作时间为tout，j，则预测点的总等效声级为：</w:t>
            </w:r>
          </w:p>
          <w:p>
            <w:pPr>
              <w:adjustRightInd w:val="0"/>
              <w:snapToGrid w:val="0"/>
              <w:spacing w:line="360" w:lineRule="auto"/>
              <w:jc w:val="center"/>
              <w:rPr>
                <w:color w:val="auto"/>
                <w:sz w:val="24"/>
              </w:rPr>
            </w:pPr>
            <w:r>
              <w:rPr>
                <w:color w:val="auto"/>
              </w:rPr>
              <w:drawing>
                <wp:inline distT="0" distB="0" distL="0" distR="0">
                  <wp:extent cx="4051300" cy="652145"/>
                  <wp:effectExtent l="0" t="0" r="0" b="0"/>
                  <wp:docPr id="816917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17102"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051300" cy="65214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式中：T为计算等效声级的时间，N为室外声源个数，M为等效室外声源个数。</w:t>
            </w:r>
          </w:p>
          <w:p>
            <w:pPr>
              <w:widowControl/>
              <w:spacing w:line="360" w:lineRule="auto"/>
              <w:ind w:firstLine="482" w:firstLineChars="200"/>
              <w:jc w:val="left"/>
              <w:rPr>
                <w:b/>
                <w:bCs/>
                <w:color w:val="auto"/>
                <w:sz w:val="24"/>
              </w:rPr>
            </w:pPr>
            <w:r>
              <w:rPr>
                <w:b/>
                <w:bCs/>
                <w:color w:val="auto"/>
                <w:sz w:val="24"/>
              </w:rPr>
              <w:t>2）预测结果及评价</w:t>
            </w:r>
          </w:p>
          <w:p>
            <w:pPr>
              <w:widowControl/>
              <w:spacing w:line="360" w:lineRule="auto"/>
              <w:ind w:firstLine="480" w:firstLineChars="200"/>
              <w:jc w:val="left"/>
              <w:rPr>
                <w:rFonts w:hint="eastAsia" w:eastAsia="宋体"/>
                <w:color w:val="auto"/>
                <w:sz w:val="24"/>
                <w:lang w:eastAsia="zh-CN"/>
              </w:rPr>
            </w:pPr>
            <w:r>
              <w:rPr>
                <w:color w:val="auto"/>
                <w:sz w:val="24"/>
              </w:rPr>
              <w:t>噪声在室外空间的传播，由于受到遮挡物的隔断，各种介质的吸收与反射，以及空气介质的吸收等物理作用而逐渐减弱。为了简化计算条件并考虑到最不利因素，计算时只考虑噪声随距离的衰减，应用上述预测模式计算厂界各测点处的噪声排放声级，预测其对厂界周围声环境的影响，厂界噪声预测结果见下表</w:t>
            </w:r>
            <w:r>
              <w:rPr>
                <w:rFonts w:hint="eastAsia"/>
                <w:color w:val="auto"/>
                <w:sz w:val="24"/>
                <w:lang w:eastAsia="zh-CN"/>
              </w:rPr>
              <w:t>：</w:t>
            </w:r>
          </w:p>
          <w:p>
            <w:pPr>
              <w:spacing w:line="36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项目厂界噪声预测结果   单位：dB(A)</w:t>
            </w:r>
          </w:p>
          <w:tbl>
            <w:tblPr>
              <w:tblStyle w:val="28"/>
              <w:tblW w:w="79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47"/>
              <w:gridCol w:w="3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0" w:hRule="exact"/>
              </w:trPr>
              <w:tc>
                <w:tcPr>
                  <w:tcW w:w="4547" w:type="dxa"/>
                  <w:tcBorders>
                    <w:top w:val="single" w:color="auto" w:sz="4" w:space="0"/>
                    <w:left w:val="single" w:color="auto" w:sz="0"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项目</w:t>
                  </w:r>
                </w:p>
              </w:tc>
              <w:tc>
                <w:tcPr>
                  <w:tcW w:w="3437" w:type="dxa"/>
                  <w:tcBorders>
                    <w:top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position w:val="-3"/>
                      <w:szCs w:val="21"/>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1" w:hRule="exact"/>
              </w:trPr>
              <w:tc>
                <w:tcPr>
                  <w:tcW w:w="4547"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北厂界</w:t>
                  </w:r>
                </w:p>
              </w:tc>
              <w:tc>
                <w:tcPr>
                  <w:tcW w:w="343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3" w:hRule="exact"/>
              </w:trPr>
              <w:tc>
                <w:tcPr>
                  <w:tcW w:w="4547"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东厂界</w:t>
                  </w:r>
                </w:p>
              </w:tc>
              <w:tc>
                <w:tcPr>
                  <w:tcW w:w="343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2" w:hRule="exact"/>
              </w:trPr>
              <w:tc>
                <w:tcPr>
                  <w:tcW w:w="4547"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南厂界</w:t>
                  </w:r>
                </w:p>
              </w:tc>
              <w:tc>
                <w:tcPr>
                  <w:tcW w:w="343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9" w:hRule="exact"/>
              </w:trPr>
              <w:tc>
                <w:tcPr>
                  <w:tcW w:w="4547" w:type="dxa"/>
                  <w:tcBorders>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position w:val="-3"/>
                      <w:szCs w:val="21"/>
                    </w:rPr>
                    <w:t>西厂界</w:t>
                  </w:r>
                </w:p>
              </w:tc>
              <w:tc>
                <w:tcPr>
                  <w:tcW w:w="3437" w:type="dxa"/>
                  <w:tcBorders>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51.9</w:t>
                  </w:r>
                </w:p>
              </w:tc>
            </w:tr>
          </w:tbl>
          <w:p>
            <w:pPr>
              <w:spacing w:line="360" w:lineRule="auto"/>
              <w:ind w:firstLine="480" w:firstLineChars="200"/>
              <w:rPr>
                <w:color w:val="auto"/>
                <w:sz w:val="24"/>
              </w:rPr>
            </w:pPr>
            <w:r>
              <w:rPr>
                <w:color w:val="auto"/>
                <w:kern w:val="0"/>
                <w:sz w:val="24"/>
              </w:rPr>
              <w:t>由上表可看出，设备噪声通过基础减振及车间隔声等降噪措施后，再衰减至厂界后，厂界四周噪声贡献值可满足《工业企业厂界环境噪声排放标准》（GB12348-2008）</w:t>
            </w:r>
            <w:r>
              <w:rPr>
                <w:rFonts w:hint="eastAsia"/>
                <w:color w:val="auto"/>
                <w:kern w:val="0"/>
                <w:sz w:val="24"/>
                <w:lang w:val="en-US" w:eastAsia="zh-CN"/>
              </w:rPr>
              <w:t>3</w:t>
            </w:r>
            <w:r>
              <w:rPr>
                <w:color w:val="auto"/>
                <w:kern w:val="0"/>
                <w:sz w:val="24"/>
              </w:rPr>
              <w:t>类标准要求。且根据现场调查，项目</w:t>
            </w:r>
            <w:r>
              <w:rPr>
                <w:rFonts w:hint="eastAsia"/>
                <w:color w:val="auto"/>
                <w:kern w:val="0"/>
                <w:sz w:val="24"/>
                <w:lang w:val="en-US" w:eastAsia="zh-CN"/>
              </w:rPr>
              <w:t>厂区</w:t>
            </w:r>
            <w:r>
              <w:rPr>
                <w:color w:val="auto"/>
                <w:kern w:val="0"/>
                <w:sz w:val="24"/>
              </w:rPr>
              <w:t>周边50m范围内无声环境保护目标，不会对发生扰民现象</w:t>
            </w:r>
            <w:r>
              <w:rPr>
                <w:b/>
                <w:bCs/>
                <w:color w:val="auto"/>
                <w:kern w:val="0"/>
                <w:sz w:val="24"/>
              </w:rPr>
              <w:t>。</w:t>
            </w:r>
          </w:p>
          <w:p>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四</w:t>
            </w:r>
            <w:r>
              <w:rPr>
                <w:rFonts w:ascii="Times New Roman" w:hAnsi="Times New Roman" w:eastAsia="宋体" w:cs="Times New Roman"/>
                <w:b/>
                <w:bCs/>
                <w:color w:val="auto"/>
                <w:sz w:val="24"/>
              </w:rPr>
              <w:t>、固</w:t>
            </w:r>
            <w:r>
              <w:rPr>
                <w:rFonts w:hint="eastAsia" w:ascii="Times New Roman" w:hAnsi="Times New Roman" w:eastAsia="宋体" w:cs="Times New Roman"/>
                <w:b/>
                <w:bCs/>
                <w:color w:val="auto"/>
                <w:sz w:val="24"/>
                <w:lang w:val="en-US" w:eastAsia="zh-CN"/>
              </w:rPr>
              <w:t>废处置</w:t>
            </w:r>
            <w:r>
              <w:rPr>
                <w:rFonts w:ascii="Times New Roman" w:hAnsi="Times New Roman" w:eastAsia="宋体" w:cs="Times New Roman"/>
                <w:b/>
                <w:bCs/>
                <w:color w:val="auto"/>
                <w:sz w:val="24"/>
              </w:rPr>
              <w:t>措施</w:t>
            </w:r>
          </w:p>
          <w:p>
            <w:pPr>
              <w:spacing w:line="360" w:lineRule="auto"/>
              <w:ind w:firstLine="480" w:firstLineChars="200"/>
              <w:rPr>
                <w:rFonts w:hint="default" w:eastAsia="宋体"/>
                <w:b w:val="0"/>
                <w:bCs w:val="0"/>
                <w:color w:val="auto"/>
                <w:sz w:val="24"/>
                <w:lang w:val="en-US" w:eastAsia="zh-CN"/>
              </w:rPr>
            </w:pPr>
            <w:r>
              <w:rPr>
                <w:rFonts w:hint="eastAsia"/>
                <w:b w:val="0"/>
                <w:bCs w:val="0"/>
                <w:color w:val="auto"/>
                <w:sz w:val="24"/>
                <w:lang w:val="en-US" w:eastAsia="zh-CN"/>
              </w:rPr>
              <w:t>本项目营运期主要固废为设备保养维修产生的</w:t>
            </w:r>
            <w:r>
              <w:rPr>
                <w:b w:val="0"/>
                <w:bCs w:val="0"/>
                <w:color w:val="auto"/>
                <w:sz w:val="24"/>
              </w:rPr>
              <w:t>废矿物油及废含油抹布</w:t>
            </w:r>
            <w:r>
              <w:rPr>
                <w:rFonts w:hint="eastAsia"/>
                <w:b w:val="0"/>
                <w:bCs w:val="0"/>
                <w:color w:val="auto"/>
                <w:sz w:val="24"/>
                <w:lang w:eastAsia="zh-CN"/>
              </w:rPr>
              <w:t>。</w:t>
            </w:r>
          </w:p>
          <w:p>
            <w:pPr>
              <w:spacing w:line="360" w:lineRule="auto"/>
              <w:ind w:firstLine="482" w:firstLineChars="200"/>
              <w:rPr>
                <w:rFonts w:hint="eastAsia" w:eastAsia="宋体"/>
                <w:b/>
                <w:bCs/>
                <w:color w:val="auto"/>
                <w:sz w:val="24"/>
                <w:lang w:eastAsia="zh-CN"/>
              </w:rPr>
            </w:pPr>
            <w:r>
              <w:rPr>
                <w:rFonts w:hint="eastAsia"/>
                <w:b/>
                <w:bCs/>
                <w:color w:val="auto"/>
                <w:sz w:val="24"/>
                <w:lang w:val="en-US" w:eastAsia="zh-CN"/>
              </w:rPr>
              <w:t>3</w:t>
            </w:r>
            <w:r>
              <w:rPr>
                <w:b/>
                <w:bCs/>
                <w:color w:val="auto"/>
                <w:sz w:val="24"/>
              </w:rPr>
              <w:t>、废机油及含油棉纱</w:t>
            </w:r>
            <w:r>
              <w:rPr>
                <w:rFonts w:hint="eastAsia"/>
                <w:b/>
                <w:bCs/>
                <w:color w:val="auto"/>
                <w:sz w:val="24"/>
                <w:lang w:eastAsia="zh-CN"/>
              </w:rPr>
              <w:t>（</w:t>
            </w:r>
            <w:r>
              <w:rPr>
                <w:rFonts w:hint="eastAsia"/>
                <w:b/>
                <w:bCs/>
                <w:color w:val="auto"/>
                <w:sz w:val="24"/>
                <w:lang w:val="en-US" w:eastAsia="zh-CN"/>
              </w:rPr>
              <w:t>抹布</w:t>
            </w:r>
            <w:r>
              <w:rPr>
                <w:rFonts w:hint="eastAsia"/>
                <w:b/>
                <w:bCs/>
                <w:color w:val="auto"/>
                <w:sz w:val="24"/>
                <w:lang w:eastAsia="zh-CN"/>
              </w:rPr>
              <w:t>）</w:t>
            </w:r>
          </w:p>
          <w:p>
            <w:pPr>
              <w:spacing w:line="360" w:lineRule="auto"/>
              <w:ind w:firstLine="480" w:firstLineChars="200"/>
              <w:rPr>
                <w:rFonts w:hint="eastAsia"/>
                <w:color w:val="auto"/>
                <w:sz w:val="24"/>
                <w:lang w:eastAsia="zh-CN"/>
              </w:rPr>
            </w:pPr>
            <w:r>
              <w:rPr>
                <w:color w:val="auto"/>
                <w:sz w:val="24"/>
              </w:rPr>
              <w:t>本水厂设备保养和维修会产生废矿物油及废含油抹布，废矿物油年产生量为0.</w:t>
            </w:r>
            <w:r>
              <w:rPr>
                <w:rFonts w:hint="eastAsia"/>
                <w:color w:val="auto"/>
                <w:sz w:val="24"/>
                <w:lang w:val="en-US" w:eastAsia="zh-CN"/>
              </w:rPr>
              <w:t>05</w:t>
            </w:r>
            <w:r>
              <w:rPr>
                <w:color w:val="auto"/>
                <w:sz w:val="24"/>
              </w:rPr>
              <w:t>t/a，废含油抹布及废油桶产生量为0.01t/a，根据《国家危险废物名录（2021年版）》，废机油属于HW08，900-249-08；废含油抹布属于HW49，900-041-49</w:t>
            </w:r>
            <w:r>
              <w:rPr>
                <w:rFonts w:hint="eastAsia"/>
                <w:color w:val="auto"/>
                <w:sz w:val="24"/>
                <w:lang w:eastAsia="zh-CN"/>
              </w:rPr>
              <w:t>。</w:t>
            </w:r>
          </w:p>
          <w:p>
            <w:pPr>
              <w:spacing w:line="360" w:lineRule="auto"/>
              <w:ind w:firstLine="482" w:firstLineChars="200"/>
              <w:rPr>
                <w:b/>
                <w:bCs/>
                <w:color w:val="auto"/>
                <w:sz w:val="24"/>
              </w:rPr>
            </w:pPr>
            <w:r>
              <w:rPr>
                <w:rFonts w:hint="eastAsia"/>
                <w:b/>
                <w:bCs/>
                <w:color w:val="auto"/>
                <w:sz w:val="24"/>
                <w:lang w:val="en-US" w:eastAsia="zh-CN"/>
              </w:rPr>
              <w:t>治理措施及存在的问题：本项目运营期间，暂未产生废机油及</w:t>
            </w:r>
            <w:r>
              <w:rPr>
                <w:b/>
                <w:bCs/>
                <w:color w:val="auto"/>
                <w:sz w:val="24"/>
              </w:rPr>
              <w:t>含油棉纱</w:t>
            </w:r>
            <w:r>
              <w:rPr>
                <w:rFonts w:hint="eastAsia"/>
                <w:b/>
                <w:bCs/>
                <w:color w:val="auto"/>
                <w:sz w:val="24"/>
                <w:lang w:eastAsia="zh-CN"/>
              </w:rPr>
              <w:t>（</w:t>
            </w:r>
            <w:r>
              <w:rPr>
                <w:rFonts w:hint="eastAsia"/>
                <w:b/>
                <w:bCs/>
                <w:color w:val="auto"/>
                <w:sz w:val="24"/>
                <w:lang w:val="en-US" w:eastAsia="zh-CN"/>
              </w:rPr>
              <w:t>抹布</w:t>
            </w:r>
            <w:r>
              <w:rPr>
                <w:rFonts w:hint="eastAsia"/>
                <w:b/>
                <w:bCs/>
                <w:color w:val="auto"/>
                <w:sz w:val="24"/>
                <w:lang w:eastAsia="zh-CN"/>
              </w:rPr>
              <w:t>），</w:t>
            </w:r>
            <w:r>
              <w:rPr>
                <w:rFonts w:hint="eastAsia"/>
                <w:b/>
                <w:bCs/>
                <w:color w:val="auto"/>
                <w:sz w:val="24"/>
                <w:lang w:val="en-US" w:eastAsia="zh-CN"/>
              </w:rPr>
              <w:t>厂区暂未设置危废暂存间，环评要求后期运行过程中：</w:t>
            </w:r>
            <w:r>
              <w:rPr>
                <w:b/>
                <w:bCs/>
                <w:color w:val="auto"/>
                <w:sz w:val="24"/>
              </w:rPr>
              <w:t>暂存于危废暂存间内</w:t>
            </w:r>
            <w:r>
              <w:rPr>
                <w:rFonts w:hint="eastAsia"/>
                <w:b/>
                <w:bCs/>
                <w:color w:val="auto"/>
                <w:sz w:val="24"/>
                <w:lang w:eastAsia="zh-CN"/>
              </w:rPr>
              <w:t>，</w:t>
            </w:r>
            <w:r>
              <w:rPr>
                <w:rFonts w:hint="eastAsia"/>
                <w:b/>
                <w:bCs/>
                <w:color w:val="auto"/>
                <w:sz w:val="24"/>
                <w:lang w:val="en-US" w:eastAsia="zh-CN"/>
              </w:rPr>
              <w:t>可依托东柳水厂设置的危废暂存间</w:t>
            </w:r>
            <w:r>
              <w:rPr>
                <w:b/>
                <w:bCs/>
                <w:color w:val="auto"/>
                <w:sz w:val="24"/>
              </w:rPr>
              <w:t>，定期交由有资质单位处理。</w:t>
            </w:r>
          </w:p>
          <w:p>
            <w:pPr>
              <w:adjustRightInd w:val="0"/>
              <w:snapToGrid w:val="0"/>
              <w:spacing w:line="360" w:lineRule="auto"/>
              <w:ind w:firstLine="480" w:firstLineChars="200"/>
              <w:contextualSpacing/>
              <w:rPr>
                <w:color w:val="auto"/>
                <w:sz w:val="24"/>
              </w:rPr>
            </w:pPr>
            <w:r>
              <w:rPr>
                <w:rFonts w:hint="eastAsia"/>
                <w:color w:val="auto"/>
                <w:sz w:val="24"/>
                <w:lang w:val="en-US" w:eastAsia="zh-CN"/>
              </w:rPr>
              <w:t>本环评要求项目危险废物由桶装放置于危废暂存间，</w:t>
            </w:r>
            <w:r>
              <w:rPr>
                <w:color w:val="auto"/>
                <w:sz w:val="24"/>
              </w:rPr>
              <w:t>并在危废暂存间设置金属托盘，危废分类存于金属托盘内</w:t>
            </w:r>
            <w:r>
              <w:rPr>
                <w:rFonts w:hint="eastAsia"/>
                <w:color w:val="auto"/>
                <w:sz w:val="24"/>
                <w:lang w:eastAsia="zh-CN"/>
              </w:rPr>
              <w:t>，</w:t>
            </w:r>
            <w:r>
              <w:rPr>
                <w:rFonts w:hint="eastAsia"/>
                <w:color w:val="auto"/>
                <w:sz w:val="24"/>
                <w:lang w:val="en-US" w:eastAsia="zh-CN"/>
              </w:rPr>
              <w:t>满足重点防渗要求</w:t>
            </w:r>
            <w:r>
              <w:rPr>
                <w:color w:val="auto"/>
                <w:sz w:val="24"/>
              </w:rPr>
              <w:t>。采</w:t>
            </w:r>
            <w:r>
              <w:rPr>
                <w:rFonts w:hint="eastAsia" w:ascii="宋体" w:hAnsi="宋体" w:eastAsia="宋体" w:cs="宋体"/>
                <w:color w:val="auto"/>
                <w:sz w:val="24"/>
              </w:rPr>
              <w:t>取“防风、防雨、防晒、防渗漏”措</w:t>
            </w:r>
            <w:r>
              <w:rPr>
                <w:color w:val="auto"/>
                <w:sz w:val="24"/>
              </w:rPr>
              <w:t>施，危废分类存储</w:t>
            </w:r>
            <w:r>
              <w:rPr>
                <w:rFonts w:hint="eastAsia"/>
                <w:color w:val="auto"/>
                <w:sz w:val="24"/>
                <w:lang w:eastAsia="zh-CN"/>
              </w:rPr>
              <w:t>。</w:t>
            </w:r>
            <w:r>
              <w:rPr>
                <w:color w:val="auto"/>
                <w:sz w:val="24"/>
              </w:rPr>
              <w:t>与具有厂内产生的危废处理资质的危废单位危废处置协议，将对应危废交由对应资质单位进行处置，建设单位在运行过程中，应落实危险废物转移联单制度。</w:t>
            </w:r>
          </w:p>
          <w:p>
            <w:pPr>
              <w:adjustRightInd w:val="0"/>
              <w:snapToGrid w:val="0"/>
              <w:spacing w:line="360" w:lineRule="auto"/>
              <w:ind w:firstLine="480" w:firstLineChars="200"/>
              <w:contextualSpacing/>
              <w:rPr>
                <w:color w:val="auto"/>
                <w:sz w:val="24"/>
              </w:rPr>
            </w:pPr>
            <w:r>
              <w:rPr>
                <w:color w:val="auto"/>
                <w:sz w:val="24"/>
              </w:rPr>
              <w:t>本项目固体废物的统计及处置情况见下表。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表4-3  本项目固体废物种类及产生量及处置措施一览表</w:t>
            </w:r>
          </w:p>
          <w:tbl>
            <w:tblPr>
              <w:tblStyle w:val="28"/>
              <w:tblW w:w="79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94"/>
              <w:gridCol w:w="837"/>
              <w:gridCol w:w="1761"/>
              <w:gridCol w:w="938"/>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94" w:type="dxa"/>
                  <w:tcBorders>
                    <w:tl2br w:val="nil"/>
                    <w:tr2bl w:val="nil"/>
                  </w:tcBorders>
                  <w:shd w:val="clear" w:color="auto" w:fill="auto"/>
                  <w:vAlign w:val="center"/>
                </w:tcPr>
                <w:p>
                  <w:pPr>
                    <w:widowControl/>
                    <w:jc w:val="center"/>
                    <w:rPr>
                      <w:b/>
                      <w:color w:val="auto"/>
                      <w:szCs w:val="21"/>
                    </w:rPr>
                  </w:pPr>
                  <w:r>
                    <w:rPr>
                      <w:b/>
                      <w:color w:val="auto"/>
                      <w:szCs w:val="21"/>
                    </w:rPr>
                    <w:t>污染物名称</w:t>
                  </w:r>
                </w:p>
              </w:tc>
              <w:tc>
                <w:tcPr>
                  <w:tcW w:w="837" w:type="dxa"/>
                  <w:tcBorders>
                    <w:tl2br w:val="nil"/>
                    <w:tr2bl w:val="nil"/>
                  </w:tcBorders>
                  <w:shd w:val="clear" w:color="auto" w:fill="auto"/>
                  <w:vAlign w:val="center"/>
                </w:tcPr>
                <w:p>
                  <w:pPr>
                    <w:widowControl/>
                    <w:jc w:val="center"/>
                    <w:rPr>
                      <w:b/>
                      <w:color w:val="auto"/>
                      <w:szCs w:val="21"/>
                    </w:rPr>
                  </w:pPr>
                  <w:r>
                    <w:rPr>
                      <w:b/>
                      <w:color w:val="auto"/>
                      <w:szCs w:val="21"/>
                    </w:rPr>
                    <w:t>属性</w:t>
                  </w:r>
                </w:p>
              </w:tc>
              <w:tc>
                <w:tcPr>
                  <w:tcW w:w="1761" w:type="dxa"/>
                  <w:tcBorders>
                    <w:tl2br w:val="nil"/>
                    <w:tr2bl w:val="nil"/>
                  </w:tcBorders>
                  <w:shd w:val="clear" w:color="auto" w:fill="auto"/>
                  <w:vAlign w:val="center"/>
                </w:tcPr>
                <w:p>
                  <w:pPr>
                    <w:widowControl/>
                    <w:jc w:val="center"/>
                    <w:rPr>
                      <w:b/>
                      <w:color w:val="auto"/>
                      <w:szCs w:val="21"/>
                    </w:rPr>
                  </w:pPr>
                  <w:r>
                    <w:rPr>
                      <w:b/>
                      <w:color w:val="auto"/>
                      <w:szCs w:val="21"/>
                    </w:rPr>
                    <w:t>废物类别</w:t>
                  </w:r>
                </w:p>
              </w:tc>
              <w:tc>
                <w:tcPr>
                  <w:tcW w:w="938" w:type="dxa"/>
                  <w:tcBorders>
                    <w:tl2br w:val="nil"/>
                    <w:tr2bl w:val="nil"/>
                  </w:tcBorders>
                  <w:shd w:val="clear" w:color="auto" w:fill="auto"/>
                  <w:vAlign w:val="center"/>
                </w:tcPr>
                <w:p>
                  <w:pPr>
                    <w:widowControl/>
                    <w:jc w:val="center"/>
                    <w:rPr>
                      <w:b/>
                      <w:color w:val="auto"/>
                      <w:szCs w:val="21"/>
                    </w:rPr>
                  </w:pPr>
                  <w:r>
                    <w:rPr>
                      <w:b/>
                      <w:color w:val="auto"/>
                      <w:szCs w:val="21"/>
                    </w:rPr>
                    <w:t>产生量</w:t>
                  </w:r>
                </w:p>
              </w:tc>
              <w:tc>
                <w:tcPr>
                  <w:tcW w:w="2446" w:type="dxa"/>
                  <w:tcBorders>
                    <w:tl2br w:val="nil"/>
                    <w:tr2bl w:val="nil"/>
                  </w:tcBorders>
                  <w:shd w:val="clear" w:color="auto" w:fill="auto"/>
                  <w:vAlign w:val="center"/>
                </w:tcPr>
                <w:p>
                  <w:pPr>
                    <w:widowControl/>
                    <w:jc w:val="center"/>
                    <w:rPr>
                      <w:b/>
                      <w:color w:val="auto"/>
                      <w:szCs w:val="21"/>
                    </w:rPr>
                  </w:pPr>
                  <w:r>
                    <w:rPr>
                      <w:b/>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1994" w:type="dxa"/>
                  <w:tcBorders>
                    <w:tl2br w:val="nil"/>
                    <w:tr2bl w:val="nil"/>
                  </w:tcBorders>
                  <w:shd w:val="clear" w:color="auto" w:fill="auto"/>
                  <w:vAlign w:val="center"/>
                </w:tcPr>
                <w:p>
                  <w:pPr>
                    <w:widowControl/>
                    <w:jc w:val="center"/>
                    <w:rPr>
                      <w:color w:val="auto"/>
                      <w:szCs w:val="21"/>
                    </w:rPr>
                  </w:pPr>
                  <w:r>
                    <w:rPr>
                      <w:color w:val="auto"/>
                      <w:szCs w:val="21"/>
                    </w:rPr>
                    <w:t>废含油棉纱</w:t>
                  </w:r>
                </w:p>
              </w:tc>
              <w:tc>
                <w:tcPr>
                  <w:tcW w:w="837" w:type="dxa"/>
                  <w:vMerge w:val="restart"/>
                  <w:tcBorders>
                    <w:tl2br w:val="nil"/>
                    <w:tr2bl w:val="nil"/>
                  </w:tcBorders>
                  <w:shd w:val="clear" w:color="auto" w:fill="auto"/>
                  <w:vAlign w:val="center"/>
                </w:tcPr>
                <w:p>
                  <w:pPr>
                    <w:widowControl/>
                    <w:jc w:val="center"/>
                    <w:rPr>
                      <w:rFonts w:hint="default" w:eastAsia="宋体"/>
                      <w:color w:val="auto"/>
                      <w:szCs w:val="21"/>
                      <w:lang w:val="en-US" w:eastAsia="zh-CN"/>
                    </w:rPr>
                  </w:pPr>
                  <w:r>
                    <w:rPr>
                      <w:rFonts w:hint="eastAsia"/>
                      <w:color w:val="auto"/>
                      <w:szCs w:val="21"/>
                      <w:lang w:val="en-US" w:eastAsia="zh-CN"/>
                    </w:rPr>
                    <w:t>危险废物</w:t>
                  </w:r>
                </w:p>
              </w:tc>
              <w:tc>
                <w:tcPr>
                  <w:tcW w:w="1761" w:type="dxa"/>
                  <w:tcBorders>
                    <w:tl2br w:val="nil"/>
                    <w:tr2bl w:val="nil"/>
                  </w:tcBorders>
                  <w:shd w:val="clear" w:color="auto" w:fill="auto"/>
                  <w:vAlign w:val="center"/>
                </w:tcPr>
                <w:p>
                  <w:pPr>
                    <w:widowControl/>
                    <w:jc w:val="center"/>
                    <w:rPr>
                      <w:color w:val="auto"/>
                      <w:szCs w:val="21"/>
                    </w:rPr>
                  </w:pPr>
                  <w:r>
                    <w:rPr>
                      <w:color w:val="auto"/>
                      <w:szCs w:val="21"/>
                    </w:rPr>
                    <w:t>HW49其他废物</w:t>
                  </w:r>
                </w:p>
                <w:p>
                  <w:pPr>
                    <w:widowControl/>
                    <w:jc w:val="center"/>
                    <w:rPr>
                      <w:color w:val="auto"/>
                      <w:szCs w:val="21"/>
                    </w:rPr>
                  </w:pPr>
                  <w:r>
                    <w:rPr>
                      <w:color w:val="auto"/>
                      <w:szCs w:val="21"/>
                    </w:rPr>
                    <w:t>900-041-49</w:t>
                  </w:r>
                </w:p>
              </w:tc>
              <w:tc>
                <w:tcPr>
                  <w:tcW w:w="938" w:type="dxa"/>
                  <w:tcBorders>
                    <w:tl2br w:val="nil"/>
                    <w:tr2bl w:val="nil"/>
                  </w:tcBorders>
                  <w:shd w:val="clear" w:color="auto" w:fill="auto"/>
                  <w:vAlign w:val="center"/>
                </w:tcPr>
                <w:p>
                  <w:pPr>
                    <w:widowControl/>
                    <w:jc w:val="center"/>
                    <w:rPr>
                      <w:color w:val="auto"/>
                      <w:szCs w:val="21"/>
                    </w:rPr>
                  </w:pPr>
                  <w:r>
                    <w:rPr>
                      <w:color w:val="auto"/>
                      <w:szCs w:val="21"/>
                    </w:rPr>
                    <w:t>0.01t/a</w:t>
                  </w:r>
                </w:p>
              </w:tc>
              <w:tc>
                <w:tcPr>
                  <w:tcW w:w="2446" w:type="dxa"/>
                  <w:vMerge w:val="restart"/>
                  <w:tcBorders>
                    <w:tl2br w:val="nil"/>
                    <w:tr2bl w:val="nil"/>
                  </w:tcBorders>
                  <w:shd w:val="clear" w:color="auto" w:fill="auto"/>
                  <w:vAlign w:val="center"/>
                </w:tcPr>
                <w:p>
                  <w:pPr>
                    <w:widowControl/>
                    <w:jc w:val="center"/>
                    <w:rPr>
                      <w:color w:val="auto"/>
                      <w:szCs w:val="21"/>
                    </w:rPr>
                  </w:pPr>
                  <w:r>
                    <w:rPr>
                      <w:color w:val="auto"/>
                      <w:szCs w:val="21"/>
                    </w:rPr>
                    <w:t>各项危险废物，分别按废弃物类别配备专用的收集容器，存放于危废暂存间，及时交由有资质单位进行合理处置。液态危废存放时在容器下方放置金属托盘。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94" w:type="dxa"/>
                  <w:tcBorders>
                    <w:tl2br w:val="nil"/>
                    <w:tr2bl w:val="nil"/>
                  </w:tcBorders>
                  <w:shd w:val="clear" w:color="auto" w:fill="auto"/>
                  <w:vAlign w:val="center"/>
                </w:tcPr>
                <w:p>
                  <w:pPr>
                    <w:widowControl/>
                    <w:jc w:val="center"/>
                    <w:rPr>
                      <w:color w:val="auto"/>
                      <w:szCs w:val="21"/>
                    </w:rPr>
                  </w:pPr>
                  <w:r>
                    <w:rPr>
                      <w:color w:val="auto"/>
                      <w:szCs w:val="21"/>
                    </w:rPr>
                    <w:t>废机油</w:t>
                  </w:r>
                </w:p>
              </w:tc>
              <w:tc>
                <w:tcPr>
                  <w:tcW w:w="837" w:type="dxa"/>
                  <w:vMerge w:val="continue"/>
                  <w:tcBorders>
                    <w:tl2br w:val="nil"/>
                    <w:tr2bl w:val="nil"/>
                  </w:tcBorders>
                  <w:shd w:val="clear" w:color="auto" w:fill="auto"/>
                  <w:vAlign w:val="center"/>
                </w:tcPr>
                <w:p>
                  <w:pPr>
                    <w:widowControl/>
                    <w:jc w:val="center"/>
                    <w:rPr>
                      <w:color w:val="auto"/>
                      <w:szCs w:val="21"/>
                    </w:rPr>
                  </w:pPr>
                </w:p>
              </w:tc>
              <w:tc>
                <w:tcPr>
                  <w:tcW w:w="1761" w:type="dxa"/>
                  <w:tcBorders>
                    <w:tl2br w:val="nil"/>
                    <w:tr2bl w:val="nil"/>
                  </w:tcBorders>
                  <w:shd w:val="clear" w:color="auto" w:fill="auto"/>
                  <w:vAlign w:val="center"/>
                </w:tcPr>
                <w:p>
                  <w:pPr>
                    <w:widowControl/>
                    <w:jc w:val="center"/>
                    <w:rPr>
                      <w:color w:val="auto"/>
                      <w:szCs w:val="21"/>
                    </w:rPr>
                  </w:pPr>
                  <w:r>
                    <w:rPr>
                      <w:color w:val="auto"/>
                      <w:szCs w:val="21"/>
                    </w:rPr>
                    <w:t>HW08废矿物油与含矿物油废物</w:t>
                  </w:r>
                </w:p>
                <w:p>
                  <w:pPr>
                    <w:widowControl/>
                    <w:jc w:val="center"/>
                    <w:rPr>
                      <w:color w:val="auto"/>
                      <w:szCs w:val="21"/>
                    </w:rPr>
                  </w:pPr>
                  <w:r>
                    <w:rPr>
                      <w:color w:val="auto"/>
                      <w:szCs w:val="21"/>
                    </w:rPr>
                    <w:t>900-214-08</w:t>
                  </w:r>
                </w:p>
              </w:tc>
              <w:tc>
                <w:tcPr>
                  <w:tcW w:w="938" w:type="dxa"/>
                  <w:tcBorders>
                    <w:tl2br w:val="nil"/>
                    <w:tr2bl w:val="nil"/>
                  </w:tcBorders>
                  <w:shd w:val="clear" w:color="auto" w:fill="auto"/>
                  <w:vAlign w:val="center"/>
                </w:tcPr>
                <w:p>
                  <w:pPr>
                    <w:widowControl/>
                    <w:jc w:val="center"/>
                    <w:rPr>
                      <w:color w:val="auto"/>
                      <w:szCs w:val="21"/>
                    </w:rPr>
                  </w:pPr>
                  <w:r>
                    <w:rPr>
                      <w:color w:val="auto"/>
                      <w:szCs w:val="21"/>
                    </w:rPr>
                    <w:t>0.</w:t>
                  </w:r>
                  <w:r>
                    <w:rPr>
                      <w:rFonts w:hint="eastAsia"/>
                      <w:color w:val="auto"/>
                      <w:szCs w:val="21"/>
                      <w:lang w:val="en-US" w:eastAsia="zh-CN"/>
                    </w:rPr>
                    <w:t>05</w:t>
                  </w:r>
                  <w:r>
                    <w:rPr>
                      <w:color w:val="auto"/>
                      <w:szCs w:val="21"/>
                    </w:rPr>
                    <w:t>t/a</w:t>
                  </w:r>
                </w:p>
              </w:tc>
              <w:tc>
                <w:tcPr>
                  <w:tcW w:w="2446" w:type="dxa"/>
                  <w:vMerge w:val="continue"/>
                  <w:tcBorders>
                    <w:tl2br w:val="nil"/>
                    <w:tr2bl w:val="nil"/>
                  </w:tcBorders>
                  <w:shd w:val="clear" w:color="auto" w:fill="auto"/>
                  <w:vAlign w:val="center"/>
                </w:tcPr>
                <w:p>
                  <w:pPr>
                    <w:widowControl/>
                    <w:jc w:val="center"/>
                    <w:rPr>
                      <w:color w:val="auto"/>
                      <w:szCs w:val="21"/>
                    </w:rPr>
                  </w:pPr>
                </w:p>
              </w:tc>
            </w:tr>
          </w:tbl>
          <w:p>
            <w:pPr>
              <w:autoSpaceDE w:val="0"/>
              <w:spacing w:line="360" w:lineRule="auto"/>
              <w:ind w:firstLine="480" w:firstLineChars="200"/>
              <w:rPr>
                <w:color w:val="auto"/>
                <w:sz w:val="24"/>
                <w:lang w:bidi="zh-CN"/>
              </w:rPr>
            </w:pPr>
            <w:r>
              <w:rPr>
                <w:color w:val="auto"/>
                <w:sz w:val="24"/>
                <w:lang w:bidi="zh-CN"/>
              </w:rPr>
              <w:t>根据《建设项目危险废物环境影响评价指南》对危险废物贮存场所基本情况详见下表：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表4-4  项目危险废物汇总表</w:t>
            </w:r>
          </w:p>
          <w:tbl>
            <w:tblPr>
              <w:tblStyle w:val="28"/>
              <w:tblW w:w="7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14"/>
              <w:gridCol w:w="664"/>
              <w:gridCol w:w="989"/>
              <w:gridCol w:w="636"/>
              <w:gridCol w:w="668"/>
              <w:gridCol w:w="512"/>
              <w:gridCol w:w="414"/>
              <w:gridCol w:w="547"/>
              <w:gridCol w:w="502"/>
              <w:gridCol w:w="584"/>
              <w:gridCol w:w="871"/>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41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序号</w:t>
                  </w:r>
                </w:p>
              </w:tc>
              <w:tc>
                <w:tcPr>
                  <w:tcW w:w="66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危废名称</w:t>
                  </w:r>
                </w:p>
              </w:tc>
              <w:tc>
                <w:tcPr>
                  <w:tcW w:w="989"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危废代码</w:t>
                  </w:r>
                </w:p>
              </w:tc>
              <w:tc>
                <w:tcPr>
                  <w:tcW w:w="636"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危废类别</w:t>
                  </w:r>
                </w:p>
              </w:tc>
              <w:tc>
                <w:tcPr>
                  <w:tcW w:w="668" w:type="dxa"/>
                  <w:tcBorders>
                    <w:tl2br w:val="nil"/>
                    <w:tr2bl w:val="nil"/>
                  </w:tcBorders>
                  <w:shd w:val="clear" w:color="auto" w:fill="auto"/>
                  <w:vAlign w:val="center"/>
                </w:tcPr>
                <w:p>
                  <w:pPr>
                    <w:widowControl/>
                    <w:jc w:val="center"/>
                    <w:rPr>
                      <w:b/>
                      <w:color w:val="auto"/>
                      <w:kern w:val="0"/>
                      <w:szCs w:val="21"/>
                    </w:rPr>
                  </w:pPr>
                  <w:r>
                    <w:rPr>
                      <w:b/>
                      <w:color w:val="auto"/>
                      <w:kern w:val="0"/>
                      <w:szCs w:val="21"/>
                    </w:rPr>
                    <w:t>属性</w:t>
                  </w:r>
                </w:p>
              </w:tc>
              <w:tc>
                <w:tcPr>
                  <w:tcW w:w="512" w:type="dxa"/>
                  <w:tcBorders>
                    <w:tl2br w:val="nil"/>
                    <w:tr2bl w:val="nil"/>
                  </w:tcBorders>
                  <w:shd w:val="clear" w:color="auto" w:fill="auto"/>
                  <w:vAlign w:val="center"/>
                </w:tcPr>
                <w:p>
                  <w:pPr>
                    <w:widowControl/>
                    <w:jc w:val="center"/>
                    <w:rPr>
                      <w:b/>
                      <w:color w:val="auto"/>
                      <w:kern w:val="0"/>
                      <w:szCs w:val="21"/>
                    </w:rPr>
                  </w:pPr>
                  <w:r>
                    <w:rPr>
                      <w:b/>
                      <w:color w:val="auto"/>
                      <w:kern w:val="0"/>
                      <w:szCs w:val="21"/>
                    </w:rPr>
                    <w:t>产生工序</w:t>
                  </w:r>
                </w:p>
              </w:tc>
              <w:tc>
                <w:tcPr>
                  <w:tcW w:w="41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形态</w:t>
                  </w:r>
                </w:p>
              </w:tc>
              <w:tc>
                <w:tcPr>
                  <w:tcW w:w="547" w:type="dxa"/>
                  <w:tcBorders>
                    <w:tl2br w:val="nil"/>
                    <w:tr2bl w:val="nil"/>
                  </w:tcBorders>
                  <w:shd w:val="clear" w:color="auto" w:fill="auto"/>
                  <w:vAlign w:val="center"/>
                </w:tcPr>
                <w:p>
                  <w:pPr>
                    <w:widowControl/>
                    <w:jc w:val="center"/>
                    <w:rPr>
                      <w:b/>
                      <w:color w:val="auto"/>
                      <w:kern w:val="0"/>
                      <w:szCs w:val="21"/>
                    </w:rPr>
                  </w:pPr>
                  <w:r>
                    <w:rPr>
                      <w:b/>
                      <w:color w:val="auto"/>
                      <w:kern w:val="0"/>
                      <w:szCs w:val="21"/>
                    </w:rPr>
                    <w:t>有害成分</w:t>
                  </w:r>
                </w:p>
              </w:tc>
              <w:tc>
                <w:tcPr>
                  <w:tcW w:w="502" w:type="dxa"/>
                  <w:tcBorders>
                    <w:tl2br w:val="nil"/>
                    <w:tr2bl w:val="nil"/>
                  </w:tcBorders>
                  <w:shd w:val="clear" w:color="auto" w:fill="auto"/>
                  <w:vAlign w:val="center"/>
                </w:tcPr>
                <w:p>
                  <w:pPr>
                    <w:widowControl/>
                    <w:jc w:val="center"/>
                    <w:rPr>
                      <w:b/>
                      <w:color w:val="auto"/>
                      <w:kern w:val="0"/>
                      <w:szCs w:val="21"/>
                    </w:rPr>
                  </w:pPr>
                  <w:r>
                    <w:rPr>
                      <w:b/>
                      <w:color w:val="auto"/>
                      <w:kern w:val="0"/>
                      <w:szCs w:val="21"/>
                    </w:rPr>
                    <w:t>产废周期</w:t>
                  </w:r>
                </w:p>
              </w:tc>
              <w:tc>
                <w:tcPr>
                  <w:tcW w:w="584" w:type="dxa"/>
                  <w:tcBorders>
                    <w:tl2br w:val="nil"/>
                    <w:tr2bl w:val="nil"/>
                  </w:tcBorders>
                  <w:shd w:val="clear" w:color="auto" w:fill="auto"/>
                  <w:vAlign w:val="center"/>
                </w:tcPr>
                <w:p>
                  <w:pPr>
                    <w:widowControl/>
                    <w:jc w:val="center"/>
                    <w:rPr>
                      <w:b/>
                      <w:color w:val="auto"/>
                      <w:kern w:val="0"/>
                      <w:szCs w:val="21"/>
                    </w:rPr>
                  </w:pPr>
                  <w:r>
                    <w:rPr>
                      <w:b/>
                      <w:color w:val="auto"/>
                      <w:kern w:val="0"/>
                      <w:szCs w:val="21"/>
                    </w:rPr>
                    <w:t>危险特性</w:t>
                  </w:r>
                </w:p>
              </w:tc>
              <w:tc>
                <w:tcPr>
                  <w:tcW w:w="871" w:type="dxa"/>
                  <w:tcBorders>
                    <w:tl2br w:val="nil"/>
                    <w:tr2bl w:val="nil"/>
                  </w:tcBorders>
                  <w:shd w:val="clear" w:color="auto" w:fill="auto"/>
                  <w:vAlign w:val="center"/>
                </w:tcPr>
                <w:p>
                  <w:pPr>
                    <w:widowControl/>
                    <w:jc w:val="center"/>
                    <w:rPr>
                      <w:b/>
                      <w:color w:val="auto"/>
                      <w:kern w:val="0"/>
                      <w:szCs w:val="21"/>
                    </w:rPr>
                  </w:pPr>
                  <w:r>
                    <w:rPr>
                      <w:b/>
                      <w:color w:val="auto"/>
                      <w:kern w:val="0"/>
                      <w:szCs w:val="21"/>
                    </w:rPr>
                    <w:t>产生量t/a</w:t>
                  </w:r>
                </w:p>
              </w:tc>
              <w:tc>
                <w:tcPr>
                  <w:tcW w:w="1174" w:type="dxa"/>
                  <w:tcBorders>
                    <w:tl2br w:val="nil"/>
                    <w:tr2bl w:val="nil"/>
                  </w:tcBorders>
                  <w:shd w:val="clear" w:color="auto" w:fill="auto"/>
                  <w:vAlign w:val="center"/>
                </w:tcPr>
                <w:p>
                  <w:pPr>
                    <w:widowControl/>
                    <w:jc w:val="center"/>
                    <w:rPr>
                      <w:b/>
                      <w:color w:val="auto"/>
                      <w:kern w:val="0"/>
                      <w:szCs w:val="21"/>
                    </w:rPr>
                  </w:pPr>
                  <w:r>
                    <w:rPr>
                      <w:b/>
                      <w:color w:val="auto"/>
                      <w:kern w:val="0"/>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414" w:type="dxa"/>
                  <w:tcBorders>
                    <w:tl2br w:val="nil"/>
                    <w:tr2bl w:val="nil"/>
                  </w:tcBorders>
                  <w:shd w:val="clear" w:color="auto" w:fill="auto"/>
                  <w:vAlign w:val="center"/>
                </w:tcPr>
                <w:p>
                  <w:pPr>
                    <w:widowControl/>
                    <w:jc w:val="center"/>
                    <w:rPr>
                      <w:color w:val="auto"/>
                      <w:kern w:val="0"/>
                      <w:szCs w:val="21"/>
                    </w:rPr>
                  </w:pPr>
                  <w:r>
                    <w:rPr>
                      <w:color w:val="auto"/>
                      <w:kern w:val="0"/>
                      <w:szCs w:val="21"/>
                    </w:rPr>
                    <w:t>3</w:t>
                  </w:r>
                </w:p>
              </w:tc>
              <w:tc>
                <w:tcPr>
                  <w:tcW w:w="664" w:type="dxa"/>
                  <w:tcBorders>
                    <w:tl2br w:val="nil"/>
                    <w:tr2bl w:val="nil"/>
                  </w:tcBorders>
                  <w:shd w:val="clear" w:color="auto" w:fill="auto"/>
                  <w:vAlign w:val="center"/>
                </w:tcPr>
                <w:p>
                  <w:pPr>
                    <w:jc w:val="center"/>
                    <w:rPr>
                      <w:color w:val="auto"/>
                      <w:szCs w:val="21"/>
                    </w:rPr>
                  </w:pPr>
                  <w:r>
                    <w:rPr>
                      <w:color w:val="auto"/>
                      <w:szCs w:val="21"/>
                    </w:rPr>
                    <w:t>废含油棉纱</w:t>
                  </w:r>
                </w:p>
              </w:tc>
              <w:tc>
                <w:tcPr>
                  <w:tcW w:w="989" w:type="dxa"/>
                  <w:tcBorders>
                    <w:tl2br w:val="nil"/>
                    <w:tr2bl w:val="nil"/>
                  </w:tcBorders>
                  <w:shd w:val="clear" w:color="auto" w:fill="auto"/>
                  <w:vAlign w:val="center"/>
                </w:tcPr>
                <w:p>
                  <w:pPr>
                    <w:jc w:val="center"/>
                    <w:rPr>
                      <w:color w:val="auto"/>
                      <w:szCs w:val="21"/>
                      <w:lang w:bidi="zh-CN"/>
                    </w:rPr>
                  </w:pPr>
                  <w:r>
                    <w:rPr>
                      <w:color w:val="auto"/>
                      <w:szCs w:val="21"/>
                    </w:rPr>
                    <w:t>900-041-49</w:t>
                  </w:r>
                </w:p>
              </w:tc>
              <w:tc>
                <w:tcPr>
                  <w:tcW w:w="636" w:type="dxa"/>
                  <w:tcBorders>
                    <w:tl2br w:val="nil"/>
                    <w:tr2bl w:val="nil"/>
                  </w:tcBorders>
                  <w:shd w:val="clear" w:color="auto" w:fill="auto"/>
                  <w:vAlign w:val="center"/>
                </w:tcPr>
                <w:p>
                  <w:pPr>
                    <w:jc w:val="center"/>
                    <w:rPr>
                      <w:color w:val="auto"/>
                      <w:szCs w:val="21"/>
                      <w:lang w:bidi="zh-CN"/>
                    </w:rPr>
                  </w:pPr>
                  <w:r>
                    <w:rPr>
                      <w:color w:val="auto"/>
                      <w:szCs w:val="21"/>
                      <w:lang w:bidi="zh-CN"/>
                    </w:rPr>
                    <w:t>HW49</w:t>
                  </w:r>
                </w:p>
              </w:tc>
              <w:tc>
                <w:tcPr>
                  <w:tcW w:w="668" w:type="dxa"/>
                  <w:vMerge w:val="restart"/>
                  <w:tcBorders>
                    <w:tl2br w:val="nil"/>
                    <w:tr2bl w:val="nil"/>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危险废物</w:t>
                  </w:r>
                </w:p>
              </w:tc>
              <w:tc>
                <w:tcPr>
                  <w:tcW w:w="512" w:type="dxa"/>
                  <w:vMerge w:val="restart"/>
                  <w:tcBorders>
                    <w:tl2br w:val="nil"/>
                    <w:tr2bl w:val="nil"/>
                  </w:tcBorders>
                  <w:shd w:val="clear" w:color="auto" w:fill="auto"/>
                  <w:vAlign w:val="center"/>
                </w:tcPr>
                <w:p>
                  <w:pPr>
                    <w:jc w:val="center"/>
                    <w:rPr>
                      <w:color w:val="auto"/>
                      <w:szCs w:val="21"/>
                    </w:rPr>
                  </w:pPr>
                  <w:r>
                    <w:rPr>
                      <w:color w:val="auto"/>
                      <w:szCs w:val="21"/>
                    </w:rPr>
                    <w:t>设备维修保养</w:t>
                  </w:r>
                </w:p>
              </w:tc>
              <w:tc>
                <w:tcPr>
                  <w:tcW w:w="414" w:type="dxa"/>
                  <w:tcBorders>
                    <w:tl2br w:val="nil"/>
                    <w:tr2bl w:val="nil"/>
                  </w:tcBorders>
                  <w:shd w:val="clear" w:color="auto" w:fill="auto"/>
                  <w:vAlign w:val="center"/>
                </w:tcPr>
                <w:p>
                  <w:pPr>
                    <w:jc w:val="center"/>
                    <w:rPr>
                      <w:color w:val="auto"/>
                      <w:szCs w:val="21"/>
                    </w:rPr>
                  </w:pPr>
                  <w:r>
                    <w:rPr>
                      <w:color w:val="auto"/>
                      <w:szCs w:val="21"/>
                    </w:rPr>
                    <w:t>固</w:t>
                  </w:r>
                </w:p>
              </w:tc>
              <w:tc>
                <w:tcPr>
                  <w:tcW w:w="547" w:type="dxa"/>
                  <w:vMerge w:val="restart"/>
                  <w:tcBorders>
                    <w:tl2br w:val="nil"/>
                    <w:tr2bl w:val="nil"/>
                  </w:tcBorders>
                  <w:shd w:val="clear" w:color="auto" w:fill="auto"/>
                  <w:vAlign w:val="center"/>
                </w:tcPr>
                <w:p>
                  <w:pPr>
                    <w:jc w:val="center"/>
                    <w:rPr>
                      <w:color w:val="auto"/>
                      <w:szCs w:val="21"/>
                    </w:rPr>
                  </w:pPr>
                  <w:r>
                    <w:rPr>
                      <w:color w:val="auto"/>
                      <w:szCs w:val="21"/>
                    </w:rPr>
                    <w:t>矿物油</w:t>
                  </w:r>
                </w:p>
              </w:tc>
              <w:tc>
                <w:tcPr>
                  <w:tcW w:w="502" w:type="dxa"/>
                  <w:tcBorders>
                    <w:tl2br w:val="nil"/>
                    <w:tr2bl w:val="nil"/>
                  </w:tcBorders>
                  <w:shd w:val="clear" w:color="auto" w:fill="auto"/>
                  <w:vAlign w:val="center"/>
                </w:tcPr>
                <w:p>
                  <w:pPr>
                    <w:jc w:val="center"/>
                    <w:rPr>
                      <w:rFonts w:hint="eastAsia" w:eastAsia="宋体"/>
                      <w:color w:val="auto"/>
                      <w:szCs w:val="21"/>
                      <w:lang w:eastAsia="zh-CN"/>
                    </w:rPr>
                  </w:pPr>
                  <w:r>
                    <w:rPr>
                      <w:color w:val="auto"/>
                      <w:szCs w:val="21"/>
                    </w:rPr>
                    <w:t>每</w:t>
                  </w:r>
                  <w:r>
                    <w:rPr>
                      <w:rFonts w:hint="eastAsia"/>
                      <w:color w:val="auto"/>
                      <w:szCs w:val="21"/>
                      <w:lang w:val="en-US" w:eastAsia="zh-CN"/>
                    </w:rPr>
                    <w:t>年</w:t>
                  </w:r>
                </w:p>
              </w:tc>
              <w:tc>
                <w:tcPr>
                  <w:tcW w:w="584" w:type="dxa"/>
                  <w:tcBorders>
                    <w:tl2br w:val="nil"/>
                    <w:tr2bl w:val="nil"/>
                  </w:tcBorders>
                  <w:shd w:val="clear" w:color="auto" w:fill="auto"/>
                  <w:vAlign w:val="center"/>
                </w:tcPr>
                <w:p>
                  <w:pPr>
                    <w:jc w:val="center"/>
                    <w:rPr>
                      <w:color w:val="auto"/>
                      <w:szCs w:val="21"/>
                    </w:rPr>
                  </w:pPr>
                  <w:r>
                    <w:rPr>
                      <w:color w:val="auto"/>
                      <w:szCs w:val="21"/>
                    </w:rPr>
                    <w:t>T</w:t>
                  </w:r>
                </w:p>
              </w:tc>
              <w:tc>
                <w:tcPr>
                  <w:tcW w:w="871" w:type="dxa"/>
                  <w:tcBorders>
                    <w:tl2br w:val="nil"/>
                    <w:tr2bl w:val="nil"/>
                  </w:tcBorders>
                  <w:shd w:val="clear" w:color="auto" w:fill="auto"/>
                  <w:vAlign w:val="center"/>
                </w:tcPr>
                <w:p>
                  <w:pPr>
                    <w:jc w:val="center"/>
                    <w:rPr>
                      <w:color w:val="auto"/>
                      <w:szCs w:val="21"/>
                    </w:rPr>
                  </w:pPr>
                  <w:r>
                    <w:rPr>
                      <w:color w:val="auto"/>
                      <w:szCs w:val="21"/>
                    </w:rPr>
                    <w:t>0.01</w:t>
                  </w:r>
                </w:p>
              </w:tc>
              <w:tc>
                <w:tcPr>
                  <w:tcW w:w="1174" w:type="dxa"/>
                  <w:vMerge w:val="restart"/>
                  <w:tcBorders>
                    <w:tl2br w:val="nil"/>
                    <w:tr2bl w:val="nil"/>
                  </w:tcBorders>
                  <w:shd w:val="clear" w:color="auto" w:fill="auto"/>
                  <w:vAlign w:val="center"/>
                </w:tcPr>
                <w:p>
                  <w:pPr>
                    <w:widowControl/>
                    <w:jc w:val="center"/>
                    <w:rPr>
                      <w:color w:val="auto"/>
                      <w:kern w:val="0"/>
                      <w:szCs w:val="21"/>
                    </w:rPr>
                  </w:pPr>
                  <w:r>
                    <w:rPr>
                      <w:color w:val="auto"/>
                      <w:szCs w:val="21"/>
                    </w:rPr>
                    <w:t>各项危险废物，分别按废弃物类别配备专用的收集容器，存放于危废暂存间，及时交由有资质单位进行合理处置。液态危废存放时在容器下方放置金属托盘。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3" w:hRule="atLeast"/>
                <w:jc w:val="center"/>
              </w:trPr>
              <w:tc>
                <w:tcPr>
                  <w:tcW w:w="414" w:type="dxa"/>
                  <w:tcBorders>
                    <w:tl2br w:val="nil"/>
                    <w:tr2bl w:val="nil"/>
                  </w:tcBorders>
                  <w:shd w:val="clear" w:color="auto" w:fill="auto"/>
                  <w:vAlign w:val="center"/>
                </w:tcPr>
                <w:p>
                  <w:pPr>
                    <w:widowControl/>
                    <w:jc w:val="center"/>
                    <w:rPr>
                      <w:color w:val="auto"/>
                      <w:kern w:val="0"/>
                      <w:szCs w:val="21"/>
                    </w:rPr>
                  </w:pPr>
                  <w:r>
                    <w:rPr>
                      <w:color w:val="auto"/>
                      <w:kern w:val="0"/>
                      <w:szCs w:val="21"/>
                    </w:rPr>
                    <w:t>4</w:t>
                  </w:r>
                </w:p>
              </w:tc>
              <w:tc>
                <w:tcPr>
                  <w:tcW w:w="664" w:type="dxa"/>
                  <w:tcBorders>
                    <w:tl2br w:val="nil"/>
                    <w:tr2bl w:val="nil"/>
                  </w:tcBorders>
                  <w:shd w:val="clear" w:color="auto" w:fill="auto"/>
                  <w:vAlign w:val="center"/>
                </w:tcPr>
                <w:p>
                  <w:pPr>
                    <w:jc w:val="center"/>
                    <w:rPr>
                      <w:color w:val="auto"/>
                      <w:szCs w:val="21"/>
                    </w:rPr>
                  </w:pPr>
                  <w:r>
                    <w:rPr>
                      <w:color w:val="auto"/>
                      <w:szCs w:val="21"/>
                    </w:rPr>
                    <w:t>废机油</w:t>
                  </w:r>
                </w:p>
              </w:tc>
              <w:tc>
                <w:tcPr>
                  <w:tcW w:w="989" w:type="dxa"/>
                  <w:tcBorders>
                    <w:tl2br w:val="nil"/>
                    <w:tr2bl w:val="nil"/>
                  </w:tcBorders>
                  <w:shd w:val="clear" w:color="auto" w:fill="auto"/>
                  <w:vAlign w:val="center"/>
                </w:tcPr>
                <w:p>
                  <w:pPr>
                    <w:jc w:val="center"/>
                    <w:rPr>
                      <w:color w:val="auto"/>
                      <w:szCs w:val="21"/>
                      <w:lang w:bidi="zh-CN"/>
                    </w:rPr>
                  </w:pPr>
                  <w:r>
                    <w:rPr>
                      <w:color w:val="auto"/>
                      <w:szCs w:val="21"/>
                    </w:rPr>
                    <w:t>900-214-08</w:t>
                  </w:r>
                </w:p>
              </w:tc>
              <w:tc>
                <w:tcPr>
                  <w:tcW w:w="636" w:type="dxa"/>
                  <w:tcBorders>
                    <w:tl2br w:val="nil"/>
                    <w:tr2bl w:val="nil"/>
                  </w:tcBorders>
                  <w:shd w:val="clear" w:color="auto" w:fill="auto"/>
                  <w:vAlign w:val="center"/>
                </w:tcPr>
                <w:p>
                  <w:pPr>
                    <w:jc w:val="center"/>
                    <w:rPr>
                      <w:color w:val="auto"/>
                      <w:szCs w:val="21"/>
                      <w:lang w:bidi="zh-CN"/>
                    </w:rPr>
                  </w:pPr>
                  <w:r>
                    <w:rPr>
                      <w:color w:val="auto"/>
                      <w:szCs w:val="21"/>
                      <w:lang w:bidi="zh-CN"/>
                    </w:rPr>
                    <w:t>HW08</w:t>
                  </w:r>
                </w:p>
              </w:tc>
              <w:tc>
                <w:tcPr>
                  <w:tcW w:w="668" w:type="dxa"/>
                  <w:vMerge w:val="continue"/>
                  <w:tcBorders>
                    <w:tl2br w:val="nil"/>
                    <w:tr2bl w:val="nil"/>
                  </w:tcBorders>
                  <w:shd w:val="clear" w:color="auto" w:fill="auto"/>
                  <w:vAlign w:val="center"/>
                </w:tcPr>
                <w:p>
                  <w:pPr>
                    <w:widowControl/>
                    <w:jc w:val="center"/>
                    <w:rPr>
                      <w:color w:val="auto"/>
                      <w:kern w:val="0"/>
                      <w:szCs w:val="21"/>
                    </w:rPr>
                  </w:pPr>
                </w:p>
              </w:tc>
              <w:tc>
                <w:tcPr>
                  <w:tcW w:w="512" w:type="dxa"/>
                  <w:vMerge w:val="continue"/>
                  <w:tcBorders>
                    <w:tl2br w:val="nil"/>
                    <w:tr2bl w:val="nil"/>
                  </w:tcBorders>
                  <w:shd w:val="clear" w:color="auto" w:fill="auto"/>
                  <w:vAlign w:val="center"/>
                </w:tcPr>
                <w:p>
                  <w:pPr>
                    <w:jc w:val="center"/>
                    <w:rPr>
                      <w:color w:val="auto"/>
                      <w:szCs w:val="21"/>
                    </w:rPr>
                  </w:pPr>
                </w:p>
              </w:tc>
              <w:tc>
                <w:tcPr>
                  <w:tcW w:w="414" w:type="dxa"/>
                  <w:tcBorders>
                    <w:tl2br w:val="nil"/>
                    <w:tr2bl w:val="nil"/>
                  </w:tcBorders>
                  <w:shd w:val="clear" w:color="auto" w:fill="auto"/>
                  <w:vAlign w:val="center"/>
                </w:tcPr>
                <w:p>
                  <w:pPr>
                    <w:jc w:val="center"/>
                    <w:rPr>
                      <w:color w:val="auto"/>
                      <w:szCs w:val="21"/>
                    </w:rPr>
                  </w:pPr>
                  <w:r>
                    <w:rPr>
                      <w:color w:val="auto"/>
                      <w:szCs w:val="21"/>
                    </w:rPr>
                    <w:t>液</w:t>
                  </w:r>
                </w:p>
              </w:tc>
              <w:tc>
                <w:tcPr>
                  <w:tcW w:w="547" w:type="dxa"/>
                  <w:vMerge w:val="continue"/>
                  <w:tcBorders>
                    <w:tl2br w:val="nil"/>
                    <w:tr2bl w:val="nil"/>
                  </w:tcBorders>
                  <w:shd w:val="clear" w:color="auto" w:fill="auto"/>
                  <w:vAlign w:val="center"/>
                </w:tcPr>
                <w:p>
                  <w:pPr>
                    <w:rPr>
                      <w:color w:val="auto"/>
                      <w:szCs w:val="21"/>
                    </w:rPr>
                  </w:pPr>
                </w:p>
              </w:tc>
              <w:tc>
                <w:tcPr>
                  <w:tcW w:w="502" w:type="dxa"/>
                  <w:tcBorders>
                    <w:tl2br w:val="nil"/>
                    <w:tr2bl w:val="nil"/>
                  </w:tcBorders>
                  <w:shd w:val="clear" w:color="auto" w:fill="auto"/>
                  <w:vAlign w:val="center"/>
                </w:tcPr>
                <w:p>
                  <w:pPr>
                    <w:jc w:val="center"/>
                    <w:rPr>
                      <w:rFonts w:hint="eastAsia" w:eastAsia="宋体"/>
                      <w:color w:val="auto"/>
                      <w:szCs w:val="21"/>
                      <w:lang w:val="en-US" w:eastAsia="zh-CN"/>
                    </w:rPr>
                  </w:pPr>
                  <w:r>
                    <w:rPr>
                      <w:color w:val="auto"/>
                      <w:szCs w:val="21"/>
                    </w:rPr>
                    <w:t>每</w:t>
                  </w:r>
                  <w:r>
                    <w:rPr>
                      <w:rFonts w:hint="eastAsia"/>
                      <w:color w:val="auto"/>
                      <w:szCs w:val="21"/>
                      <w:lang w:val="en-US" w:eastAsia="zh-CN"/>
                    </w:rPr>
                    <w:t>年</w:t>
                  </w:r>
                </w:p>
              </w:tc>
              <w:tc>
                <w:tcPr>
                  <w:tcW w:w="584" w:type="dxa"/>
                  <w:tcBorders>
                    <w:tl2br w:val="nil"/>
                    <w:tr2bl w:val="nil"/>
                  </w:tcBorders>
                  <w:shd w:val="clear" w:color="auto" w:fill="auto"/>
                  <w:vAlign w:val="center"/>
                </w:tcPr>
                <w:p>
                  <w:pPr>
                    <w:jc w:val="center"/>
                    <w:rPr>
                      <w:color w:val="auto"/>
                      <w:szCs w:val="21"/>
                    </w:rPr>
                  </w:pPr>
                  <w:r>
                    <w:rPr>
                      <w:color w:val="auto"/>
                      <w:szCs w:val="21"/>
                    </w:rPr>
                    <w:t>T</w:t>
                  </w:r>
                </w:p>
              </w:tc>
              <w:tc>
                <w:tcPr>
                  <w:tcW w:w="871" w:type="dxa"/>
                  <w:tcBorders>
                    <w:tl2br w:val="nil"/>
                    <w:tr2bl w:val="nil"/>
                  </w:tcBorders>
                  <w:shd w:val="clear" w:color="auto" w:fill="auto"/>
                  <w:vAlign w:val="center"/>
                </w:tcPr>
                <w:p>
                  <w:pPr>
                    <w:jc w:val="center"/>
                    <w:rPr>
                      <w:rFonts w:hint="default" w:eastAsia="宋体"/>
                      <w:color w:val="auto"/>
                      <w:szCs w:val="21"/>
                      <w:lang w:val="en-US" w:eastAsia="zh-CN"/>
                    </w:rPr>
                  </w:pPr>
                  <w:r>
                    <w:rPr>
                      <w:color w:val="auto"/>
                      <w:szCs w:val="21"/>
                    </w:rPr>
                    <w:t>0.</w:t>
                  </w:r>
                  <w:r>
                    <w:rPr>
                      <w:rFonts w:hint="eastAsia"/>
                      <w:color w:val="auto"/>
                      <w:szCs w:val="21"/>
                      <w:lang w:val="en-US" w:eastAsia="zh-CN"/>
                    </w:rPr>
                    <w:t>05</w:t>
                  </w:r>
                </w:p>
              </w:tc>
              <w:tc>
                <w:tcPr>
                  <w:tcW w:w="1174" w:type="dxa"/>
                  <w:vMerge w:val="continue"/>
                  <w:tcBorders>
                    <w:tl2br w:val="nil"/>
                    <w:tr2bl w:val="nil"/>
                  </w:tcBorders>
                  <w:shd w:val="clear" w:color="auto" w:fill="auto"/>
                  <w:vAlign w:val="center"/>
                </w:tcPr>
                <w:p>
                  <w:pPr>
                    <w:widowControl/>
                    <w:jc w:val="center"/>
                    <w:rPr>
                      <w:color w:val="auto"/>
                      <w:kern w:val="0"/>
                      <w:szCs w:val="21"/>
                    </w:rPr>
                  </w:pPr>
                </w:p>
              </w:tc>
            </w:tr>
          </w:tbl>
          <w:p>
            <w:pPr>
              <w:adjustRightInd w:val="0"/>
              <w:snapToGrid w:val="0"/>
              <w:spacing w:line="360" w:lineRule="auto"/>
              <w:ind w:firstLine="482" w:firstLineChars="200"/>
              <w:jc w:val="left"/>
              <w:rPr>
                <w:b/>
                <w:bCs/>
                <w:color w:val="auto"/>
                <w:sz w:val="24"/>
              </w:rPr>
            </w:pPr>
            <w:r>
              <w:rPr>
                <w:rFonts w:hint="eastAsia"/>
                <w:b/>
                <w:bCs/>
                <w:color w:val="auto"/>
                <w:sz w:val="24"/>
                <w:lang w:val="en-US" w:eastAsia="zh-CN"/>
              </w:rPr>
              <w:t>4</w:t>
            </w:r>
            <w:r>
              <w:rPr>
                <w:b/>
                <w:bCs/>
                <w:color w:val="auto"/>
                <w:sz w:val="24"/>
              </w:rPr>
              <w:t>、环境管理要求</w:t>
            </w:r>
          </w:p>
          <w:p>
            <w:pPr>
              <w:adjustRightInd w:val="0"/>
              <w:snapToGrid w:val="0"/>
              <w:spacing w:line="360" w:lineRule="auto"/>
              <w:ind w:firstLine="482" w:firstLineChars="200"/>
              <w:rPr>
                <w:b/>
                <w:bCs/>
                <w:color w:val="auto"/>
                <w:sz w:val="24"/>
              </w:rPr>
            </w:pPr>
            <w:r>
              <w:rPr>
                <w:b/>
                <w:bCs/>
                <w:color w:val="auto"/>
                <w:sz w:val="24"/>
              </w:rPr>
              <w:t>危废暂存间设置要求：</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危险废物贮存间必须要密闭建设，门口内侧设立围堰，地面应做好硬化及“四防”（防风、防雨、防晒、防渗漏）措施。</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险废物贮存间门口需张贴标准规范的危险废物标识和危废信息板，屋内张贴企业《危险废物管理制度》。</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危险废物贮存间应设置隔离安全门锁，门锁需按照“双人双锁”制度管理。（两把钥匙分别由两个危废负责人管理，不得一人管理）。</w:t>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不同种类危险废物应有明显的过道划分，墙上张贴危废名称，液态危废需将成装容器放至防泄漏托盘内并在容器粘贴危险废物标签，固态危废包装需完好无破损并系挂危险废物标签，并安要求填写。</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建立台账并悬挂于危废间内，转入及转出（处置、自利用）需要填写危废种类、数量、时间及负责人员姓名。</w:t>
            </w:r>
          </w:p>
          <w:p>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危险废物贮存间内禁止存放除危险废物及应急工具以他的其他物品。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表4-5  危险废物图形标识</w:t>
            </w:r>
          </w:p>
          <w:tbl>
            <w:tblPr>
              <w:tblStyle w:val="2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84"/>
              <w:gridCol w:w="295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b/>
                      <w:bCs/>
                      <w:color w:val="auto"/>
                      <w:szCs w:val="21"/>
                    </w:rPr>
                  </w:pPr>
                  <w:r>
                    <w:rPr>
                      <w:b/>
                      <w:bCs/>
                      <w:color w:val="auto"/>
                      <w:szCs w:val="21"/>
                    </w:rPr>
                    <w:t>标牌</w:t>
                  </w:r>
                </w:p>
              </w:tc>
              <w:tc>
                <w:tcPr>
                  <w:tcW w:w="2951" w:type="dxa"/>
                  <w:tcBorders>
                    <w:tl2br w:val="nil"/>
                    <w:tr2bl w:val="nil"/>
                  </w:tcBorders>
                  <w:shd w:val="clear" w:color="auto" w:fill="auto"/>
                  <w:vAlign w:val="center"/>
                </w:tcPr>
                <w:p>
                  <w:pPr>
                    <w:adjustRightInd w:val="0"/>
                    <w:snapToGrid w:val="0"/>
                    <w:jc w:val="center"/>
                    <w:rPr>
                      <w:b/>
                      <w:bCs/>
                      <w:color w:val="auto"/>
                      <w:szCs w:val="21"/>
                    </w:rPr>
                  </w:pPr>
                  <w:r>
                    <w:rPr>
                      <w:b/>
                      <w:bCs/>
                      <w:color w:val="auto"/>
                      <w:szCs w:val="21"/>
                    </w:rPr>
                    <w:t>说明</w:t>
                  </w:r>
                </w:p>
              </w:tc>
              <w:tc>
                <w:tcPr>
                  <w:tcW w:w="1042" w:type="dxa"/>
                  <w:tcBorders>
                    <w:tl2br w:val="nil"/>
                    <w:tr2bl w:val="nil"/>
                  </w:tcBorders>
                  <w:shd w:val="clear" w:color="auto" w:fill="auto"/>
                  <w:vAlign w:val="center"/>
                </w:tcPr>
                <w:p>
                  <w:pPr>
                    <w:adjustRightInd w:val="0"/>
                    <w:snapToGrid w:val="0"/>
                    <w:jc w:val="center"/>
                    <w:rPr>
                      <w:b/>
                      <w:bCs/>
                      <w:color w:val="auto"/>
                      <w:szCs w:val="21"/>
                    </w:rPr>
                  </w:pPr>
                  <w:r>
                    <w:rPr>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1798955" cy="1282700"/>
                        <wp:effectExtent l="0" t="0" r="0" b="0"/>
                        <wp:docPr id="1545779732"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79732" name="图片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98955" cy="1282700"/>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rPr>
                      <w:color w:val="auto"/>
                      <w:szCs w:val="21"/>
                    </w:rPr>
                  </w:pPr>
                  <w:r>
                    <w:rPr>
                      <w:color w:val="auto"/>
                      <w:szCs w:val="21"/>
                    </w:rPr>
                    <w:t>1、危险废物警告标志规格颜色</w:t>
                  </w:r>
                </w:p>
                <w:p>
                  <w:pPr>
                    <w:adjustRightInd w:val="0"/>
                    <w:snapToGrid w:val="0"/>
                    <w:rPr>
                      <w:color w:val="auto"/>
                      <w:szCs w:val="21"/>
                    </w:rPr>
                  </w:pPr>
                  <w:r>
                    <w:rPr>
                      <w:color w:val="auto"/>
                      <w:szCs w:val="21"/>
                    </w:rPr>
                    <w:t>形状：等边三角形，边长40cm</w:t>
                  </w:r>
                </w:p>
                <w:p>
                  <w:pPr>
                    <w:adjustRightInd w:val="0"/>
                    <w:snapToGrid w:val="0"/>
                    <w:rPr>
                      <w:color w:val="auto"/>
                      <w:szCs w:val="21"/>
                    </w:rPr>
                  </w:pPr>
                  <w:r>
                    <w:rPr>
                      <w:color w:val="auto"/>
                      <w:szCs w:val="21"/>
                    </w:rPr>
                    <w:t>颜色：背景为黄色，图形为黑色</w:t>
                  </w:r>
                </w:p>
                <w:p>
                  <w:pPr>
                    <w:adjustRightInd w:val="0"/>
                    <w:snapToGrid w:val="0"/>
                    <w:rPr>
                      <w:color w:val="auto"/>
                      <w:szCs w:val="21"/>
                    </w:rPr>
                  </w:pPr>
                  <w:r>
                    <w:rPr>
                      <w:color w:val="auto"/>
                      <w:szCs w:val="21"/>
                    </w:rPr>
                    <w:t>2、警告标志外檐2.5cm</w:t>
                  </w:r>
                </w:p>
                <w:p>
                  <w:pPr>
                    <w:adjustRightInd w:val="0"/>
                    <w:snapToGrid w:val="0"/>
                    <w:rPr>
                      <w:color w:val="auto"/>
                      <w:szCs w:val="21"/>
                    </w:rPr>
                  </w:pPr>
                  <w:r>
                    <w:rPr>
                      <w:color w:val="auto"/>
                      <w:szCs w:val="21"/>
                    </w:rPr>
                    <w:t>3、使用于：危险废物贮存设施为房屋的，建有围墙或防护栅栏，且高度高于100cm时；部分危险废物利用、处置场所。</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适合于室内外悬挂的危险废物警告标志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1798955" cy="1287145"/>
                        <wp:effectExtent l="0" t="0" r="0" b="0"/>
                        <wp:docPr id="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98955" cy="1287145"/>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jc w:val="left"/>
                    <w:rPr>
                      <w:color w:val="auto"/>
                      <w:szCs w:val="21"/>
                    </w:rPr>
                  </w:pPr>
                  <w:r>
                    <w:rPr>
                      <w:color w:val="auto"/>
                      <w:szCs w:val="21"/>
                    </w:rPr>
                    <w:t>1、危险废物标签尺寸颜色</w:t>
                  </w:r>
                </w:p>
                <w:p>
                  <w:pPr>
                    <w:adjustRightInd w:val="0"/>
                    <w:snapToGrid w:val="0"/>
                    <w:jc w:val="left"/>
                    <w:rPr>
                      <w:color w:val="auto"/>
                      <w:szCs w:val="21"/>
                    </w:rPr>
                  </w:pPr>
                  <w:r>
                    <w:rPr>
                      <w:color w:val="auto"/>
                      <w:szCs w:val="21"/>
                    </w:rPr>
                    <w:t>尺寸：40×40cm；底色：醒目的橘黄色</w:t>
                  </w:r>
                </w:p>
                <w:p>
                  <w:pPr>
                    <w:adjustRightInd w:val="0"/>
                    <w:snapToGrid w:val="0"/>
                    <w:jc w:val="left"/>
                    <w:rPr>
                      <w:color w:val="auto"/>
                      <w:szCs w:val="21"/>
                    </w:rPr>
                  </w:pPr>
                  <w:r>
                    <w:rPr>
                      <w:color w:val="auto"/>
                      <w:szCs w:val="21"/>
                    </w:rPr>
                    <w:t>字体：黑体字；字体颜色：黑色</w:t>
                  </w:r>
                </w:p>
                <w:p>
                  <w:pPr>
                    <w:adjustRightInd w:val="0"/>
                    <w:snapToGrid w:val="0"/>
                    <w:jc w:val="left"/>
                    <w:rPr>
                      <w:color w:val="auto"/>
                      <w:szCs w:val="21"/>
                    </w:rPr>
                  </w:pPr>
                  <w:r>
                    <w:rPr>
                      <w:color w:val="auto"/>
                      <w:szCs w:val="21"/>
                    </w:rPr>
                    <w:t>2、危险类别：按危险废物种类选择。</w:t>
                  </w:r>
                </w:p>
                <w:p>
                  <w:pPr>
                    <w:adjustRightInd w:val="0"/>
                    <w:snapToGrid w:val="0"/>
                    <w:jc w:val="left"/>
                    <w:rPr>
                      <w:color w:val="auto"/>
                      <w:szCs w:val="21"/>
                    </w:rPr>
                  </w:pPr>
                  <w:r>
                    <w:rPr>
                      <w:color w:val="auto"/>
                      <w:szCs w:val="21"/>
                    </w:rPr>
                    <w:t>3、适用于：危险废物贮存设施为房屋的；或建有围墙或防护栅栏，且高度高于100cm时；</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适合于室内外悬挂的危险废物警告标志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1798955" cy="1113155"/>
                        <wp:effectExtent l="0" t="0" r="0" b="0"/>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98955" cy="1113155"/>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jc w:val="left"/>
                    <w:rPr>
                      <w:color w:val="auto"/>
                      <w:szCs w:val="21"/>
                    </w:rPr>
                  </w:pPr>
                  <w:r>
                    <w:rPr>
                      <w:color w:val="auto"/>
                      <w:szCs w:val="21"/>
                    </w:rPr>
                    <w:t>1、危险废物标签尺寸颜色</w:t>
                  </w:r>
                </w:p>
                <w:p>
                  <w:pPr>
                    <w:adjustRightInd w:val="0"/>
                    <w:snapToGrid w:val="0"/>
                    <w:jc w:val="left"/>
                    <w:rPr>
                      <w:color w:val="auto"/>
                      <w:szCs w:val="21"/>
                    </w:rPr>
                  </w:pPr>
                  <w:r>
                    <w:rPr>
                      <w:color w:val="auto"/>
                      <w:szCs w:val="21"/>
                    </w:rPr>
                    <w:t>尺寸：20×20cm</w:t>
                  </w:r>
                </w:p>
                <w:p>
                  <w:pPr>
                    <w:adjustRightInd w:val="0"/>
                    <w:snapToGrid w:val="0"/>
                    <w:jc w:val="left"/>
                    <w:rPr>
                      <w:color w:val="auto"/>
                      <w:szCs w:val="21"/>
                    </w:rPr>
                  </w:pPr>
                  <w:r>
                    <w:rPr>
                      <w:color w:val="auto"/>
                      <w:szCs w:val="21"/>
                    </w:rPr>
                    <w:t>底色：醒目的橘黄色</w:t>
                  </w:r>
                </w:p>
                <w:p>
                  <w:pPr>
                    <w:adjustRightInd w:val="0"/>
                    <w:snapToGrid w:val="0"/>
                    <w:jc w:val="left"/>
                    <w:rPr>
                      <w:color w:val="auto"/>
                      <w:szCs w:val="21"/>
                    </w:rPr>
                  </w:pPr>
                  <w:r>
                    <w:rPr>
                      <w:color w:val="auto"/>
                      <w:szCs w:val="21"/>
                    </w:rPr>
                    <w:t>字体：黑体字；字体颜色：黑色</w:t>
                  </w:r>
                </w:p>
                <w:p>
                  <w:pPr>
                    <w:adjustRightInd w:val="0"/>
                    <w:snapToGrid w:val="0"/>
                    <w:jc w:val="left"/>
                    <w:rPr>
                      <w:color w:val="auto"/>
                      <w:szCs w:val="21"/>
                    </w:rPr>
                  </w:pPr>
                  <w:r>
                    <w:rPr>
                      <w:color w:val="auto"/>
                      <w:szCs w:val="21"/>
                    </w:rPr>
                    <w:t>2、危险类别：按危险废物种类选择。</w:t>
                  </w:r>
                </w:p>
                <w:p>
                  <w:pPr>
                    <w:adjustRightInd w:val="0"/>
                    <w:snapToGrid w:val="0"/>
                    <w:jc w:val="left"/>
                    <w:rPr>
                      <w:color w:val="auto"/>
                      <w:szCs w:val="21"/>
                    </w:rPr>
                  </w:pPr>
                  <w:r>
                    <w:rPr>
                      <w:color w:val="auto"/>
                      <w:szCs w:val="21"/>
                    </w:rPr>
                    <w:t>3、材料为不干胶印刷品。</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粘贴于危险废物储存容器上的危险废物标签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3984" w:type="dxa"/>
                  <w:tcBorders>
                    <w:tl2br w:val="nil"/>
                    <w:tr2bl w:val="nil"/>
                  </w:tcBorders>
                  <w:shd w:val="clear" w:color="auto" w:fill="auto"/>
                  <w:vAlign w:val="center"/>
                </w:tcPr>
                <w:p>
                  <w:pPr>
                    <w:adjustRightInd w:val="0"/>
                    <w:snapToGrid w:val="0"/>
                    <w:jc w:val="center"/>
                    <w:rPr>
                      <w:color w:val="auto"/>
                      <w:szCs w:val="21"/>
                    </w:rPr>
                  </w:pPr>
                  <w:r>
                    <w:rPr>
                      <w:color w:val="auto"/>
                      <w:sz w:val="24"/>
                    </w:rPr>
                    <w:drawing>
                      <wp:inline distT="0" distB="0" distL="0" distR="0">
                        <wp:extent cx="2171700" cy="1287145"/>
                        <wp:effectExtent l="0" t="0" r="0" b="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71700" cy="1287145"/>
                                </a:xfrm>
                                <a:prstGeom prst="rect">
                                  <a:avLst/>
                                </a:prstGeom>
                                <a:noFill/>
                                <a:ln>
                                  <a:noFill/>
                                </a:ln>
                              </pic:spPr>
                            </pic:pic>
                          </a:graphicData>
                        </a:graphic>
                      </wp:inline>
                    </w:drawing>
                  </w:r>
                </w:p>
              </w:tc>
              <w:tc>
                <w:tcPr>
                  <w:tcW w:w="2951" w:type="dxa"/>
                  <w:tcBorders>
                    <w:tl2br w:val="nil"/>
                    <w:tr2bl w:val="nil"/>
                  </w:tcBorders>
                  <w:shd w:val="clear" w:color="auto" w:fill="auto"/>
                  <w:vAlign w:val="center"/>
                </w:tcPr>
                <w:p>
                  <w:pPr>
                    <w:adjustRightInd w:val="0"/>
                    <w:snapToGrid w:val="0"/>
                    <w:jc w:val="left"/>
                    <w:rPr>
                      <w:color w:val="auto"/>
                      <w:szCs w:val="21"/>
                    </w:rPr>
                  </w:pPr>
                  <w:r>
                    <w:rPr>
                      <w:color w:val="auto"/>
                      <w:szCs w:val="21"/>
                    </w:rPr>
                    <w:t>1、危险废物标签尺寸颜色</w:t>
                  </w:r>
                </w:p>
                <w:p>
                  <w:pPr>
                    <w:adjustRightInd w:val="0"/>
                    <w:snapToGrid w:val="0"/>
                    <w:jc w:val="left"/>
                    <w:rPr>
                      <w:color w:val="auto"/>
                      <w:szCs w:val="21"/>
                    </w:rPr>
                  </w:pPr>
                  <w:r>
                    <w:rPr>
                      <w:color w:val="auto"/>
                      <w:szCs w:val="21"/>
                    </w:rPr>
                    <w:t>尺寸：10×10cm</w:t>
                  </w:r>
                </w:p>
                <w:p>
                  <w:pPr>
                    <w:adjustRightInd w:val="0"/>
                    <w:snapToGrid w:val="0"/>
                    <w:jc w:val="left"/>
                    <w:rPr>
                      <w:color w:val="auto"/>
                      <w:szCs w:val="21"/>
                    </w:rPr>
                  </w:pPr>
                  <w:r>
                    <w:rPr>
                      <w:color w:val="auto"/>
                      <w:szCs w:val="21"/>
                    </w:rPr>
                    <w:t>底色：醒目的橘黄色</w:t>
                  </w:r>
                </w:p>
                <w:p>
                  <w:pPr>
                    <w:adjustRightInd w:val="0"/>
                    <w:snapToGrid w:val="0"/>
                    <w:jc w:val="left"/>
                    <w:rPr>
                      <w:color w:val="auto"/>
                      <w:szCs w:val="21"/>
                    </w:rPr>
                  </w:pPr>
                  <w:r>
                    <w:rPr>
                      <w:color w:val="auto"/>
                      <w:szCs w:val="21"/>
                    </w:rPr>
                    <w:t>字体：黑体字；字体颜色：黑色</w:t>
                  </w:r>
                </w:p>
                <w:p>
                  <w:pPr>
                    <w:adjustRightInd w:val="0"/>
                    <w:snapToGrid w:val="0"/>
                    <w:jc w:val="left"/>
                    <w:rPr>
                      <w:color w:val="auto"/>
                      <w:szCs w:val="21"/>
                    </w:rPr>
                  </w:pPr>
                  <w:r>
                    <w:rPr>
                      <w:color w:val="auto"/>
                      <w:szCs w:val="21"/>
                    </w:rPr>
                    <w:t>2、危险类别：按危险废物种类选择。</w:t>
                  </w:r>
                </w:p>
                <w:p>
                  <w:pPr>
                    <w:adjustRightInd w:val="0"/>
                    <w:snapToGrid w:val="0"/>
                    <w:rPr>
                      <w:color w:val="auto"/>
                      <w:szCs w:val="21"/>
                    </w:rPr>
                  </w:pPr>
                  <w:r>
                    <w:rPr>
                      <w:color w:val="auto"/>
                      <w:szCs w:val="21"/>
                    </w:rPr>
                    <w:t>3、材料为印刷品。</w:t>
                  </w:r>
                </w:p>
              </w:tc>
              <w:tc>
                <w:tcPr>
                  <w:tcW w:w="1042" w:type="dxa"/>
                  <w:tcBorders>
                    <w:tl2br w:val="nil"/>
                    <w:tr2bl w:val="nil"/>
                  </w:tcBorders>
                  <w:shd w:val="clear" w:color="auto" w:fill="auto"/>
                  <w:vAlign w:val="center"/>
                </w:tcPr>
                <w:p>
                  <w:pPr>
                    <w:adjustRightInd w:val="0"/>
                    <w:snapToGrid w:val="0"/>
                    <w:rPr>
                      <w:color w:val="auto"/>
                      <w:szCs w:val="21"/>
                    </w:rPr>
                  </w:pPr>
                  <w:r>
                    <w:rPr>
                      <w:color w:val="auto"/>
                      <w:szCs w:val="21"/>
                    </w:rPr>
                    <w:t>系挂于袋装危险废物包装物上的危险废物标签</w:t>
                  </w:r>
                </w:p>
              </w:tc>
            </w:tr>
          </w:tbl>
          <w:p>
            <w:pPr>
              <w:adjustRightInd w:val="0"/>
              <w:snapToGrid w:val="0"/>
              <w:jc w:val="center"/>
              <w:rPr>
                <w:rFonts w:eastAsia="黑体"/>
                <w:color w:val="auto"/>
                <w:sz w:val="24"/>
              </w:rPr>
            </w:pPr>
          </w:p>
          <w:p>
            <w:pPr>
              <w:adjustRightInd w:val="0"/>
              <w:snapToGrid w:val="0"/>
              <w:spacing w:line="360" w:lineRule="auto"/>
              <w:ind w:firstLine="482" w:firstLineChars="200"/>
              <w:rPr>
                <w:b/>
                <w:bCs/>
                <w:color w:val="auto"/>
                <w:sz w:val="24"/>
              </w:rPr>
            </w:pPr>
            <w:r>
              <w:rPr>
                <w:b/>
                <w:bCs/>
                <w:color w:val="auto"/>
                <w:sz w:val="24"/>
              </w:rPr>
              <w:t>根据《危险废物贮存处置管理规定》的相关规定，本次环评对本项目危险废物暂存另提出如下要求：</w:t>
            </w:r>
          </w:p>
          <w:p>
            <w:pPr>
              <w:adjustRightInd w:val="0"/>
              <w:snapToGrid w:val="0"/>
              <w:spacing w:line="360" w:lineRule="auto"/>
              <w:ind w:firstLine="482" w:firstLineChars="200"/>
              <w:rPr>
                <w:b/>
                <w:bCs/>
                <w:color w:val="auto"/>
                <w:sz w:val="24"/>
              </w:rPr>
            </w:pPr>
            <w:r>
              <w:rPr>
                <w:b/>
                <w:bCs/>
                <w:color w:val="auto"/>
                <w:sz w:val="24"/>
              </w:rPr>
              <w:t>危险废物收集和暂存：</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按废弃物类别配备相应的收集容器，容器不能有破损、盖子损坏或其它可能导致废弃物泄漏的隐患。废弃物收集容器应粘贴危险废弃物标签，明显标示其中的废弃物名称、主要成分与性质，并保持清晰可见。</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危险废弃物严格投放在相应的收集容器中，严禁将危险废弃物与生活垃圾混装。</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危险废弃物收集容器应存放在符合安全与环保要求的专门场所及室内特定区域，要避免高温、日晒、雨淋，远离火源。存放危险废弃物的场所应张贴危险废弃物标志、危险废物管理制度、危险化学品及危险废物意外事故防范措施和应急预案、危险废物储存库房管理规定等。</w:t>
            </w:r>
          </w:p>
          <w:p>
            <w:pPr>
              <w:adjustRightInd w:val="0"/>
              <w:snapToGrid w:val="0"/>
              <w:spacing w:line="360" w:lineRule="auto"/>
              <w:ind w:firstLine="482" w:firstLineChars="200"/>
              <w:rPr>
                <w:b/>
                <w:bCs/>
                <w:color w:val="auto"/>
                <w:sz w:val="24"/>
              </w:rPr>
            </w:pPr>
            <w:r>
              <w:rPr>
                <w:b/>
                <w:bCs/>
                <w:color w:val="auto"/>
                <w:sz w:val="24"/>
              </w:rPr>
              <w:t>危险废物转运和处理：</w:t>
            </w:r>
          </w:p>
          <w:p>
            <w:pPr>
              <w:adjustRightInd w:val="0"/>
              <w:snapToGrid w:val="0"/>
              <w:spacing w:line="360" w:lineRule="auto"/>
              <w:ind w:firstLine="480" w:firstLineChars="200"/>
              <w:rPr>
                <w:color w:val="auto"/>
                <w:sz w:val="24"/>
              </w:rPr>
            </w:pPr>
            <w:r>
              <w:rPr>
                <w:color w:val="auto"/>
                <w:sz w:val="24"/>
              </w:rPr>
              <w:t>根据中华人民共和国国务院令第645号《危险化学品安全管理条例》的有关规定，在危险废弃物外运至处置单位时必须严格遵守以下要求：</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处置单位在运输危险废弃物时必须配备押运人员，并随时处于押运人员的监管之下，不得超装、超载，严格按照所在城市规定的行车时间和行车路线行驶，不得进入危险化学品运输车辆禁止通行的区域。</w:t>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危险废弃物在运输途中若发生被盗、丢失、流散、泄漏等情况时，公司及押运人员必须立即向当地公安部门报告，并采取一切可能的警示措施。</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adjustRightInd w:val="0"/>
              <w:snapToGrid w:val="0"/>
              <w:spacing w:line="360" w:lineRule="auto"/>
              <w:ind w:firstLine="482" w:firstLineChars="200"/>
              <w:rPr>
                <w:b/>
                <w:bCs/>
                <w:color w:val="auto"/>
                <w:sz w:val="24"/>
              </w:rPr>
            </w:pPr>
            <w:r>
              <w:rPr>
                <w:b/>
                <w:bCs/>
                <w:color w:val="auto"/>
                <w:sz w:val="24"/>
              </w:rPr>
              <w:t>危险废物管理制度：</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危险废物的收集、暂存、转移、综合利用活动必须遵守国家和地方有关规定。</w:t>
            </w:r>
          </w:p>
          <w:p>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危险废物的容器和包装物以及收集、暂存、转移、处置危险废物的设施、场所，必须设置危险废物识别标志。</w:t>
            </w:r>
          </w:p>
          <w:p>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对危险废物暂时贮存场所要加强管理，定期巡检，确保危险废物不扩散、不渗漏、不丢失等。</w:t>
            </w:r>
          </w:p>
          <w:p>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制定危险废物管理计划，并向县生态环境部门申报危险废物的种类、产生量、流向、贮存、处置等有关资料。</w:t>
            </w:r>
          </w:p>
          <w:p>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禁止向环境倾倒、堆置危险废物。</w:t>
            </w:r>
          </w:p>
          <w:p>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禁止将危险废物混入非危险废物中收集、暂存、转移、处置。</w:t>
            </w:r>
          </w:p>
          <w:p>
            <w:pPr>
              <w:adjustRightInd w:val="0"/>
              <w:snapToGrid w:val="0"/>
              <w:spacing w:line="360" w:lineRule="auto"/>
              <w:ind w:firstLine="480" w:firstLineChars="200"/>
              <w:rPr>
                <w:color w:val="auto"/>
                <w:sz w:val="24"/>
              </w:rPr>
            </w:pPr>
            <w:r>
              <w:rPr>
                <w:rFonts w:hint="eastAsia" w:ascii="宋体" w:hAnsi="宋体" w:cs="宋体"/>
                <w:color w:val="auto"/>
                <w:sz w:val="24"/>
              </w:rPr>
              <w:t>⑦</w:t>
            </w:r>
            <w:r>
              <w:rPr>
                <w:color w:val="auto"/>
                <w:sz w:val="24"/>
              </w:rPr>
              <w:t>需要转移危险废物时，严格按照《危险废物转移联单管理办法》对危险废物进行转移处置，必须按照相关规定办理危险废物转移联单，未经批准，不得进行转移。</w:t>
            </w:r>
          </w:p>
          <w:p>
            <w:pPr>
              <w:adjustRightInd w:val="0"/>
              <w:snapToGrid w:val="0"/>
              <w:spacing w:line="360" w:lineRule="auto"/>
              <w:ind w:firstLine="480" w:firstLineChars="200"/>
              <w:rPr>
                <w:color w:val="auto"/>
                <w:sz w:val="24"/>
              </w:rPr>
            </w:pPr>
            <w:r>
              <w:rPr>
                <w:rFonts w:hint="eastAsia" w:ascii="宋体" w:hAnsi="宋体" w:cs="宋体"/>
                <w:color w:val="auto"/>
                <w:sz w:val="24"/>
              </w:rPr>
              <w:t>⑧</w:t>
            </w:r>
            <w:r>
              <w:rPr>
                <w:color w:val="auto"/>
                <w:sz w:val="24"/>
              </w:rPr>
              <w:t>禁止将危险废物转移至无危险废物经营资质的单位。</w:t>
            </w:r>
          </w:p>
          <w:p>
            <w:pPr>
              <w:adjustRightInd w:val="0"/>
              <w:snapToGrid w:val="0"/>
              <w:spacing w:line="360" w:lineRule="auto"/>
              <w:ind w:firstLine="480" w:firstLineChars="200"/>
              <w:rPr>
                <w:color w:val="auto"/>
                <w:sz w:val="24"/>
              </w:rPr>
            </w:pPr>
            <w:r>
              <w:rPr>
                <w:rFonts w:hint="eastAsia" w:ascii="宋体" w:hAnsi="宋体" w:cs="宋体"/>
                <w:color w:val="auto"/>
                <w:sz w:val="24"/>
              </w:rPr>
              <w:t>⑨</w:t>
            </w:r>
            <w:r>
              <w:rPr>
                <w:color w:val="auto"/>
                <w:sz w:val="24"/>
              </w:rPr>
              <w:t>运输危险废物，必须采取防止污染环境的措施，并遵守国家有关危险货物运输管理的规定。禁止将危险废物与旅客在同一运输工具上载运。</w:t>
            </w:r>
          </w:p>
          <w:p>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制定危险废物污染事故防范措施和应急预案，并报县生态环境部门进行备案，建立健全危险废物管理台帐。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因发生事故或者其他突发性事件，造成危险废物严重污染环境时，必须立即采取措施消除或者减轻对环境的污染危害，及时通报可能受到污染危害的单位和居民，并向县生态环境部门和有关部门报告，接受调查处理。</w:t>
            </w:r>
          </w:p>
          <w:p>
            <w:pPr>
              <w:adjustRightInd w:val="0"/>
              <w:snapToGrid w:val="0"/>
              <w:spacing w:line="360" w:lineRule="auto"/>
              <w:ind w:firstLine="480" w:firstLineChars="200"/>
              <w:rPr>
                <w:color w:val="auto"/>
                <w:sz w:val="24"/>
              </w:rPr>
            </w:pPr>
            <w:r>
              <w:rPr>
                <w:color w:val="auto"/>
                <w:sz w:val="24"/>
              </w:rPr>
              <w:t>综上所述，在采取以上措施后，项目运营期产生的固体废弃物去向明确，处置合理，不会造成二次污染。</w:t>
            </w:r>
          </w:p>
          <w:p>
            <w:pPr>
              <w:adjustRightInd w:val="0"/>
              <w:snapToGrid w:val="0"/>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五</w:t>
            </w:r>
            <w:r>
              <w:rPr>
                <w:rFonts w:ascii="Times New Roman" w:hAnsi="Times New Roman" w:eastAsia="宋体" w:cs="Times New Roman"/>
                <w:b/>
                <w:bCs/>
                <w:color w:val="auto"/>
                <w:sz w:val="24"/>
              </w:rPr>
              <w:t>、地下水、土壤</w:t>
            </w:r>
          </w:p>
          <w:p>
            <w:pPr>
              <w:widowControl/>
              <w:snapToGrid w:val="0"/>
              <w:spacing w:line="360" w:lineRule="auto"/>
              <w:ind w:firstLine="480" w:firstLineChars="200"/>
              <w:rPr>
                <w:color w:val="auto"/>
                <w:kern w:val="0"/>
                <w:sz w:val="24"/>
              </w:rPr>
            </w:pPr>
            <w:r>
              <w:rPr>
                <w:color w:val="auto"/>
                <w:kern w:val="0"/>
                <w:sz w:val="24"/>
              </w:rPr>
              <w:t>根据地下水环境保护措</w:t>
            </w:r>
            <w:r>
              <w:rPr>
                <w:rFonts w:hint="eastAsia" w:ascii="宋体" w:hAnsi="宋体" w:eastAsia="宋体" w:cs="宋体"/>
                <w:color w:val="auto"/>
                <w:kern w:val="0"/>
                <w:sz w:val="24"/>
              </w:rPr>
              <w:t>施和对策，按照“源头控制、分区防控、污染监控、应急响应”的原则，为了</w:t>
            </w:r>
            <w:r>
              <w:rPr>
                <w:color w:val="auto"/>
                <w:kern w:val="0"/>
                <w:sz w:val="24"/>
              </w:rPr>
              <w:t>防止运营期地下水污染，将本项目分划为重点防渗区、一般防渗区、简单防渗区三个区域采取防渗措施。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表4-6  项目分区防渗一览表</w:t>
            </w:r>
          </w:p>
          <w:tbl>
            <w:tblPr>
              <w:tblStyle w:val="2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1686"/>
              <w:gridCol w:w="2134"/>
              <w:gridCol w:w="3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9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防渗级别</w:t>
                  </w:r>
                </w:p>
              </w:tc>
              <w:tc>
                <w:tcPr>
                  <w:tcW w:w="16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防渗区域</w:t>
                  </w:r>
                </w:p>
              </w:tc>
              <w:tc>
                <w:tcPr>
                  <w:tcW w:w="213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防渗要求</w:t>
                  </w:r>
                </w:p>
              </w:tc>
              <w:tc>
                <w:tcPr>
                  <w:tcW w:w="32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color w:val="auto"/>
                      <w:kern w:val="0"/>
                      <w:szCs w:val="21"/>
                    </w:rPr>
                  </w:pPr>
                  <w:r>
                    <w:rPr>
                      <w:b/>
                      <w:bCs/>
                      <w:color w:val="auto"/>
                      <w:kern w:val="0"/>
                      <w:szCs w:val="21"/>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43" w:hRule="atLeast"/>
              </w:trPr>
              <w:tc>
                <w:tcPr>
                  <w:tcW w:w="900"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重点防渗</w:t>
                  </w:r>
                </w:p>
              </w:tc>
              <w:tc>
                <w:tcPr>
                  <w:tcW w:w="1686" w:type="dxa"/>
                  <w:tcBorders>
                    <w:tl2br w:val="nil"/>
                    <w:tr2bl w:val="nil"/>
                  </w:tcBorders>
                  <w:shd w:val="clear" w:color="auto" w:fill="auto"/>
                  <w:vAlign w:val="center"/>
                </w:tcPr>
                <w:p>
                  <w:pPr>
                    <w:widowControl/>
                    <w:snapToGrid w:val="0"/>
                    <w:spacing w:line="276" w:lineRule="auto"/>
                    <w:jc w:val="center"/>
                    <w:rPr>
                      <w:color w:val="auto"/>
                      <w:kern w:val="0"/>
                      <w:szCs w:val="21"/>
                    </w:rPr>
                  </w:pPr>
                  <w:r>
                    <w:rPr>
                      <w:color w:val="auto"/>
                      <w:kern w:val="0"/>
                      <w:szCs w:val="21"/>
                    </w:rPr>
                    <w:t>危废暂存间</w:t>
                  </w:r>
                </w:p>
                <w:p>
                  <w:pPr>
                    <w:widowControl/>
                    <w:snapToGrid w:val="0"/>
                    <w:spacing w:line="276" w:lineRule="auto"/>
                    <w:jc w:val="center"/>
                    <w:rPr>
                      <w:rFonts w:hint="eastAsia" w:eastAsia="宋体"/>
                      <w:color w:val="auto"/>
                      <w:kern w:val="0"/>
                      <w:szCs w:val="21"/>
                      <w:lang w:eastAsia="zh-CN"/>
                    </w:rPr>
                  </w:pPr>
                  <w:r>
                    <w:rPr>
                      <w:rFonts w:hint="eastAsia"/>
                      <w:color w:val="auto"/>
                      <w:kern w:val="0"/>
                      <w:szCs w:val="21"/>
                      <w:lang w:eastAsia="zh-CN"/>
                    </w:rPr>
                    <w:t>（</w:t>
                  </w:r>
                  <w:r>
                    <w:rPr>
                      <w:rFonts w:hint="eastAsia"/>
                      <w:color w:val="auto"/>
                      <w:kern w:val="0"/>
                      <w:szCs w:val="21"/>
                      <w:lang w:val="en-US" w:eastAsia="zh-CN"/>
                    </w:rPr>
                    <w:t>依托</w:t>
                  </w:r>
                  <w:r>
                    <w:rPr>
                      <w:rFonts w:hint="eastAsia"/>
                      <w:color w:val="auto"/>
                      <w:kern w:val="0"/>
                      <w:szCs w:val="21"/>
                      <w:lang w:eastAsia="zh-CN"/>
                    </w:rPr>
                    <w:t>）</w:t>
                  </w:r>
                </w:p>
              </w:tc>
              <w:tc>
                <w:tcPr>
                  <w:tcW w:w="2134" w:type="dxa"/>
                  <w:tcBorders>
                    <w:tl2br w:val="nil"/>
                    <w:tr2bl w:val="nil"/>
                  </w:tcBorders>
                  <w:shd w:val="clear" w:color="auto" w:fill="auto"/>
                  <w:vAlign w:val="center"/>
                </w:tcPr>
                <w:p>
                  <w:pPr>
                    <w:widowControl/>
                    <w:snapToGrid w:val="0"/>
                    <w:spacing w:line="276" w:lineRule="auto"/>
                    <w:rPr>
                      <w:rFonts w:hint="eastAsia" w:eastAsia="宋体"/>
                      <w:color w:val="auto"/>
                      <w:kern w:val="0"/>
                      <w:szCs w:val="21"/>
                      <w:lang w:eastAsia="zh-CN"/>
                    </w:rPr>
                  </w:pPr>
                  <w:r>
                    <w:rPr>
                      <w:color w:val="auto"/>
                      <w:kern w:val="0"/>
                      <w:szCs w:val="21"/>
                    </w:rPr>
                    <w:t>危废间防渗层能够达到等效黏土防渗层Mb</w:t>
                  </w:r>
                  <w:r>
                    <w:rPr>
                      <w:rFonts w:hint="eastAsia" w:ascii="宋体" w:hAnsi="宋体" w:cs="宋体"/>
                      <w:color w:val="auto"/>
                      <w:kern w:val="0"/>
                      <w:szCs w:val="21"/>
                    </w:rPr>
                    <w:t>≧</w:t>
                  </w:r>
                  <w:r>
                    <w:rPr>
                      <w:color w:val="auto"/>
                      <w:kern w:val="0"/>
                      <w:szCs w:val="21"/>
                    </w:rPr>
                    <w:t>6.0m，K≤10</w:t>
                  </w:r>
                  <w:r>
                    <w:rPr>
                      <w:color w:val="auto"/>
                      <w:kern w:val="0"/>
                      <w:szCs w:val="21"/>
                      <w:vertAlign w:val="superscript"/>
                    </w:rPr>
                    <w:t>-10</w:t>
                  </w:r>
                  <w:r>
                    <w:rPr>
                      <w:color w:val="auto"/>
                      <w:kern w:val="0"/>
                      <w:szCs w:val="21"/>
                    </w:rPr>
                    <w:t>cm/s或参照GB18598执行</w:t>
                  </w:r>
                  <w:r>
                    <w:rPr>
                      <w:rFonts w:hint="eastAsia"/>
                      <w:color w:val="auto"/>
                      <w:kern w:val="0"/>
                      <w:szCs w:val="21"/>
                      <w:lang w:eastAsia="zh-CN"/>
                    </w:rPr>
                    <w:t>。</w:t>
                  </w:r>
                </w:p>
              </w:tc>
              <w:tc>
                <w:tcPr>
                  <w:tcW w:w="3257" w:type="dxa"/>
                  <w:tcBorders>
                    <w:tl2br w:val="nil"/>
                    <w:tr2bl w:val="nil"/>
                  </w:tcBorders>
                  <w:shd w:val="clear" w:color="auto" w:fill="auto"/>
                  <w:vAlign w:val="center"/>
                </w:tcPr>
                <w:p>
                  <w:pPr>
                    <w:widowControl/>
                    <w:snapToGrid w:val="0"/>
                    <w:spacing w:line="276" w:lineRule="auto"/>
                    <w:rPr>
                      <w:color w:val="auto"/>
                      <w:kern w:val="0"/>
                      <w:szCs w:val="21"/>
                    </w:rPr>
                  </w:pPr>
                  <w:r>
                    <w:rPr>
                      <w:rFonts w:hint="eastAsia"/>
                      <w:color w:val="auto"/>
                      <w:kern w:val="0"/>
                      <w:szCs w:val="21"/>
                      <w:lang w:val="en-US" w:eastAsia="zh-CN"/>
                    </w:rPr>
                    <w:t>位于综合设备房，综合设备房采用钢结构活动板房，综合设备房基础为钢筋混凝土，</w:t>
                  </w:r>
                  <w:r>
                    <w:rPr>
                      <w:color w:val="auto"/>
                      <w:kern w:val="0"/>
                      <w:szCs w:val="21"/>
                    </w:rPr>
                    <w:t>危废暂存间设置金属托盘，危废分类存于金属托盘内。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900"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一般防渗</w:t>
                  </w:r>
                </w:p>
              </w:tc>
              <w:tc>
                <w:tcPr>
                  <w:tcW w:w="1686" w:type="dxa"/>
                  <w:tcBorders>
                    <w:tl2br w:val="nil"/>
                    <w:tr2bl w:val="nil"/>
                  </w:tcBorders>
                  <w:shd w:val="clear" w:color="auto" w:fill="auto"/>
                  <w:vAlign w:val="center"/>
                </w:tcPr>
                <w:p>
                  <w:pPr>
                    <w:widowControl/>
                    <w:snapToGrid w:val="0"/>
                    <w:spacing w:line="276" w:lineRule="auto"/>
                    <w:rPr>
                      <w:rFonts w:hint="default" w:eastAsia="宋体"/>
                      <w:color w:val="auto"/>
                      <w:kern w:val="0"/>
                      <w:szCs w:val="21"/>
                      <w:lang w:val="en-US" w:eastAsia="zh-CN"/>
                    </w:rPr>
                  </w:pPr>
                  <w:r>
                    <w:rPr>
                      <w:rFonts w:hint="eastAsia"/>
                      <w:color w:val="auto"/>
                      <w:kern w:val="0"/>
                      <w:szCs w:val="21"/>
                      <w:lang w:val="en-US" w:eastAsia="zh-CN"/>
                    </w:rPr>
                    <w:t>加压泵站、吸水调节池</w:t>
                  </w:r>
                </w:p>
              </w:tc>
              <w:tc>
                <w:tcPr>
                  <w:tcW w:w="2134"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等效黏土防渗层Mb≥1.5m，渗透系数 K≤1×10</w:t>
                  </w:r>
                  <w:r>
                    <w:rPr>
                      <w:color w:val="auto"/>
                      <w:kern w:val="0"/>
                      <w:szCs w:val="21"/>
                      <w:vertAlign w:val="superscript"/>
                    </w:rPr>
                    <w:t>-7</w:t>
                  </w:r>
                  <w:r>
                    <w:rPr>
                      <w:color w:val="auto"/>
                      <w:kern w:val="0"/>
                      <w:szCs w:val="21"/>
                    </w:rPr>
                    <w:t>cm/s</w:t>
                  </w:r>
                </w:p>
              </w:tc>
              <w:tc>
                <w:tcPr>
                  <w:tcW w:w="3257"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地面采用防渗混凝土进行硬化处理，满足一般防渗要求，防渗层渗透系数≤10</w:t>
                  </w:r>
                  <w:r>
                    <w:rPr>
                      <w:color w:val="auto"/>
                      <w:kern w:val="0"/>
                      <w:szCs w:val="21"/>
                      <w:vertAlign w:val="superscript"/>
                    </w:rPr>
                    <w:t>-7</w:t>
                  </w:r>
                  <w:r>
                    <w:rPr>
                      <w:color w:val="auto"/>
                      <w:kern w:val="0"/>
                      <w:szCs w:val="21"/>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900"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简单防渗</w:t>
                  </w:r>
                </w:p>
              </w:tc>
              <w:tc>
                <w:tcPr>
                  <w:tcW w:w="1686" w:type="dxa"/>
                  <w:tcBorders>
                    <w:tl2br w:val="nil"/>
                    <w:tr2bl w:val="nil"/>
                  </w:tcBorders>
                  <w:shd w:val="clear" w:color="auto" w:fill="auto"/>
                  <w:vAlign w:val="center"/>
                </w:tcPr>
                <w:p>
                  <w:pPr>
                    <w:widowControl/>
                    <w:snapToGrid w:val="0"/>
                    <w:spacing w:line="276" w:lineRule="auto"/>
                    <w:rPr>
                      <w:rFonts w:hint="default"/>
                      <w:color w:val="auto"/>
                      <w:kern w:val="0"/>
                      <w:szCs w:val="21"/>
                      <w:lang w:val="en-US"/>
                    </w:rPr>
                  </w:pPr>
                  <w:r>
                    <w:rPr>
                      <w:color w:val="auto"/>
                      <w:kern w:val="0"/>
                      <w:szCs w:val="21"/>
                    </w:rPr>
                    <w:t>厂区地面</w:t>
                  </w:r>
                  <w:r>
                    <w:rPr>
                      <w:rFonts w:hint="eastAsia"/>
                      <w:color w:val="auto"/>
                      <w:kern w:val="0"/>
                      <w:szCs w:val="21"/>
                      <w:lang w:val="en-US" w:eastAsia="zh-CN"/>
                    </w:rPr>
                    <w:t>、清水外排池、值班室</w:t>
                  </w:r>
                </w:p>
              </w:tc>
              <w:tc>
                <w:tcPr>
                  <w:tcW w:w="2134" w:type="dxa"/>
                  <w:tcBorders>
                    <w:tl2br w:val="nil"/>
                    <w:tr2bl w:val="nil"/>
                  </w:tcBorders>
                  <w:shd w:val="clear" w:color="auto" w:fill="auto"/>
                  <w:vAlign w:val="center"/>
                </w:tcPr>
                <w:p>
                  <w:pPr>
                    <w:widowControl/>
                    <w:snapToGrid w:val="0"/>
                    <w:spacing w:line="276" w:lineRule="auto"/>
                    <w:jc w:val="center"/>
                    <w:rPr>
                      <w:rFonts w:hint="default" w:eastAsia="宋体"/>
                      <w:color w:val="auto"/>
                      <w:kern w:val="0"/>
                      <w:szCs w:val="21"/>
                      <w:lang w:val="en-US" w:eastAsia="zh-CN"/>
                    </w:rPr>
                  </w:pPr>
                  <w:r>
                    <w:rPr>
                      <w:color w:val="auto"/>
                      <w:kern w:val="0"/>
                      <w:szCs w:val="21"/>
                    </w:rPr>
                    <w:t>水泥硬化</w:t>
                  </w:r>
                  <w:r>
                    <w:rPr>
                      <w:rFonts w:hint="eastAsia"/>
                      <w:color w:val="auto"/>
                      <w:kern w:val="0"/>
                      <w:szCs w:val="21"/>
                      <w:lang w:eastAsia="zh-CN"/>
                    </w:rPr>
                    <w:t>、</w:t>
                  </w:r>
                  <w:r>
                    <w:rPr>
                      <w:rFonts w:hint="eastAsia"/>
                      <w:color w:val="auto"/>
                      <w:kern w:val="0"/>
                      <w:szCs w:val="21"/>
                      <w:lang w:val="en-US" w:eastAsia="zh-CN"/>
                    </w:rPr>
                    <w:t>绿化</w:t>
                  </w:r>
                </w:p>
              </w:tc>
              <w:tc>
                <w:tcPr>
                  <w:tcW w:w="3257" w:type="dxa"/>
                  <w:tcBorders>
                    <w:tl2br w:val="nil"/>
                    <w:tr2bl w:val="nil"/>
                  </w:tcBorders>
                  <w:shd w:val="clear" w:color="auto" w:fill="auto"/>
                  <w:vAlign w:val="center"/>
                </w:tcPr>
                <w:p>
                  <w:pPr>
                    <w:widowControl/>
                    <w:snapToGrid w:val="0"/>
                    <w:spacing w:line="276" w:lineRule="auto"/>
                    <w:rPr>
                      <w:color w:val="auto"/>
                      <w:kern w:val="0"/>
                      <w:szCs w:val="21"/>
                    </w:rPr>
                  </w:pPr>
                  <w:r>
                    <w:rPr>
                      <w:color w:val="auto"/>
                      <w:kern w:val="0"/>
                      <w:szCs w:val="21"/>
                    </w:rPr>
                    <w:t>地面采用防渗混凝土进行硬化</w:t>
                  </w:r>
                  <w:r>
                    <w:rPr>
                      <w:rFonts w:hint="eastAsia"/>
                      <w:color w:val="auto"/>
                      <w:kern w:val="0"/>
                      <w:szCs w:val="21"/>
                      <w:lang w:val="en-US" w:eastAsia="zh-CN"/>
                    </w:rPr>
                    <w:t>或绿化</w:t>
                  </w:r>
                  <w:r>
                    <w:rPr>
                      <w:color w:val="auto"/>
                      <w:kern w:val="0"/>
                      <w:szCs w:val="21"/>
                    </w:rPr>
                    <w:t>处理，满足简单防渗要求。</w:t>
                  </w:r>
                </w:p>
              </w:tc>
            </w:tr>
          </w:tbl>
          <w:p>
            <w:pPr>
              <w:widowControl/>
              <w:snapToGrid w:val="0"/>
              <w:spacing w:before="120" w:beforeLines="50" w:line="360" w:lineRule="auto"/>
              <w:ind w:firstLine="480" w:firstLineChars="200"/>
              <w:rPr>
                <w:color w:val="auto"/>
                <w:kern w:val="0"/>
                <w:sz w:val="24"/>
              </w:rPr>
            </w:pPr>
            <w:r>
              <w:rPr>
                <w:color w:val="auto"/>
                <w:kern w:val="0"/>
                <w:sz w:val="24"/>
              </w:rPr>
              <w:t>项目在严格落实上述污染防治措施和防渗措施，制定地下水污染防治应急预案，在确保各项防渗措施得以有效落实，并加强维护厂区环境管理的前提下，可有效控制污染物下渗现象，避免污染地下水，不会对评价区域地下水环境质量造成污染影响。</w:t>
            </w:r>
          </w:p>
          <w:p>
            <w:pPr>
              <w:adjustRightInd w:val="0"/>
              <w:snapToGrid w:val="0"/>
              <w:spacing w:line="360" w:lineRule="auto"/>
              <w:ind w:firstLine="482" w:firstLineChars="200"/>
              <w:rPr>
                <w:b/>
                <w:bCs/>
                <w:color w:val="auto"/>
                <w:kern w:val="0"/>
                <w:sz w:val="24"/>
              </w:rPr>
            </w:pPr>
            <w:r>
              <w:rPr>
                <w:rFonts w:hint="eastAsia"/>
                <w:b/>
                <w:bCs/>
                <w:color w:val="auto"/>
                <w:kern w:val="0"/>
                <w:sz w:val="24"/>
                <w:lang w:val="en-US" w:eastAsia="zh-CN"/>
              </w:rPr>
              <w:t>六</w:t>
            </w:r>
            <w:r>
              <w:rPr>
                <w:b/>
                <w:bCs/>
                <w:color w:val="auto"/>
                <w:kern w:val="0"/>
                <w:sz w:val="24"/>
              </w:rPr>
              <w:t>、环境风险</w:t>
            </w:r>
          </w:p>
          <w:p>
            <w:pPr>
              <w:spacing w:line="360" w:lineRule="auto"/>
              <w:ind w:firstLine="482" w:firstLineChars="200"/>
              <w:rPr>
                <w:b/>
                <w:bCs/>
                <w:color w:val="auto"/>
                <w:sz w:val="24"/>
              </w:rPr>
            </w:pPr>
            <w:r>
              <w:rPr>
                <w:b/>
                <w:bCs/>
                <w:color w:val="auto"/>
                <w:sz w:val="24"/>
              </w:rPr>
              <w:t>1、风险源调查</w:t>
            </w:r>
          </w:p>
          <w:p>
            <w:pPr>
              <w:widowControl/>
              <w:snapToGrid w:val="0"/>
              <w:spacing w:line="360" w:lineRule="auto"/>
              <w:ind w:right="113" w:firstLine="480" w:firstLineChars="200"/>
              <w:rPr>
                <w:rFonts w:hint="default" w:eastAsia="宋体"/>
                <w:b w:val="0"/>
                <w:bCs w:val="0"/>
                <w:color w:val="auto"/>
                <w:kern w:val="0"/>
                <w:sz w:val="24"/>
                <w:lang w:val="en-US" w:eastAsia="zh-CN"/>
              </w:rPr>
            </w:pPr>
            <w:r>
              <w:rPr>
                <w:rFonts w:hint="eastAsia"/>
                <w:b w:val="0"/>
                <w:bCs w:val="0"/>
                <w:color w:val="auto"/>
                <w:kern w:val="0"/>
                <w:sz w:val="24"/>
                <w:lang w:val="en-US" w:eastAsia="zh-CN"/>
              </w:rPr>
              <w:t>本项目不涉及危险物质。</w:t>
            </w:r>
          </w:p>
          <w:p>
            <w:pPr>
              <w:widowControl/>
              <w:snapToGrid w:val="0"/>
              <w:spacing w:line="360" w:lineRule="auto"/>
              <w:ind w:right="113" w:firstLine="482" w:firstLineChars="200"/>
              <w:rPr>
                <w:b/>
                <w:bCs/>
                <w:color w:val="auto"/>
                <w:kern w:val="0"/>
                <w:sz w:val="24"/>
              </w:rPr>
            </w:pPr>
            <w:r>
              <w:rPr>
                <w:b/>
                <w:bCs/>
                <w:color w:val="auto"/>
                <w:kern w:val="0"/>
                <w:sz w:val="24"/>
              </w:rPr>
              <w:t>2、环境风险识别</w:t>
            </w:r>
          </w:p>
          <w:p>
            <w:pPr>
              <w:widowControl/>
              <w:snapToGrid w:val="0"/>
              <w:spacing w:line="360" w:lineRule="auto"/>
              <w:ind w:right="113" w:firstLine="480" w:firstLineChars="200"/>
              <w:rPr>
                <w:color w:val="auto"/>
                <w:kern w:val="0"/>
                <w:sz w:val="24"/>
              </w:rPr>
            </w:pPr>
            <w:r>
              <w:rPr>
                <w:color w:val="auto"/>
                <w:kern w:val="0"/>
                <w:sz w:val="24"/>
              </w:rPr>
              <w:t>本项目主要环境风险有：</w:t>
            </w:r>
          </w:p>
          <w:p>
            <w:pPr>
              <w:widowControl/>
              <w:snapToGrid w:val="0"/>
              <w:spacing w:line="360" w:lineRule="auto"/>
              <w:ind w:right="113" w:firstLine="480" w:firstLineChars="200"/>
              <w:rPr>
                <w:color w:val="auto"/>
                <w:kern w:val="0"/>
                <w:sz w:val="24"/>
              </w:rPr>
            </w:pPr>
            <w:r>
              <w:rPr>
                <w:rFonts w:hint="eastAsia" w:ascii="宋体" w:hAnsi="宋体" w:cs="宋体"/>
                <w:color w:val="auto"/>
                <w:kern w:val="0"/>
                <w:sz w:val="24"/>
              </w:rPr>
              <w:t>①</w:t>
            </w:r>
            <w:r>
              <w:rPr>
                <w:color w:val="auto"/>
                <w:kern w:val="0"/>
                <w:sz w:val="24"/>
              </w:rPr>
              <w:t>处理系统故障，或厂内断电可能影响净水厂正常供水。</w:t>
            </w:r>
          </w:p>
          <w:p>
            <w:pPr>
              <w:widowControl/>
              <w:snapToGrid w:val="0"/>
              <w:spacing w:line="360" w:lineRule="auto"/>
              <w:ind w:right="113" w:firstLine="480" w:firstLineChars="200"/>
              <w:rPr>
                <w:color w:val="auto"/>
                <w:kern w:val="0"/>
                <w:sz w:val="24"/>
              </w:rPr>
            </w:pPr>
            <w:r>
              <w:rPr>
                <w:rFonts w:hint="eastAsia" w:ascii="宋体" w:hAnsi="宋体" w:cs="宋体"/>
                <w:color w:val="auto"/>
                <w:kern w:val="0"/>
                <w:sz w:val="24"/>
              </w:rPr>
              <w:t>②</w:t>
            </w:r>
            <w:r>
              <w:rPr>
                <w:color w:val="auto"/>
                <w:kern w:val="0"/>
                <w:sz w:val="24"/>
              </w:rPr>
              <w:t>来水突发超标可能影响净水厂正常供水。</w:t>
            </w:r>
          </w:p>
          <w:p>
            <w:pPr>
              <w:spacing w:line="360" w:lineRule="auto"/>
              <w:ind w:firstLine="482" w:firstLineChars="200"/>
              <w:rPr>
                <w:b/>
                <w:bCs/>
                <w:color w:val="auto"/>
                <w:sz w:val="24"/>
              </w:rPr>
            </w:pPr>
            <w:r>
              <w:rPr>
                <w:b/>
                <w:bCs/>
                <w:color w:val="auto"/>
                <w:sz w:val="24"/>
              </w:rPr>
              <w:t>3、环境风险防范措施</w:t>
            </w:r>
          </w:p>
          <w:p>
            <w:pPr>
              <w:spacing w:line="360" w:lineRule="auto"/>
              <w:ind w:firstLine="480" w:firstLineChars="200"/>
              <w:rPr>
                <w:color w:val="auto"/>
                <w:sz w:val="24"/>
              </w:rPr>
            </w:pPr>
            <w:r>
              <w:rPr>
                <w:color w:val="auto"/>
                <w:sz w:val="24"/>
              </w:rPr>
              <w:t>1）加强管理工作，设专人负责原辅料的安全贮存、厂区内输运以及使用，按照其物化性质、危险特性等特征采取相应的安全贮存方式。</w:t>
            </w:r>
          </w:p>
          <w:p>
            <w:pPr>
              <w:spacing w:line="360" w:lineRule="auto"/>
              <w:ind w:firstLine="480" w:firstLineChars="200"/>
              <w:rPr>
                <w:color w:val="auto"/>
                <w:sz w:val="24"/>
              </w:rPr>
            </w:pPr>
            <w:r>
              <w:rPr>
                <w:color w:val="auto"/>
                <w:sz w:val="24"/>
              </w:rPr>
              <w:t>2）定期检查润滑油包装桶的密封性能及强度，定期检查氯酸钠、盐酸包装的密封性能，若发生原辅料泄漏，及时收集清理，并委托有资质单位处置。</w:t>
            </w:r>
          </w:p>
          <w:p>
            <w:pPr>
              <w:spacing w:line="360" w:lineRule="auto"/>
              <w:ind w:firstLine="480" w:firstLineChars="200"/>
              <w:rPr>
                <w:color w:val="auto"/>
                <w:sz w:val="24"/>
              </w:rPr>
            </w:pPr>
            <w:r>
              <w:rPr>
                <w:color w:val="auto"/>
                <w:sz w:val="24"/>
              </w:rPr>
              <w:t>3）危废暂存间内废油桶下方设置托盘，一旦发生废油泄露，及时收集清理，并委托有资质单位处置。</w:t>
            </w:r>
          </w:p>
          <w:p>
            <w:pPr>
              <w:spacing w:line="360" w:lineRule="auto"/>
              <w:ind w:firstLine="480" w:firstLineChars="200"/>
              <w:rPr>
                <w:color w:val="auto"/>
                <w:sz w:val="24"/>
              </w:rPr>
            </w:pPr>
            <w:r>
              <w:rPr>
                <w:color w:val="auto"/>
                <w:sz w:val="24"/>
              </w:rPr>
              <w:t>4）按要求配置消防栓、灭火器等消防设施，雨水排放口设置截止阀。</w:t>
            </w:r>
          </w:p>
          <w:p>
            <w:pPr>
              <w:spacing w:line="360" w:lineRule="auto"/>
              <w:ind w:firstLine="480" w:firstLineChars="200"/>
              <w:rPr>
                <w:color w:val="auto"/>
                <w:sz w:val="24"/>
              </w:rPr>
            </w:pPr>
            <w:r>
              <w:rPr>
                <w:color w:val="auto"/>
                <w:sz w:val="24"/>
              </w:rPr>
              <w:t>5）设有应急照明、疏散标识、应急广播系统、消防专用电话等疏散通讯设施。</w:t>
            </w:r>
          </w:p>
          <w:p>
            <w:pPr>
              <w:spacing w:line="360" w:lineRule="auto"/>
              <w:ind w:firstLine="480" w:firstLineChars="200"/>
              <w:rPr>
                <w:color w:val="auto"/>
                <w:sz w:val="24"/>
              </w:rPr>
            </w:pPr>
            <w:r>
              <w:rPr>
                <w:rFonts w:hint="eastAsia"/>
                <w:color w:val="auto"/>
                <w:sz w:val="24"/>
                <w:lang w:val="en-US" w:eastAsia="zh-CN"/>
              </w:rPr>
              <w:t>6</w:t>
            </w:r>
            <w:r>
              <w:rPr>
                <w:color w:val="auto"/>
                <w:sz w:val="24"/>
              </w:rPr>
              <w:t>）开展应急监测</w:t>
            </w:r>
          </w:p>
          <w:p>
            <w:pPr>
              <w:spacing w:line="360" w:lineRule="auto"/>
              <w:ind w:firstLine="480" w:firstLineChars="200"/>
              <w:rPr>
                <w:color w:val="auto"/>
                <w:sz w:val="24"/>
              </w:rPr>
            </w:pPr>
            <w:r>
              <w:rPr>
                <w:color w:val="auto"/>
                <w:sz w:val="24"/>
              </w:rPr>
              <w:t>在发生特别重大水质污染和重大水质污染事件时，在上级应急指挥部指导下开展相关应急监测工作，监测方案由上级应急组织指挥部确定。在发生一般水质污染事故时，由公司应急处置领导小组安排水质检测科开展应急监测，监测内容包括：</w:t>
            </w:r>
          </w:p>
          <w:p>
            <w:pPr>
              <w:spacing w:line="360" w:lineRule="auto"/>
              <w:ind w:firstLine="480" w:firstLineChars="200"/>
              <w:rPr>
                <w:color w:val="auto"/>
                <w:sz w:val="24"/>
              </w:rPr>
            </w:pPr>
            <w:r>
              <w:rPr>
                <w:color w:val="auto"/>
                <w:sz w:val="24"/>
              </w:rPr>
              <w:t>（1）每小时观察一次生物观测池内鱼类的活性；</w:t>
            </w:r>
          </w:p>
          <w:p>
            <w:pPr>
              <w:spacing w:line="360" w:lineRule="auto"/>
              <w:ind w:firstLine="480" w:firstLineChars="200"/>
              <w:rPr>
                <w:color w:val="auto"/>
                <w:sz w:val="24"/>
              </w:rPr>
            </w:pPr>
            <w:r>
              <w:rPr>
                <w:color w:val="auto"/>
                <w:sz w:val="24"/>
              </w:rPr>
              <w:t>（2）每小时检测一次出厂水次氯酸钠、亚氯酸盐、氯酸盐余量；</w:t>
            </w:r>
          </w:p>
          <w:p>
            <w:pPr>
              <w:spacing w:line="360" w:lineRule="auto"/>
              <w:ind w:firstLine="480" w:firstLineChars="200"/>
              <w:rPr>
                <w:color w:val="auto"/>
                <w:sz w:val="24"/>
              </w:rPr>
            </w:pPr>
            <w:r>
              <w:rPr>
                <w:color w:val="auto"/>
                <w:sz w:val="24"/>
              </w:rPr>
              <w:t>（3）每小时检测一次原水色度、浊度、臭和味、肉眼可见物、pH。</w:t>
            </w:r>
          </w:p>
          <w:p>
            <w:pPr>
              <w:spacing w:line="360" w:lineRule="auto"/>
              <w:ind w:firstLine="480" w:firstLineChars="200"/>
              <w:rPr>
                <w:color w:val="auto"/>
                <w:sz w:val="24"/>
              </w:rPr>
            </w:pPr>
            <w:r>
              <w:rPr>
                <w:color w:val="auto"/>
                <w:sz w:val="24"/>
              </w:rPr>
              <w:t>（4）根据生产和水质控制需要，适时检测原水的需氯量；</w:t>
            </w:r>
          </w:p>
          <w:p>
            <w:pPr>
              <w:spacing w:line="360" w:lineRule="auto"/>
              <w:ind w:firstLine="480" w:firstLineChars="200"/>
              <w:rPr>
                <w:color w:val="auto"/>
                <w:sz w:val="24"/>
              </w:rPr>
            </w:pPr>
            <w:r>
              <w:rPr>
                <w:color w:val="auto"/>
                <w:sz w:val="24"/>
              </w:rPr>
              <w:t>（5）对原水污染源和污染情况的分析判断，采集原水及污染源排水水样委托有资质单位进行毒理学指标的分析检测工作，根据检测结果确定有关项目的检测频率。</w:t>
            </w:r>
          </w:p>
          <w:p>
            <w:pPr>
              <w:spacing w:line="360" w:lineRule="auto"/>
              <w:ind w:firstLine="482" w:firstLineChars="200"/>
              <w:rPr>
                <w:color w:val="auto"/>
                <w:sz w:val="24"/>
              </w:rPr>
            </w:pPr>
            <w:r>
              <w:rPr>
                <w:b/>
                <w:bCs/>
                <w:color w:val="auto"/>
                <w:sz w:val="24"/>
              </w:rPr>
              <w:t>综上分析，建设单位严格执行以上措施后，本项目环境风险可接受。</w:t>
            </w:r>
          </w:p>
          <w:p>
            <w:pPr>
              <w:adjustRightInd w:val="0"/>
              <w:snapToGrid w:val="0"/>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八、环保投资</w:t>
            </w:r>
          </w:p>
          <w:p>
            <w:pPr>
              <w:widowControl/>
              <w:spacing w:line="360" w:lineRule="auto"/>
              <w:ind w:firstLine="480" w:firstLineChars="200"/>
              <w:rPr>
                <w:color w:val="auto"/>
                <w:sz w:val="24"/>
              </w:rPr>
            </w:pPr>
            <w:r>
              <w:rPr>
                <w:color w:val="auto"/>
                <w:sz w:val="24"/>
              </w:rPr>
              <w:t>本项目总投资</w:t>
            </w:r>
            <w:r>
              <w:rPr>
                <w:rFonts w:ascii="Times New Roman" w:hAnsi="Times New Roman" w:eastAsia="宋体" w:cs="Times New Roman"/>
                <w:color w:val="auto"/>
                <w:sz w:val="24"/>
              </w:rPr>
              <w:t>为</w:t>
            </w:r>
            <w:r>
              <w:rPr>
                <w:rFonts w:hint="eastAsia" w:cs="Times New Roman"/>
                <w:color w:val="auto"/>
                <w:sz w:val="24"/>
                <w:lang w:eastAsia="zh-CN"/>
              </w:rPr>
              <w:t>679.67</w:t>
            </w:r>
            <w:r>
              <w:rPr>
                <w:rFonts w:ascii="Times New Roman" w:hAnsi="Times New Roman" w:eastAsia="宋体" w:cs="Times New Roman"/>
                <w:color w:val="auto"/>
                <w:sz w:val="24"/>
              </w:rPr>
              <w:t>万</w:t>
            </w:r>
            <w:r>
              <w:rPr>
                <w:color w:val="auto"/>
                <w:sz w:val="24"/>
              </w:rPr>
              <w:t>元，其中环保投资</w:t>
            </w:r>
            <w:r>
              <w:rPr>
                <w:rFonts w:hint="eastAsia"/>
                <w:color w:val="auto"/>
                <w:sz w:val="24"/>
                <w:lang w:val="en-US" w:eastAsia="zh-CN"/>
              </w:rPr>
              <w:t>34.5</w:t>
            </w:r>
            <w:r>
              <w:rPr>
                <w:color w:val="auto"/>
                <w:sz w:val="24"/>
              </w:rPr>
              <w:t>万元，占工程总投资的</w:t>
            </w:r>
            <w:r>
              <w:rPr>
                <w:rFonts w:hint="eastAsia"/>
                <w:color w:val="auto"/>
                <w:sz w:val="24"/>
                <w:lang w:val="en-US" w:eastAsia="zh-CN"/>
              </w:rPr>
              <w:t>5.08</w:t>
            </w:r>
            <w:r>
              <w:rPr>
                <w:color w:val="auto"/>
                <w:sz w:val="24"/>
              </w:rPr>
              <w:t>%。环保设施及投资估算一览表见下表。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表4-8  环保设施（措施）及投资估算一览表</w:t>
            </w:r>
          </w:p>
          <w:tbl>
            <w:tblPr>
              <w:tblStyle w:val="9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285"/>
              <w:gridCol w:w="763"/>
              <w:gridCol w:w="4892"/>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tcBorders>
                    <w:tl2br w:val="nil"/>
                    <w:tr2bl w:val="nil"/>
                  </w:tcBorders>
                  <w:shd w:val="clear" w:color="auto" w:fill="auto"/>
                  <w:vAlign w:val="center"/>
                </w:tcPr>
                <w:p>
                  <w:pPr>
                    <w:widowControl/>
                    <w:jc w:val="center"/>
                    <w:rPr>
                      <w:rFonts w:cs="Times New Roman"/>
                      <w:b/>
                      <w:bCs/>
                      <w:color w:val="auto"/>
                      <w:kern w:val="0"/>
                      <w:szCs w:val="21"/>
                    </w:rPr>
                  </w:pPr>
                  <w:r>
                    <w:rPr>
                      <w:rFonts w:cs="Times New Roman"/>
                      <w:b/>
                      <w:bCs/>
                      <w:color w:val="auto"/>
                      <w:kern w:val="0"/>
                      <w:szCs w:val="21"/>
                    </w:rPr>
                    <w:t>环保项目</w:t>
                  </w:r>
                </w:p>
              </w:tc>
              <w:tc>
                <w:tcPr>
                  <w:tcW w:w="5655" w:type="dxa"/>
                  <w:gridSpan w:val="2"/>
                  <w:tcBorders>
                    <w:tl2br w:val="nil"/>
                    <w:tr2bl w:val="nil"/>
                  </w:tcBorders>
                  <w:shd w:val="clear" w:color="auto" w:fill="auto"/>
                  <w:vAlign w:val="center"/>
                </w:tcPr>
                <w:p>
                  <w:pPr>
                    <w:widowControl/>
                    <w:jc w:val="center"/>
                    <w:rPr>
                      <w:rFonts w:cs="Times New Roman"/>
                      <w:b/>
                      <w:bCs/>
                      <w:color w:val="auto"/>
                      <w:kern w:val="0"/>
                      <w:szCs w:val="21"/>
                    </w:rPr>
                  </w:pPr>
                  <w:r>
                    <w:rPr>
                      <w:rFonts w:cs="Times New Roman"/>
                      <w:b/>
                      <w:bCs/>
                      <w:color w:val="auto"/>
                      <w:kern w:val="0"/>
                      <w:szCs w:val="21"/>
                    </w:rPr>
                    <w:t>措施内容</w:t>
                  </w:r>
                </w:p>
              </w:tc>
              <w:tc>
                <w:tcPr>
                  <w:tcW w:w="1037" w:type="dxa"/>
                  <w:tcBorders>
                    <w:tl2br w:val="nil"/>
                    <w:tr2bl w:val="nil"/>
                  </w:tcBorders>
                  <w:shd w:val="clear" w:color="auto" w:fill="auto"/>
                  <w:vAlign w:val="center"/>
                </w:tcPr>
                <w:p>
                  <w:pPr>
                    <w:jc w:val="center"/>
                    <w:rPr>
                      <w:rFonts w:cs="Times New Roman"/>
                      <w:b/>
                      <w:bCs/>
                      <w:snapToGrid w:val="0"/>
                      <w:color w:val="auto"/>
                      <w:kern w:val="0"/>
                      <w:szCs w:val="21"/>
                    </w:rPr>
                  </w:pPr>
                  <w:r>
                    <w:rPr>
                      <w:rFonts w:cs="Times New Roman"/>
                      <w:b/>
                      <w:bCs/>
                      <w:snapToGrid w:val="0"/>
                      <w:color w:val="auto"/>
                      <w:kern w:val="0"/>
                      <w:szCs w:val="21"/>
                    </w:rPr>
                    <w:t>金额</w:t>
                  </w:r>
                </w:p>
                <w:p>
                  <w:pPr>
                    <w:jc w:val="center"/>
                    <w:rPr>
                      <w:rFonts w:cs="Times New Roman"/>
                      <w:b/>
                      <w:bCs/>
                      <w:snapToGrid w:val="0"/>
                      <w:color w:val="auto"/>
                      <w:kern w:val="0"/>
                      <w:szCs w:val="21"/>
                    </w:rPr>
                  </w:pPr>
                  <w:r>
                    <w:rPr>
                      <w:rFonts w:cs="Times New Roman"/>
                      <w:b/>
                      <w:bCs/>
                      <w:snapToGrid w:val="0"/>
                      <w:color w:val="auto"/>
                      <w:kern w:val="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生态环境保护及恢复</w:t>
                  </w:r>
                </w:p>
              </w:tc>
              <w:tc>
                <w:tcPr>
                  <w:tcW w:w="763"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施工场地、施工便道防护措施及植被恢复</w:t>
                  </w:r>
                </w:p>
              </w:tc>
              <w:tc>
                <w:tcPr>
                  <w:tcW w:w="1037" w:type="dxa"/>
                  <w:vMerge w:val="restart"/>
                  <w:tcBorders>
                    <w:tl2br w:val="nil"/>
                    <w:tr2bl w:val="nil"/>
                  </w:tcBorders>
                  <w:shd w:val="clear" w:color="auto" w:fill="auto"/>
                  <w:vAlign w:val="center"/>
                </w:tcPr>
                <w:p>
                  <w:pPr>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4892"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施工期临时水保措施</w:t>
                  </w:r>
                </w:p>
              </w:tc>
              <w:tc>
                <w:tcPr>
                  <w:tcW w:w="1037" w:type="dxa"/>
                  <w:vMerge w:val="continue"/>
                  <w:tcBorders>
                    <w:tl2br w:val="nil"/>
                    <w:tr2bl w:val="nil"/>
                  </w:tcBorders>
                  <w:shd w:val="clear" w:color="auto" w:fill="auto"/>
                  <w:vAlign w:val="center"/>
                </w:tcPr>
                <w:p>
                  <w:pPr>
                    <w:jc w:val="center"/>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噪声防治</w:t>
                  </w: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pStyle w:val="84"/>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cs="Times New Roman"/>
                      <w:color w:val="auto"/>
                      <w:kern w:val="0"/>
                      <w:szCs w:val="21"/>
                    </w:rPr>
                  </w:pPr>
                  <w:r>
                    <w:rPr>
                      <w:rFonts w:hint="eastAsia" w:ascii="Times New Roman" w:hAnsi="Times New Roman" w:eastAsia="宋体" w:cs="Times New Roman"/>
                      <w:b w:val="0"/>
                      <w:bCs w:val="0"/>
                      <w:color w:val="auto"/>
                      <w:kern w:val="0"/>
                      <w:sz w:val="21"/>
                      <w:szCs w:val="21"/>
                      <w:lang w:val="en-US" w:eastAsia="zh-CN" w:bidi="ar-SA"/>
                    </w:rPr>
                    <w:t>合理安排施工时段，高噪声施工尽量避免夜间、午间施工；运输车辆、施工设备尽量避免鸣笛等。</w:t>
                  </w:r>
                  <w:r>
                    <w:rPr>
                      <w:rFonts w:hint="eastAsia" w:cs="Times New Roman"/>
                      <w:b w:val="0"/>
                      <w:bCs w:val="0"/>
                      <w:color w:val="auto"/>
                      <w:kern w:val="0"/>
                      <w:sz w:val="21"/>
                      <w:szCs w:val="21"/>
                      <w:lang w:val="en-US" w:eastAsia="zh-CN"/>
                    </w:rPr>
                    <w:t>项目施工期已结束，施工期未收到噪声污染投诉。</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5"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营运期</w:t>
                  </w:r>
                </w:p>
              </w:tc>
              <w:tc>
                <w:tcPr>
                  <w:tcW w:w="4892" w:type="dxa"/>
                  <w:tcBorders>
                    <w:tl2br w:val="nil"/>
                    <w:tr2bl w:val="nil"/>
                  </w:tcBorders>
                  <w:shd w:val="clear" w:color="auto" w:fill="auto"/>
                  <w:vAlign w:val="center"/>
                </w:tcPr>
                <w:p>
                  <w:pPr>
                    <w:pStyle w:val="62"/>
                    <w:spacing w:before="24" w:after="24"/>
                    <w:jc w:val="both"/>
                    <w:rPr>
                      <w:rFonts w:ascii="Times New Roman" w:cs="Times New Roman"/>
                      <w:color w:val="auto"/>
                      <w:szCs w:val="21"/>
                    </w:rPr>
                  </w:pPr>
                  <w:r>
                    <w:rPr>
                      <w:rFonts w:hint="eastAsia" w:cs="Times New Roman"/>
                      <w:color w:val="auto"/>
                      <w:kern w:val="0"/>
                      <w:sz w:val="21"/>
                      <w:szCs w:val="21"/>
                      <w:lang w:val="en-US" w:eastAsia="zh-CN"/>
                    </w:rPr>
                    <w:t>主要噪声源为水泵噪声噪声。通过采用低噪声水泵，底座</w:t>
                  </w:r>
                  <w:r>
                    <w:rPr>
                      <w:rFonts w:cs="Times New Roman"/>
                      <w:color w:val="auto"/>
                      <w:kern w:val="0"/>
                      <w:sz w:val="21"/>
                      <w:szCs w:val="21"/>
                    </w:rPr>
                    <w:t>安装减振垫</w:t>
                  </w:r>
                  <w:r>
                    <w:rPr>
                      <w:rFonts w:hint="eastAsia" w:cs="Times New Roman"/>
                      <w:color w:val="auto"/>
                      <w:kern w:val="0"/>
                      <w:sz w:val="21"/>
                      <w:szCs w:val="21"/>
                      <w:lang w:val="en-US" w:eastAsia="zh-CN"/>
                    </w:rPr>
                    <w:t>，厂区距离衰减等措施</w:t>
                  </w:r>
                  <w:r>
                    <w:rPr>
                      <w:rFonts w:cs="Times New Roman"/>
                      <w:color w:val="auto"/>
                      <w:kern w:val="0"/>
                      <w:sz w:val="21"/>
                      <w:szCs w:val="21"/>
                    </w:rPr>
                    <w:t>。</w:t>
                  </w:r>
                </w:p>
              </w:tc>
              <w:tc>
                <w:tcPr>
                  <w:tcW w:w="1037" w:type="dxa"/>
                  <w:tcBorders>
                    <w:tl2br w:val="nil"/>
                    <w:tr2bl w:val="nil"/>
                  </w:tcBorders>
                  <w:shd w:val="clear" w:color="auto" w:fill="auto"/>
                  <w:vAlign w:val="center"/>
                </w:tcPr>
                <w:p>
                  <w:pPr>
                    <w:pStyle w:val="62"/>
                    <w:spacing w:beforeLines="0" w:afterLines="0"/>
                    <w:rPr>
                      <w:rFonts w:hint="default" w:ascii="Times New Roman" w:eastAsia="宋体" w:cs="Times New Roman"/>
                      <w:color w:val="auto"/>
                      <w:szCs w:val="21"/>
                      <w:lang w:val="en-US" w:eastAsia="zh-CN"/>
                    </w:rPr>
                  </w:pPr>
                  <w:r>
                    <w:rPr>
                      <w:rFonts w:hint="eastAsia" w:ascii="Times New Roman" w:cs="Times New Roman"/>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vMerge w:val="restart"/>
                  <w:tcBorders>
                    <w:tl2br w:val="nil"/>
                    <w:tr2bl w:val="nil"/>
                  </w:tcBorders>
                  <w:shd w:val="clear" w:color="auto" w:fill="auto"/>
                  <w:vAlign w:val="center"/>
                </w:tcPr>
                <w:p>
                  <w:pPr>
                    <w:jc w:val="center"/>
                    <w:rPr>
                      <w:rFonts w:cs="Times New Roman"/>
                      <w:color w:val="auto"/>
                      <w:kern w:val="0"/>
                      <w:szCs w:val="21"/>
                    </w:rPr>
                  </w:pPr>
                  <w:r>
                    <w:rPr>
                      <w:rFonts w:cs="Times New Roman"/>
                      <w:color w:val="auto"/>
                      <w:kern w:val="0"/>
                      <w:szCs w:val="21"/>
                    </w:rPr>
                    <w:t>水污染防治</w:t>
                  </w: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adjustRightInd w:val="0"/>
                    <w:snapToGrid w:val="0"/>
                    <w:rPr>
                      <w:rFonts w:cs="Times New Roman"/>
                      <w:color w:val="auto"/>
                      <w:kern w:val="0"/>
                      <w:szCs w:val="21"/>
                    </w:rPr>
                  </w:pPr>
                  <w:r>
                    <w:rPr>
                      <w:rFonts w:hint="eastAsia" w:cs="Times New Roman"/>
                      <w:color w:val="auto"/>
                      <w:kern w:val="0"/>
                      <w:sz w:val="21"/>
                      <w:szCs w:val="21"/>
                      <w:highlight w:val="none"/>
                      <w:lang w:val="en-US" w:eastAsia="zh-CN"/>
                    </w:rPr>
                    <w:t>施工期少量施工废水经临时沉淀池沉淀后用于施工场地洒水降尘，生活污水经化粪池处理后进入园区污水厂处理。</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vMerge w:val="continue"/>
                  <w:tcBorders>
                    <w:tl2br w:val="nil"/>
                    <w:tr2bl w:val="nil"/>
                  </w:tcBorders>
                  <w:shd w:val="clear" w:color="auto" w:fill="auto"/>
                  <w:vAlign w:val="center"/>
                </w:tcPr>
                <w:p>
                  <w:pPr>
                    <w:jc w:val="center"/>
                    <w:rPr>
                      <w:rFonts w:cs="Times New Roman"/>
                      <w:color w:val="auto"/>
                      <w:kern w:val="0"/>
                      <w:szCs w:val="21"/>
                    </w:rPr>
                  </w:pPr>
                </w:p>
              </w:tc>
              <w:tc>
                <w:tcPr>
                  <w:tcW w:w="763" w:type="dxa"/>
                  <w:tcBorders>
                    <w:tl2br w:val="nil"/>
                    <w:tr2bl w:val="nil"/>
                  </w:tcBorders>
                  <w:shd w:val="clear" w:color="auto" w:fill="auto"/>
                  <w:vAlign w:val="center"/>
                </w:tcPr>
                <w:p>
                  <w:pPr>
                    <w:widowControl/>
                    <w:jc w:val="center"/>
                    <w:rPr>
                      <w:rFonts w:hint="eastAsia" w:eastAsia="宋体" w:cs="Times New Roman"/>
                      <w:color w:val="auto"/>
                      <w:kern w:val="0"/>
                      <w:szCs w:val="21"/>
                      <w:lang w:val="en-US" w:eastAsia="zh-CN"/>
                    </w:rPr>
                  </w:pPr>
                  <w:r>
                    <w:rPr>
                      <w:rFonts w:hint="eastAsia" w:cs="Times New Roman"/>
                      <w:color w:val="auto"/>
                      <w:kern w:val="0"/>
                      <w:szCs w:val="21"/>
                      <w:lang w:val="en-US" w:eastAsia="zh-CN"/>
                    </w:rPr>
                    <w:t>营运期</w:t>
                  </w:r>
                </w:p>
              </w:tc>
              <w:tc>
                <w:tcPr>
                  <w:tcW w:w="4892" w:type="dxa"/>
                  <w:tcBorders>
                    <w:tl2br w:val="nil"/>
                    <w:tr2bl w:val="nil"/>
                  </w:tcBorders>
                  <w:shd w:val="clear" w:color="auto" w:fill="auto"/>
                  <w:vAlign w:val="center"/>
                </w:tcPr>
                <w:p>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营运期污废水排放</w:t>
                  </w:r>
                </w:p>
              </w:tc>
              <w:tc>
                <w:tcPr>
                  <w:tcW w:w="1037" w:type="dxa"/>
                  <w:tcBorders>
                    <w:tl2br w:val="nil"/>
                    <w:tr2bl w:val="nil"/>
                  </w:tcBorders>
                  <w:shd w:val="clear" w:color="auto" w:fill="auto"/>
                  <w:vAlign w:val="center"/>
                </w:tcPr>
                <w:p>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8"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环境空气</w:t>
                  </w:r>
                </w:p>
                <w:p>
                  <w:pPr>
                    <w:jc w:val="center"/>
                    <w:rPr>
                      <w:rFonts w:cs="Times New Roman"/>
                      <w:color w:val="auto"/>
                      <w:kern w:val="0"/>
                      <w:szCs w:val="21"/>
                    </w:rPr>
                  </w:pPr>
                  <w:r>
                    <w:rPr>
                      <w:rFonts w:cs="Times New Roman"/>
                      <w:color w:val="auto"/>
                      <w:kern w:val="0"/>
                      <w:szCs w:val="21"/>
                    </w:rPr>
                    <w:t>污染防治</w:t>
                  </w: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jc w:val="left"/>
                    <w:rPr>
                      <w:rFonts w:cs="Times New Roman"/>
                      <w:color w:val="auto"/>
                      <w:kern w:val="0"/>
                      <w:szCs w:val="21"/>
                    </w:rPr>
                  </w:pPr>
                  <w:r>
                    <w:rPr>
                      <w:rFonts w:cs="Times New Roman"/>
                      <w:color w:val="auto"/>
                      <w:kern w:val="0"/>
                      <w:szCs w:val="21"/>
                    </w:rPr>
                    <w:t>施工围档、洒水降尘、防尘网等、运输车辆</w:t>
                  </w:r>
                  <w:r>
                    <w:rPr>
                      <w:rFonts w:hint="eastAsia" w:cs="Times New Roman"/>
                      <w:color w:val="auto"/>
                      <w:kern w:val="0"/>
                      <w:szCs w:val="21"/>
                      <w:lang w:val="en-US" w:eastAsia="zh-CN"/>
                    </w:rPr>
                    <w:t>遮盖，进出场地冲洗等</w:t>
                  </w:r>
                  <w:r>
                    <w:rPr>
                      <w:rFonts w:cs="Times New Roman"/>
                      <w:color w:val="auto"/>
                      <w:kern w:val="0"/>
                      <w:szCs w:val="21"/>
                    </w:rPr>
                    <w:t>。</w:t>
                  </w:r>
                </w:p>
              </w:tc>
              <w:tc>
                <w:tcPr>
                  <w:tcW w:w="1037" w:type="dxa"/>
                  <w:tcBorders>
                    <w:tl2br w:val="nil"/>
                    <w:tr2bl w:val="nil"/>
                  </w:tcBorders>
                  <w:shd w:val="clear" w:color="auto" w:fill="auto"/>
                  <w:vAlign w:val="center"/>
                </w:tcPr>
                <w:p>
                  <w:pPr>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55"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营运期</w:t>
                  </w:r>
                </w:p>
              </w:tc>
              <w:tc>
                <w:tcPr>
                  <w:tcW w:w="4892" w:type="dxa"/>
                  <w:tcBorders>
                    <w:tl2br w:val="nil"/>
                    <w:tr2bl w:val="nil"/>
                  </w:tcBorders>
                  <w:shd w:val="clear" w:color="auto" w:fill="auto"/>
                  <w:vAlign w:val="center"/>
                </w:tcPr>
                <w:p>
                  <w:pPr>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本项目营运期无废气排放</w:t>
                  </w:r>
                </w:p>
              </w:tc>
              <w:tc>
                <w:tcPr>
                  <w:tcW w:w="1037" w:type="dxa"/>
                  <w:tcBorders>
                    <w:tl2br w:val="nil"/>
                    <w:tr2bl w:val="nil"/>
                  </w:tcBorders>
                  <w:shd w:val="clear" w:color="auto" w:fill="auto"/>
                  <w:vAlign w:val="center"/>
                </w:tcPr>
                <w:p>
                  <w:pPr>
                    <w:jc w:val="center"/>
                    <w:rPr>
                      <w:rFonts w:hint="eastAsia" w:eastAsia="宋体" w:cs="Times New Roman"/>
                      <w:color w:val="auto"/>
                      <w:kern w:val="0"/>
                      <w:szCs w:val="21"/>
                      <w:lang w:eastAsia="zh-CN"/>
                    </w:rPr>
                  </w:pPr>
                  <w:r>
                    <w:rPr>
                      <w:rFonts w:hint="eastAsia"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8"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固体废物</w:t>
                  </w:r>
                </w:p>
              </w:tc>
              <w:tc>
                <w:tcPr>
                  <w:tcW w:w="763" w:type="dxa"/>
                  <w:tcBorders>
                    <w:tl2br w:val="nil"/>
                    <w:tr2bl w:val="nil"/>
                  </w:tcBorders>
                  <w:shd w:val="clear" w:color="auto" w:fill="auto"/>
                  <w:vAlign w:val="center"/>
                </w:tcPr>
                <w:p>
                  <w:pPr>
                    <w:jc w:val="center"/>
                    <w:rPr>
                      <w:rFonts w:cs="Times New Roman"/>
                      <w:color w:val="auto"/>
                      <w:kern w:val="0"/>
                      <w:szCs w:val="21"/>
                    </w:rPr>
                  </w:pPr>
                  <w:r>
                    <w:rPr>
                      <w:rFonts w:cs="Times New Roman"/>
                      <w:color w:val="auto"/>
                      <w:kern w:val="0"/>
                      <w:szCs w:val="21"/>
                    </w:rPr>
                    <w:t>施工期</w:t>
                  </w:r>
                </w:p>
              </w:tc>
              <w:tc>
                <w:tcPr>
                  <w:tcW w:w="4892" w:type="dxa"/>
                  <w:tcBorders>
                    <w:tl2br w:val="nil"/>
                    <w:tr2bl w:val="nil"/>
                  </w:tcBorders>
                  <w:shd w:val="clear" w:color="auto" w:fill="auto"/>
                  <w:vAlign w:val="center"/>
                </w:tcPr>
                <w:p>
                  <w:pPr>
                    <w:jc w:val="left"/>
                    <w:rPr>
                      <w:rFonts w:cs="Times New Roman"/>
                      <w:color w:val="auto"/>
                      <w:kern w:val="0"/>
                      <w:szCs w:val="21"/>
                    </w:rPr>
                  </w:pPr>
                  <w:r>
                    <w:rPr>
                      <w:rFonts w:cs="Times New Roman"/>
                      <w:color w:val="auto"/>
                      <w:kern w:val="0"/>
                      <w:szCs w:val="21"/>
                    </w:rPr>
                    <w:t>表土集中堆存</w:t>
                  </w:r>
                  <w:r>
                    <w:rPr>
                      <w:rFonts w:hint="eastAsia" w:cs="Times New Roman"/>
                      <w:color w:val="auto"/>
                      <w:kern w:val="0"/>
                      <w:szCs w:val="21"/>
                      <w:lang w:eastAsia="zh-CN"/>
                    </w:rPr>
                    <w:t>，</w:t>
                  </w:r>
                  <w:r>
                    <w:rPr>
                      <w:rFonts w:hint="eastAsia" w:cs="Times New Roman"/>
                      <w:color w:val="auto"/>
                      <w:kern w:val="0"/>
                      <w:szCs w:val="21"/>
                      <w:lang w:val="en-US" w:eastAsia="zh-CN"/>
                    </w:rPr>
                    <w:t>施工结束用于厂区绿化</w:t>
                  </w:r>
                  <w:r>
                    <w:rPr>
                      <w:rFonts w:cs="Times New Roman"/>
                      <w:color w:val="auto"/>
                      <w:kern w:val="0"/>
                      <w:szCs w:val="21"/>
                    </w:rPr>
                    <w:t>，</w:t>
                  </w:r>
                  <w:r>
                    <w:rPr>
                      <w:rFonts w:hint="eastAsia" w:cs="Times New Roman"/>
                      <w:color w:val="auto"/>
                      <w:kern w:val="0"/>
                      <w:szCs w:val="21"/>
                      <w:lang w:val="en-US" w:eastAsia="zh-CN"/>
                    </w:rPr>
                    <w:t>少量</w:t>
                  </w:r>
                  <w:r>
                    <w:rPr>
                      <w:rFonts w:cs="Times New Roman"/>
                      <w:color w:val="auto"/>
                      <w:kern w:val="0"/>
                      <w:szCs w:val="21"/>
                    </w:rPr>
                    <w:t>废</w:t>
                  </w:r>
                  <w:r>
                    <w:rPr>
                      <w:rFonts w:hint="eastAsia" w:cs="Times New Roman"/>
                      <w:color w:val="auto"/>
                      <w:kern w:val="0"/>
                      <w:szCs w:val="21"/>
                      <w:lang w:val="en-US" w:eastAsia="zh-CN"/>
                    </w:rPr>
                    <w:t>弃</w:t>
                  </w:r>
                  <w:r>
                    <w:rPr>
                      <w:rFonts w:cs="Times New Roman"/>
                      <w:color w:val="auto"/>
                      <w:kern w:val="0"/>
                      <w:szCs w:val="21"/>
                    </w:rPr>
                    <w:t>土石方</w:t>
                  </w:r>
                  <w:r>
                    <w:rPr>
                      <w:rFonts w:hint="eastAsia" w:cs="Times New Roman"/>
                      <w:color w:val="auto"/>
                      <w:kern w:val="0"/>
                      <w:szCs w:val="21"/>
                      <w:lang w:val="en-US" w:eastAsia="zh-CN"/>
                    </w:rPr>
                    <w:t>就地平衡，</w:t>
                  </w:r>
                  <w:r>
                    <w:rPr>
                      <w:rFonts w:cs="Times New Roman"/>
                      <w:color w:val="auto"/>
                      <w:kern w:val="0"/>
                      <w:szCs w:val="21"/>
                    </w:rPr>
                    <w:t>建筑垃圾</w:t>
                  </w:r>
                  <w:r>
                    <w:rPr>
                      <w:rFonts w:hint="eastAsia" w:cs="Times New Roman"/>
                      <w:color w:val="auto"/>
                      <w:kern w:val="0"/>
                      <w:szCs w:val="21"/>
                      <w:lang w:val="en-US" w:eastAsia="zh-CN"/>
                    </w:rPr>
                    <w:t>外售废品回收站或施工方回收；</w:t>
                  </w:r>
                  <w:r>
                    <w:rPr>
                      <w:rFonts w:cs="Times New Roman"/>
                      <w:color w:val="auto"/>
                      <w:kern w:val="0"/>
                      <w:szCs w:val="21"/>
                    </w:rPr>
                    <w:t>生活垃圾</w:t>
                  </w:r>
                  <w:r>
                    <w:rPr>
                      <w:rFonts w:hint="eastAsia" w:cs="Times New Roman"/>
                      <w:color w:val="auto"/>
                      <w:kern w:val="0"/>
                      <w:szCs w:val="21"/>
                      <w:lang w:val="en-US" w:eastAsia="zh-CN"/>
                    </w:rPr>
                    <w:t>集中收集后由环卫部门清运</w:t>
                  </w:r>
                  <w:r>
                    <w:rPr>
                      <w:rFonts w:cs="Times New Roman"/>
                      <w:color w:val="auto"/>
                      <w:kern w:val="0"/>
                      <w:szCs w:val="21"/>
                    </w:rPr>
                    <w:t>。</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8"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763" w:type="dxa"/>
                  <w:tcBorders>
                    <w:tl2br w:val="nil"/>
                    <w:tr2bl w:val="nil"/>
                  </w:tcBorders>
                  <w:shd w:val="clear" w:color="auto" w:fill="auto"/>
                  <w:vAlign w:val="center"/>
                </w:tcPr>
                <w:p>
                  <w:pPr>
                    <w:jc w:val="center"/>
                    <w:rPr>
                      <w:rFonts w:cs="Times New Roman"/>
                      <w:color w:val="auto"/>
                      <w:kern w:val="0"/>
                      <w:szCs w:val="21"/>
                    </w:rPr>
                  </w:pPr>
                  <w:r>
                    <w:rPr>
                      <w:rFonts w:cs="Times New Roman"/>
                      <w:color w:val="auto"/>
                      <w:kern w:val="0"/>
                      <w:szCs w:val="21"/>
                    </w:rPr>
                    <w:t>运营期</w:t>
                  </w:r>
                </w:p>
              </w:tc>
              <w:tc>
                <w:tcPr>
                  <w:tcW w:w="4892" w:type="dxa"/>
                  <w:tcBorders>
                    <w:tl2br w:val="nil"/>
                    <w:tr2bl w:val="nil"/>
                  </w:tcBorders>
                  <w:shd w:val="clear" w:color="auto" w:fill="auto"/>
                  <w:vAlign w:val="center"/>
                </w:tcPr>
                <w:p>
                  <w:pPr>
                    <w:jc w:val="left"/>
                    <w:rPr>
                      <w:rFonts w:hint="default" w:eastAsia="宋体" w:cs="Times New Roman"/>
                      <w:color w:val="auto"/>
                      <w:kern w:val="0"/>
                      <w:szCs w:val="21"/>
                      <w:lang w:val="en-US" w:eastAsia="zh-CN"/>
                    </w:rPr>
                  </w:pPr>
                  <w:r>
                    <w:rPr>
                      <w:rFonts w:hint="eastAsia" w:cs="Times New Roman"/>
                      <w:color w:val="auto"/>
                      <w:kern w:val="0"/>
                      <w:szCs w:val="21"/>
                      <w:lang w:val="en-US" w:eastAsia="zh-CN"/>
                    </w:rPr>
                    <w:t>危废在危废暂存间暂存，由有资质单位处置</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8" w:hRule="atLeast"/>
              </w:trPr>
              <w:tc>
                <w:tcPr>
                  <w:tcW w:w="1285"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分区防渗</w:t>
                  </w:r>
                </w:p>
              </w:tc>
              <w:tc>
                <w:tcPr>
                  <w:tcW w:w="5655" w:type="dxa"/>
                  <w:gridSpan w:val="2"/>
                  <w:tcBorders>
                    <w:tl2br w:val="nil"/>
                    <w:tr2bl w:val="nil"/>
                  </w:tcBorders>
                  <w:shd w:val="clear" w:color="auto" w:fill="auto"/>
                  <w:vAlign w:val="center"/>
                </w:tcPr>
                <w:p>
                  <w:pPr>
                    <w:jc w:val="left"/>
                    <w:rPr>
                      <w:rFonts w:hint="default" w:eastAsia="宋体" w:cs="Times New Roman"/>
                      <w:color w:val="auto"/>
                      <w:kern w:val="0"/>
                      <w:szCs w:val="21"/>
                      <w:lang w:val="en-US" w:eastAsia="zh-CN"/>
                    </w:rPr>
                  </w:pPr>
                  <w:r>
                    <w:rPr>
                      <w:rFonts w:hint="eastAsia" w:cs="Times New Roman"/>
                      <w:color w:val="auto"/>
                      <w:kern w:val="0"/>
                      <w:szCs w:val="21"/>
                      <w:lang w:val="en-US" w:eastAsia="zh-CN"/>
                    </w:rPr>
                    <w:t>重点防渗区：危废暂存间；一般防渗：</w:t>
                  </w:r>
                  <w:r>
                    <w:rPr>
                      <w:rFonts w:hint="eastAsia"/>
                      <w:color w:val="auto"/>
                      <w:kern w:val="0"/>
                      <w:szCs w:val="21"/>
                      <w:lang w:val="en-US" w:eastAsia="zh-CN"/>
                    </w:rPr>
                    <w:t>一体化设备、反冲洗回用池、综合设备房（除危废暂存间）；简单防渗：厂区地面、清水池。</w:t>
                  </w:r>
                </w:p>
              </w:tc>
              <w:tc>
                <w:tcPr>
                  <w:tcW w:w="1037" w:type="dxa"/>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环境风险</w:t>
                  </w:r>
                </w:p>
              </w:tc>
              <w:tc>
                <w:tcPr>
                  <w:tcW w:w="5655" w:type="dxa"/>
                  <w:gridSpan w:val="2"/>
                  <w:tcBorders>
                    <w:tl2br w:val="nil"/>
                    <w:tr2bl w:val="nil"/>
                  </w:tcBorders>
                  <w:shd w:val="clear" w:color="auto" w:fill="auto"/>
                  <w:vAlign w:val="center"/>
                </w:tcPr>
                <w:p>
                  <w:pPr>
                    <w:jc w:val="left"/>
                    <w:rPr>
                      <w:rFonts w:cs="Times New Roman"/>
                      <w:color w:val="auto"/>
                      <w:kern w:val="0"/>
                      <w:szCs w:val="21"/>
                    </w:rPr>
                  </w:pPr>
                  <w:r>
                    <w:rPr>
                      <w:rFonts w:cs="Times New Roman"/>
                      <w:color w:val="auto"/>
                      <w:kern w:val="0"/>
                      <w:szCs w:val="21"/>
                    </w:rPr>
                    <w:t>安排专人定期对管线巡查，进行事故应急演练，成立事故应急小组，配备应急物资</w:t>
                  </w:r>
                  <w:r>
                    <w:rPr>
                      <w:rFonts w:hint="eastAsia" w:cs="Times New Roman"/>
                      <w:color w:val="auto"/>
                      <w:kern w:val="0"/>
                      <w:szCs w:val="21"/>
                      <w:lang w:eastAsia="zh-CN"/>
                    </w:rPr>
                    <w:t>，</w:t>
                  </w:r>
                  <w:r>
                    <w:rPr>
                      <w:rFonts w:hint="eastAsia" w:cs="Times New Roman"/>
                      <w:color w:val="auto"/>
                      <w:kern w:val="0"/>
                      <w:szCs w:val="21"/>
                      <w:lang w:val="en-US" w:eastAsia="zh-CN"/>
                    </w:rPr>
                    <w:t>制定应急预案</w:t>
                  </w:r>
                  <w:r>
                    <w:rPr>
                      <w:rFonts w:cs="Times New Roman"/>
                      <w:color w:val="auto"/>
                      <w:kern w:val="0"/>
                      <w:szCs w:val="21"/>
                    </w:rPr>
                    <w:t>等。</w:t>
                  </w:r>
                </w:p>
              </w:tc>
              <w:tc>
                <w:tcPr>
                  <w:tcW w:w="1037" w:type="dxa"/>
                  <w:tcBorders>
                    <w:tl2br w:val="nil"/>
                    <w:tr2bl w:val="nil"/>
                  </w:tcBorders>
                  <w:shd w:val="clear" w:color="auto" w:fill="auto"/>
                  <w:vAlign w:val="center"/>
                </w:tcPr>
                <w:p>
                  <w:pPr>
                    <w:widowControl/>
                    <w:jc w:val="center"/>
                    <w:rPr>
                      <w:rFonts w:cs="Times New Roman"/>
                      <w:color w:val="auto"/>
                      <w:kern w:val="0"/>
                      <w:szCs w:val="21"/>
                    </w:rPr>
                  </w:pPr>
                  <w:r>
                    <w:rPr>
                      <w:rFonts w:hint="eastAsia" w:cs="Times New Roman"/>
                      <w:color w:val="auto"/>
                      <w:kern w:val="0"/>
                      <w:szCs w:val="21"/>
                      <w:lang w:val="en-US" w:eastAsia="zh-CN"/>
                    </w:rPr>
                    <w:t>6</w:t>
                  </w:r>
                  <w:r>
                    <w:rPr>
                      <w:rFonts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113" w:hRule="atLeast"/>
              </w:trPr>
              <w:tc>
                <w:tcPr>
                  <w:tcW w:w="1285" w:type="dxa"/>
                  <w:vMerge w:val="restart"/>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环境监测</w:t>
                  </w:r>
                </w:p>
              </w:tc>
              <w:tc>
                <w:tcPr>
                  <w:tcW w:w="5655" w:type="dxa"/>
                  <w:gridSpan w:val="2"/>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cs="Times New Roman"/>
                      <w:color w:val="auto"/>
                      <w:kern w:val="0"/>
                      <w:szCs w:val="21"/>
                    </w:rPr>
                    <w:t>施工期环境</w:t>
                  </w:r>
                  <w:r>
                    <w:rPr>
                      <w:rFonts w:hint="eastAsia" w:cs="Times New Roman"/>
                      <w:color w:val="auto"/>
                      <w:kern w:val="0"/>
                      <w:szCs w:val="21"/>
                      <w:lang w:val="en-US" w:eastAsia="zh-CN"/>
                    </w:rPr>
                    <w:t>管理</w:t>
                  </w:r>
                </w:p>
              </w:tc>
              <w:tc>
                <w:tcPr>
                  <w:tcW w:w="1037" w:type="dxa"/>
                  <w:vMerge w:val="restart"/>
                  <w:tcBorders>
                    <w:tl2br w:val="nil"/>
                    <w:tr2bl w:val="nil"/>
                  </w:tcBorders>
                  <w:shd w:val="clear" w:color="auto" w:fill="auto"/>
                  <w:vAlign w:val="center"/>
                </w:tcPr>
                <w:p>
                  <w:pPr>
                    <w:jc w:val="center"/>
                    <w:rPr>
                      <w:rFonts w:cs="Times New Roman"/>
                      <w:color w:val="auto"/>
                      <w:kern w:val="0"/>
                      <w:szCs w:val="21"/>
                    </w:rPr>
                  </w:pPr>
                  <w:r>
                    <w:rPr>
                      <w:rFonts w:hint="eastAsia" w:cs="Times New Roman"/>
                      <w:color w:val="auto"/>
                      <w:kern w:val="0"/>
                      <w:szCs w:val="21"/>
                      <w:lang w:val="en-US" w:eastAsia="zh-CN"/>
                    </w:rPr>
                    <w:t>5</w:t>
                  </w:r>
                  <w:r>
                    <w:rPr>
                      <w:rFonts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1285" w:type="dxa"/>
                  <w:vMerge w:val="continue"/>
                  <w:tcBorders>
                    <w:tl2br w:val="nil"/>
                    <w:tr2bl w:val="nil"/>
                  </w:tcBorders>
                  <w:shd w:val="clear" w:color="auto" w:fill="auto"/>
                  <w:vAlign w:val="center"/>
                </w:tcPr>
                <w:p>
                  <w:pPr>
                    <w:widowControl/>
                    <w:jc w:val="center"/>
                    <w:rPr>
                      <w:rFonts w:cs="Times New Roman"/>
                      <w:color w:val="auto"/>
                      <w:kern w:val="0"/>
                      <w:szCs w:val="21"/>
                    </w:rPr>
                  </w:pPr>
                </w:p>
              </w:tc>
              <w:tc>
                <w:tcPr>
                  <w:tcW w:w="5655" w:type="dxa"/>
                  <w:gridSpan w:val="2"/>
                  <w:tcBorders>
                    <w:tl2br w:val="nil"/>
                    <w:tr2bl w:val="nil"/>
                  </w:tcBorders>
                  <w:shd w:val="clear" w:color="auto" w:fill="auto"/>
                  <w:vAlign w:val="center"/>
                </w:tcPr>
                <w:p>
                  <w:pPr>
                    <w:widowControl/>
                    <w:jc w:val="center"/>
                    <w:rPr>
                      <w:rFonts w:hint="default" w:eastAsia="宋体" w:cs="Times New Roman"/>
                      <w:color w:val="auto"/>
                      <w:kern w:val="0"/>
                      <w:szCs w:val="21"/>
                      <w:lang w:val="en-US" w:eastAsia="zh-CN"/>
                    </w:rPr>
                  </w:pPr>
                  <w:r>
                    <w:rPr>
                      <w:rFonts w:cs="Times New Roman"/>
                      <w:color w:val="auto"/>
                      <w:kern w:val="0"/>
                      <w:szCs w:val="21"/>
                    </w:rPr>
                    <w:t>营运期</w:t>
                  </w:r>
                  <w:r>
                    <w:rPr>
                      <w:rFonts w:hint="eastAsia" w:cs="Times New Roman"/>
                      <w:color w:val="auto"/>
                      <w:kern w:val="0"/>
                      <w:szCs w:val="21"/>
                      <w:lang w:val="en-US" w:eastAsia="zh-CN"/>
                    </w:rPr>
                    <w:t>例行监测</w:t>
                  </w:r>
                </w:p>
              </w:tc>
              <w:tc>
                <w:tcPr>
                  <w:tcW w:w="1037" w:type="dxa"/>
                  <w:vMerge w:val="continue"/>
                  <w:tcBorders>
                    <w:tl2br w:val="nil"/>
                    <w:tr2bl w:val="nil"/>
                  </w:tcBorders>
                  <w:shd w:val="clear" w:color="auto" w:fill="auto"/>
                  <w:vAlign w:val="center"/>
                </w:tcPr>
                <w:p>
                  <w:pPr>
                    <w:widowControl/>
                    <w:jc w:val="center"/>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3" w:hRule="atLeast"/>
              </w:trPr>
              <w:tc>
                <w:tcPr>
                  <w:tcW w:w="6940" w:type="dxa"/>
                  <w:gridSpan w:val="3"/>
                  <w:tcBorders>
                    <w:tl2br w:val="nil"/>
                    <w:tr2bl w:val="nil"/>
                  </w:tcBorders>
                  <w:shd w:val="clear" w:color="auto" w:fill="auto"/>
                  <w:vAlign w:val="center"/>
                </w:tcPr>
                <w:p>
                  <w:pPr>
                    <w:widowControl/>
                    <w:jc w:val="center"/>
                    <w:rPr>
                      <w:rFonts w:cs="Times New Roman"/>
                      <w:color w:val="auto"/>
                      <w:kern w:val="0"/>
                      <w:szCs w:val="21"/>
                    </w:rPr>
                  </w:pPr>
                  <w:r>
                    <w:rPr>
                      <w:rFonts w:cs="Times New Roman"/>
                      <w:color w:val="auto"/>
                      <w:kern w:val="0"/>
                      <w:szCs w:val="21"/>
                    </w:rPr>
                    <w:t>合计</w:t>
                  </w:r>
                </w:p>
              </w:tc>
              <w:tc>
                <w:tcPr>
                  <w:tcW w:w="1037" w:type="dxa"/>
                  <w:tcBorders>
                    <w:tl2br w:val="nil"/>
                    <w:tr2bl w:val="nil"/>
                  </w:tcBorders>
                  <w:shd w:val="clear" w:color="auto" w:fill="auto"/>
                  <w:vAlign w:val="center"/>
                </w:tcPr>
                <w:p>
                  <w:pPr>
                    <w:autoSpaceDN w:val="0"/>
                    <w:jc w:val="center"/>
                    <w:textAlignment w:val="center"/>
                    <w:rPr>
                      <w:rFonts w:hint="default" w:eastAsia="宋体" w:cs="Times New Roman"/>
                      <w:color w:val="auto"/>
                      <w:kern w:val="0"/>
                      <w:szCs w:val="21"/>
                      <w:lang w:val="en-US" w:eastAsia="zh-CN"/>
                    </w:rPr>
                  </w:pPr>
                  <w:r>
                    <w:rPr>
                      <w:rFonts w:hint="eastAsia" w:cs="Times New Roman"/>
                      <w:color w:val="auto"/>
                      <w:kern w:val="0"/>
                      <w:szCs w:val="21"/>
                      <w:lang w:val="en-US" w:eastAsia="zh-CN"/>
                    </w:rPr>
                    <w:t>34.5</w:t>
                  </w:r>
                </w:p>
              </w:tc>
            </w:tr>
          </w:tbl>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八</w:t>
            </w:r>
            <w:r>
              <w:rPr>
                <w:rFonts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环境管理</w:t>
            </w:r>
          </w:p>
          <w:p>
            <w:pPr>
              <w:pStyle w:val="14"/>
              <w:spacing w:line="360" w:lineRule="auto"/>
              <w:ind w:firstLine="480" w:firstLineChars="200"/>
              <w:rPr>
                <w:rFonts w:ascii="Times New Roman" w:hAnsi="Times New Roman"/>
                <w:color w:val="auto"/>
                <w:sz w:val="24"/>
              </w:rPr>
            </w:pPr>
            <w:r>
              <w:rPr>
                <w:rFonts w:ascii="Times New Roman" w:hAnsi="Times New Roman"/>
                <w:color w:val="auto"/>
                <w:sz w:val="24"/>
              </w:rPr>
              <w:t>环境管理与环保治理措施一样重要，是保证建设项目排污达到相应标准、控制建设地周围区域环境质量不下降的一个重要技术手段。根据《中华人民共和国环境保护法》和《建设项目环境保护管理条例》的规定，企业要设置环境保护管理机构，制定切实可行的环保制度。</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1、环境保护责任主体</w:t>
            </w:r>
          </w:p>
          <w:p>
            <w:pPr>
              <w:spacing w:line="360" w:lineRule="auto"/>
              <w:ind w:firstLine="480" w:firstLineChars="200"/>
              <w:rPr>
                <w:color w:val="auto"/>
                <w:sz w:val="24"/>
              </w:rPr>
            </w:pPr>
            <w:r>
              <w:rPr>
                <w:color w:val="auto"/>
                <w:sz w:val="24"/>
              </w:rPr>
              <w:t>项目建成后，应由</w:t>
            </w:r>
            <w:r>
              <w:rPr>
                <w:rFonts w:hint="eastAsia"/>
                <w:color w:val="auto"/>
                <w:sz w:val="24"/>
                <w:lang w:eastAsia="zh-CN"/>
              </w:rPr>
              <w:t>大竹县盛洁城乡供排水有限公司</w:t>
            </w:r>
            <w:r>
              <w:rPr>
                <w:color w:val="auto"/>
                <w:sz w:val="24"/>
              </w:rPr>
              <w:t>管理，对外的环保协调工作，履行环境管理和环境监控职责。</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2、环境管理职责</w:t>
            </w:r>
          </w:p>
          <w:p>
            <w:pPr>
              <w:spacing w:line="360" w:lineRule="auto"/>
              <w:ind w:firstLine="480" w:firstLineChars="200"/>
              <w:rPr>
                <w:color w:val="auto"/>
                <w:sz w:val="24"/>
              </w:rPr>
            </w:pPr>
            <w:r>
              <w:rPr>
                <w:color w:val="auto"/>
                <w:sz w:val="24"/>
              </w:rPr>
              <w:t>（1）贯彻执行环境保护法规和标准；</w:t>
            </w:r>
          </w:p>
          <w:p>
            <w:pPr>
              <w:spacing w:line="360" w:lineRule="auto"/>
              <w:ind w:firstLine="480" w:firstLineChars="200"/>
              <w:rPr>
                <w:color w:val="auto"/>
                <w:sz w:val="24"/>
              </w:rPr>
            </w:pPr>
            <w:r>
              <w:rPr>
                <w:color w:val="auto"/>
                <w:sz w:val="24"/>
              </w:rPr>
              <w:t>（2）建立各种环境管理制度，并经常检查监督；</w:t>
            </w:r>
          </w:p>
          <w:p>
            <w:pPr>
              <w:spacing w:line="360" w:lineRule="auto"/>
              <w:ind w:firstLine="480" w:firstLineChars="200"/>
              <w:rPr>
                <w:color w:val="auto"/>
                <w:sz w:val="24"/>
              </w:rPr>
            </w:pPr>
            <w:r>
              <w:rPr>
                <w:color w:val="auto"/>
                <w:sz w:val="24"/>
              </w:rPr>
              <w:t>（3）编制项目环境保护规划并组织实施；</w:t>
            </w:r>
          </w:p>
          <w:p>
            <w:pPr>
              <w:spacing w:line="360" w:lineRule="auto"/>
              <w:ind w:firstLine="480" w:firstLineChars="200"/>
              <w:rPr>
                <w:color w:val="auto"/>
                <w:sz w:val="24"/>
              </w:rPr>
            </w:pPr>
            <w:r>
              <w:rPr>
                <w:color w:val="auto"/>
                <w:sz w:val="24"/>
              </w:rPr>
              <w:t>（4）领导并组织实施项目的环境监测工作，建立监控档案；</w:t>
            </w:r>
          </w:p>
          <w:p>
            <w:pPr>
              <w:spacing w:line="360" w:lineRule="auto"/>
              <w:ind w:firstLine="480" w:firstLineChars="200"/>
              <w:rPr>
                <w:color w:val="auto"/>
                <w:sz w:val="24"/>
              </w:rPr>
            </w:pPr>
            <w:r>
              <w:rPr>
                <w:color w:val="auto"/>
                <w:sz w:val="24"/>
              </w:rPr>
              <w:t>（5）抓好环境教育和技术培训工作，提高员工素质；</w:t>
            </w:r>
          </w:p>
          <w:p>
            <w:pPr>
              <w:spacing w:line="360" w:lineRule="auto"/>
              <w:ind w:firstLine="480" w:firstLineChars="200"/>
              <w:rPr>
                <w:color w:val="auto"/>
                <w:sz w:val="24"/>
              </w:rPr>
            </w:pPr>
            <w:r>
              <w:rPr>
                <w:color w:val="auto"/>
                <w:sz w:val="24"/>
              </w:rPr>
              <w:t>（6）建立项目有关污染物排放和环保设施运转的规章制度；</w:t>
            </w:r>
          </w:p>
          <w:p>
            <w:pPr>
              <w:spacing w:line="360" w:lineRule="auto"/>
              <w:ind w:firstLine="480" w:firstLineChars="200"/>
              <w:rPr>
                <w:color w:val="auto"/>
                <w:sz w:val="24"/>
              </w:rPr>
            </w:pPr>
            <w:r>
              <w:rPr>
                <w:color w:val="auto"/>
                <w:sz w:val="24"/>
              </w:rPr>
              <w:t>（7）负责日常环境管理工作，并配合环保管理部门做好与其它社会各界有关环保问题的协调工作；</w:t>
            </w:r>
          </w:p>
          <w:p>
            <w:pPr>
              <w:spacing w:line="360" w:lineRule="auto"/>
              <w:ind w:firstLine="480" w:firstLineChars="200"/>
              <w:rPr>
                <w:color w:val="auto"/>
                <w:sz w:val="24"/>
              </w:rPr>
            </w:pPr>
            <w:r>
              <w:rPr>
                <w:color w:val="auto"/>
                <w:sz w:val="24"/>
              </w:rPr>
              <w:t>（8）制定突发性事故的应急处理方案并参与突发性事故的应急处理工作；</w:t>
            </w:r>
          </w:p>
          <w:p>
            <w:pPr>
              <w:spacing w:line="360" w:lineRule="auto"/>
              <w:ind w:firstLine="480" w:firstLineChars="200"/>
              <w:rPr>
                <w:color w:val="auto"/>
                <w:sz w:val="24"/>
              </w:rPr>
            </w:pPr>
            <w:r>
              <w:rPr>
                <w:color w:val="auto"/>
                <w:sz w:val="24"/>
              </w:rPr>
              <w:t>（9）定期检查监督环保法规执行情况，及时和有关部门联系落实各方面的环保措施，使之正常运行。</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3、环境监控职责</w:t>
            </w:r>
          </w:p>
          <w:p>
            <w:pPr>
              <w:spacing w:line="360" w:lineRule="auto"/>
              <w:ind w:firstLine="480" w:firstLineChars="200"/>
              <w:rPr>
                <w:color w:val="auto"/>
                <w:sz w:val="24"/>
              </w:rPr>
            </w:pPr>
            <w:r>
              <w:rPr>
                <w:color w:val="auto"/>
                <w:sz w:val="24"/>
              </w:rPr>
              <w:t>（1）制定环境监测年度计划和实施方案，并建立环保规章制度加以落实；</w:t>
            </w:r>
          </w:p>
          <w:p>
            <w:pPr>
              <w:spacing w:line="360" w:lineRule="auto"/>
              <w:ind w:firstLine="480" w:firstLineChars="200"/>
              <w:rPr>
                <w:color w:val="auto"/>
                <w:sz w:val="24"/>
              </w:rPr>
            </w:pPr>
            <w:r>
              <w:rPr>
                <w:color w:val="auto"/>
                <w:sz w:val="24"/>
              </w:rPr>
              <w:t>（2）按时完成项目的环境监控计划规定的各项监控任务，并按有关规定编制报告表，负责做好呈报工作；</w:t>
            </w:r>
          </w:p>
          <w:p>
            <w:pPr>
              <w:spacing w:line="360" w:lineRule="auto"/>
              <w:ind w:firstLine="480" w:firstLineChars="200"/>
              <w:rPr>
                <w:color w:val="auto"/>
                <w:sz w:val="24"/>
              </w:rPr>
            </w:pPr>
            <w:r>
              <w:rPr>
                <w:color w:val="auto"/>
                <w:sz w:val="24"/>
              </w:rPr>
              <w:t>（3）在项目出现突发性污染事故时，积极参与事故的调查和处理工作；</w:t>
            </w:r>
          </w:p>
          <w:p>
            <w:pPr>
              <w:spacing w:line="360" w:lineRule="auto"/>
              <w:ind w:firstLine="480" w:firstLineChars="200"/>
              <w:rPr>
                <w:color w:val="auto"/>
                <w:sz w:val="24"/>
              </w:rPr>
            </w:pPr>
            <w:r>
              <w:rPr>
                <w:color w:val="auto"/>
                <w:sz w:val="24"/>
              </w:rPr>
              <w:t>（4）组织并监督环境监测计划的实施；</w:t>
            </w:r>
          </w:p>
          <w:p>
            <w:pPr>
              <w:spacing w:line="360" w:lineRule="auto"/>
              <w:ind w:firstLine="480" w:firstLineChars="200"/>
              <w:rPr>
                <w:color w:val="auto"/>
                <w:sz w:val="24"/>
              </w:rPr>
            </w:pPr>
            <w:r>
              <w:rPr>
                <w:color w:val="auto"/>
                <w:sz w:val="24"/>
              </w:rPr>
              <w:t>（5）在环境监测基础上，建立项目的污染源档案，了解项目污染物排放量、排放源强、排放规律及相关的污染治理、综合利用情况。</w:t>
            </w:r>
          </w:p>
          <w:p>
            <w:pPr>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4、环境监测计划</w:t>
            </w:r>
          </w:p>
          <w:p>
            <w:pPr>
              <w:spacing w:line="360" w:lineRule="auto"/>
              <w:ind w:firstLine="480" w:firstLineChars="200"/>
              <w:rPr>
                <w:rFonts w:hint="default" w:ascii="Times New Roman" w:hAnsi="Times New Roman" w:eastAsia="宋体" w:cs="Times New Roman"/>
                <w:b/>
                <w:bCs/>
                <w:color w:val="auto"/>
                <w:kern w:val="0"/>
                <w:sz w:val="24"/>
                <w:lang w:val="en-US" w:eastAsia="zh-CN"/>
              </w:rPr>
            </w:pPr>
            <w:r>
              <w:rPr>
                <w:color w:val="auto"/>
                <w:sz w:val="24"/>
              </w:rPr>
              <w:t>为环境管理提供依据。项目运营期监测计</w:t>
            </w:r>
            <w:r>
              <w:rPr>
                <w:rFonts w:hint="default" w:ascii="Times New Roman" w:hAnsi="Times New Roman" w:eastAsia="宋体" w:cs="Times New Roman"/>
                <w:b w:val="0"/>
                <w:bCs w:val="0"/>
                <w:color w:val="auto"/>
                <w:kern w:val="0"/>
                <w:sz w:val="24"/>
                <w:lang w:val="en-US" w:eastAsia="zh-CN"/>
              </w:rPr>
              <w:t>划见下表。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w:t>
            </w:r>
            <w:r>
              <w:rPr>
                <w:rFonts w:hint="eastAsia" w:ascii="Times New Roman" w:hAnsi="Times New Roman" w:eastAsia="宋体" w:cs="Times New Roman"/>
                <w:b/>
                <w:bCs w:val="0"/>
                <w:color w:val="auto"/>
                <w:sz w:val="21"/>
                <w:szCs w:val="21"/>
                <w:lang w:val="en-US" w:eastAsia="zh-CN"/>
              </w:rPr>
              <w:t>9</w:t>
            </w:r>
            <w:r>
              <w:rPr>
                <w:rFonts w:hint="default" w:ascii="Times New Roman" w:hAnsi="Times New Roman" w:eastAsia="宋体" w:cs="Times New Roman"/>
                <w:b/>
                <w:bCs w:val="0"/>
                <w:color w:val="auto"/>
                <w:sz w:val="21"/>
                <w:szCs w:val="21"/>
              </w:rPr>
              <w:t xml:space="preserve">  运营期监测计划</w:t>
            </w:r>
          </w:p>
          <w:tbl>
            <w:tblPr>
              <w:tblStyle w:val="28"/>
              <w:tblW w:w="79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579"/>
              <w:gridCol w:w="1327"/>
              <w:gridCol w:w="1430"/>
              <w:gridCol w:w="1210"/>
              <w:gridCol w:w="1960"/>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Ex>
              <w:trPr>
                <w:trHeight w:val="20" w:hRule="atLeast"/>
              </w:trPr>
              <w:tc>
                <w:tcPr>
                  <w:tcW w:w="1906" w:type="dxa"/>
                  <w:gridSpan w:val="2"/>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监测项目</w:t>
                  </w:r>
                </w:p>
              </w:tc>
              <w:tc>
                <w:tcPr>
                  <w:tcW w:w="1430"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监测点位</w:t>
                  </w:r>
                </w:p>
              </w:tc>
              <w:tc>
                <w:tcPr>
                  <w:tcW w:w="1210"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监测频次</w:t>
                  </w:r>
                </w:p>
              </w:tc>
              <w:tc>
                <w:tcPr>
                  <w:tcW w:w="1960"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实施机构</w:t>
                  </w:r>
                </w:p>
              </w:tc>
              <w:tc>
                <w:tcPr>
                  <w:tcW w:w="1471" w:type="dxa"/>
                  <w:tcBorders>
                    <w:tl2br w:val="nil"/>
                    <w:tr2bl w:val="nil"/>
                  </w:tcBorders>
                  <w:shd w:val="clear" w:color="auto" w:fill="auto"/>
                  <w:vAlign w:val="center"/>
                </w:tcPr>
                <w:p>
                  <w:pPr>
                    <w:spacing w:line="276" w:lineRule="auto"/>
                    <w:jc w:val="center"/>
                    <w:rPr>
                      <w:b/>
                      <w:bCs/>
                      <w:color w:val="auto"/>
                      <w:sz w:val="22"/>
                      <w:szCs w:val="21"/>
                    </w:rPr>
                  </w:pPr>
                  <w:r>
                    <w:rPr>
                      <w:b/>
                      <w:bCs/>
                      <w:color w:val="auto"/>
                      <w:sz w:val="22"/>
                      <w:szCs w:val="21"/>
                    </w:rPr>
                    <w:t>监督机构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79"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噪声</w:t>
                  </w:r>
                </w:p>
              </w:tc>
              <w:tc>
                <w:tcPr>
                  <w:tcW w:w="1327"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LAeq</w:t>
                  </w:r>
                </w:p>
              </w:tc>
              <w:tc>
                <w:tcPr>
                  <w:tcW w:w="1430" w:type="dxa"/>
                  <w:tcBorders>
                    <w:tl2br w:val="nil"/>
                    <w:tr2bl w:val="nil"/>
                  </w:tcBorders>
                  <w:shd w:val="clear" w:color="auto" w:fill="auto"/>
                  <w:vAlign w:val="center"/>
                </w:tcPr>
                <w:p>
                  <w:pPr>
                    <w:spacing w:line="276" w:lineRule="auto"/>
                    <w:jc w:val="center"/>
                    <w:rPr>
                      <w:rFonts w:hint="default" w:eastAsia="宋体"/>
                      <w:color w:val="auto"/>
                      <w:sz w:val="22"/>
                      <w:szCs w:val="21"/>
                      <w:lang w:val="en-US" w:eastAsia="zh-CN"/>
                    </w:rPr>
                  </w:pPr>
                  <w:r>
                    <w:rPr>
                      <w:rFonts w:hint="eastAsia"/>
                      <w:color w:val="auto"/>
                      <w:sz w:val="22"/>
                      <w:szCs w:val="21"/>
                      <w:lang w:val="en-US" w:eastAsia="zh-CN"/>
                    </w:rPr>
                    <w:t>厂界四周</w:t>
                  </w:r>
                </w:p>
              </w:tc>
              <w:tc>
                <w:tcPr>
                  <w:tcW w:w="1210"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1次/季度</w:t>
                  </w:r>
                </w:p>
              </w:tc>
              <w:tc>
                <w:tcPr>
                  <w:tcW w:w="1960"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委托有资质的环境检测单位进行监测</w:t>
                  </w:r>
                </w:p>
              </w:tc>
              <w:tc>
                <w:tcPr>
                  <w:tcW w:w="1471" w:type="dxa"/>
                  <w:tcBorders>
                    <w:tl2br w:val="nil"/>
                    <w:tr2bl w:val="nil"/>
                  </w:tcBorders>
                  <w:shd w:val="clear" w:color="auto" w:fill="auto"/>
                  <w:vAlign w:val="center"/>
                </w:tcPr>
                <w:p>
                  <w:pPr>
                    <w:spacing w:line="276" w:lineRule="auto"/>
                    <w:jc w:val="center"/>
                    <w:rPr>
                      <w:color w:val="auto"/>
                      <w:sz w:val="22"/>
                      <w:szCs w:val="21"/>
                    </w:rPr>
                  </w:pPr>
                  <w:r>
                    <w:rPr>
                      <w:color w:val="auto"/>
                      <w:sz w:val="22"/>
                      <w:szCs w:val="21"/>
                    </w:rPr>
                    <w:t>地方生态环境局</w:t>
                  </w:r>
                </w:p>
              </w:tc>
            </w:tr>
          </w:tbl>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r>
              <w:rPr>
                <w:rFonts w:hint="eastAsia" w:ascii="Times New Roman"/>
                <w:b/>
                <w:bCs/>
                <w:color w:val="auto"/>
                <w:lang w:val="en-US" w:eastAsia="zh-CN"/>
              </w:rPr>
              <w:t>注：本项目为抢险救灾工程，目前乌木滩水库水质达标，本项目已经停运，上述监测计划在项目正常运行期间监测。</w:t>
            </w: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eastAsia" w:ascii="Times New Roman"/>
                <w:b/>
                <w:bCs/>
                <w:color w:val="auto"/>
                <w:lang w:val="en-US" w:eastAsia="zh-CN"/>
              </w:rPr>
            </w:pP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567"/>
              <w:textAlignment w:val="baseline"/>
              <w:rPr>
                <w:rFonts w:hint="default" w:ascii="Times New Roman" w:eastAsia="宋体"/>
                <w:color w:val="auto"/>
                <w:lang w:val="en-US" w:eastAsia="zh-CN"/>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ascii="Times New Roman" w:hAnsi="Times New Roman" w:eastAsia="黑体"/>
          <w:snapToGrid w:val="0"/>
          <w:color w:val="auto"/>
          <w:sz w:val="30"/>
          <w:szCs w:val="30"/>
        </w:rPr>
      </w:pPr>
      <w:bookmarkStart w:id="30" w:name="_Toc68596108"/>
      <w:r>
        <w:rPr>
          <w:rFonts w:ascii="Times New Roman" w:hAnsi="Times New Roman" w:eastAsia="黑体"/>
          <w:snapToGrid w:val="0"/>
          <w:color w:val="auto"/>
          <w:sz w:val="30"/>
          <w:szCs w:val="30"/>
        </w:rPr>
        <w:t>五、</w:t>
      </w:r>
      <w:bookmarkStart w:id="31" w:name="_Hlk54167917"/>
      <w:r>
        <w:rPr>
          <w:rFonts w:ascii="Times New Roman" w:hAnsi="Times New Roman" w:eastAsia="黑体"/>
          <w:snapToGrid w:val="0"/>
          <w:color w:val="auto"/>
          <w:sz w:val="30"/>
          <w:szCs w:val="30"/>
        </w:rPr>
        <w:t>环境保护措施监督检查清单</w:t>
      </w:r>
      <w:bookmarkEnd w:id="31"/>
    </w:p>
    <w:tbl>
      <w:tblPr>
        <w:tblStyle w:val="28"/>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671"/>
        <w:gridCol w:w="944"/>
        <w:gridCol w:w="2950"/>
        <w:gridCol w:w="19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tcBorders>
              <w:top w:val="single" w:color="auto" w:sz="8" w:space="0"/>
              <w:bottom w:val="single" w:color="auto" w:sz="4" w:space="0"/>
              <w:right w:val="single" w:color="auto" w:sz="6" w:space="0"/>
              <w:tl2br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rPr>
                <w:color w:val="auto"/>
                <w:szCs w:val="21"/>
              </w:rPr>
            </w:pPr>
            <w:r>
              <w:rPr>
                <w:color w:val="auto"/>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szCs w:val="21"/>
              </w:rPr>
            </w:pPr>
            <w:r>
              <w:rPr>
                <w:color w:val="auto"/>
                <w:szCs w:val="21"/>
              </w:rPr>
              <w:t>要素</w:t>
            </w:r>
          </w:p>
        </w:tc>
        <w:tc>
          <w:tcPr>
            <w:tcW w:w="1671" w:type="dxa"/>
            <w:tcBorders>
              <w:top w:val="single" w:color="auto" w:sz="8"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排放口(编号、名称)/污染源</w:t>
            </w:r>
          </w:p>
        </w:tc>
        <w:tc>
          <w:tcPr>
            <w:tcW w:w="944" w:type="dxa"/>
            <w:tcBorders>
              <w:top w:val="single" w:color="auto" w:sz="8"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污染物项目</w:t>
            </w:r>
          </w:p>
        </w:tc>
        <w:tc>
          <w:tcPr>
            <w:tcW w:w="2950" w:type="dxa"/>
            <w:tcBorders>
              <w:top w:val="single" w:color="auto" w:sz="8"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环境保护措施</w:t>
            </w:r>
          </w:p>
        </w:tc>
        <w:tc>
          <w:tcPr>
            <w:tcW w:w="1949" w:type="dxa"/>
            <w:tcBorders>
              <w:top w:val="single" w:color="auto" w:sz="8"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546"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大气环境</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0"/>
                <w:szCs w:val="21"/>
                <w:lang w:val="en-US" w:eastAsia="zh-CN"/>
              </w:rPr>
            </w:pPr>
            <w:r>
              <w:rPr>
                <w:rFonts w:hint="eastAsia"/>
                <w:color w:val="auto"/>
                <w:kern w:val="0"/>
                <w:szCs w:val="21"/>
                <w:lang w:val="en-US" w:eastAsia="zh-CN"/>
              </w:rPr>
              <w:t>营运期无废水排放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546" w:type="dxa"/>
            <w:tcBorders>
              <w:top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地表水环境</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eastAsia="宋体"/>
                <w:bCs/>
                <w:color w:val="auto"/>
                <w:szCs w:val="21"/>
                <w:lang w:val="en-US" w:eastAsia="zh-CN"/>
              </w:rPr>
            </w:pPr>
            <w:r>
              <w:rPr>
                <w:rFonts w:hint="eastAsia"/>
                <w:bCs/>
                <w:color w:val="auto"/>
                <w:szCs w:val="21"/>
                <w:lang w:val="en-US" w:eastAsia="zh-CN"/>
              </w:rPr>
              <w:t>营运期无废水排放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声环境</w:t>
            </w:r>
          </w:p>
        </w:tc>
        <w:tc>
          <w:tcPr>
            <w:tcW w:w="1671"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设备噪声</w:t>
            </w:r>
          </w:p>
        </w:tc>
        <w:tc>
          <w:tcPr>
            <w:tcW w:w="944"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Leq（A）</w:t>
            </w:r>
          </w:p>
        </w:tc>
        <w:tc>
          <w:tcPr>
            <w:tcW w:w="2950" w:type="dxa"/>
            <w:tcBorders>
              <w:top w:val="single" w:color="auto" w:sz="4"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低噪声设备</w:t>
            </w:r>
            <w:r>
              <w:rPr>
                <w:rFonts w:hint="eastAsia"/>
                <w:color w:val="auto"/>
                <w:szCs w:val="21"/>
                <w:lang w:eastAsia="zh-CN"/>
              </w:rPr>
              <w:t>、</w:t>
            </w:r>
            <w:r>
              <w:rPr>
                <w:color w:val="auto"/>
                <w:szCs w:val="21"/>
              </w:rPr>
              <w:t>加强施工管理等。</w:t>
            </w:r>
          </w:p>
        </w:tc>
        <w:tc>
          <w:tcPr>
            <w:tcW w:w="1949" w:type="dxa"/>
            <w:tcBorders>
              <w:top w:val="single" w:color="auto" w:sz="4" w:space="0"/>
              <w:left w:val="single" w:color="auto" w:sz="6" w:space="0"/>
              <w:bottom w:val="single" w:color="auto" w:sz="4" w:space="0"/>
            </w:tcBorders>
            <w:vAlign w:val="center"/>
          </w:tcPr>
          <w:p>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《工业企业厂界环境噪声排放标准》（GB12348-2008）</w:t>
            </w:r>
            <w:r>
              <w:rPr>
                <w:rFonts w:hint="eastAsia" w:ascii="Times New Roman" w:hAnsi="Times New Roman" w:eastAsia="宋体" w:cs="Times New Roman"/>
                <w:color w:val="auto"/>
                <w:szCs w:val="21"/>
                <w:lang w:val="en-US" w:eastAsia="zh-CN"/>
              </w:rPr>
              <w:t>3</w:t>
            </w:r>
            <w:r>
              <w:rPr>
                <w:rFonts w:ascii="Times New Roman" w:hAnsi="Times New Roman" w:eastAsia="宋体" w:cs="Times New Roman"/>
                <w:color w:val="auto"/>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电磁辐射</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固体废物</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rPr>
            </w:pPr>
            <w:r>
              <w:rPr>
                <w:rFonts w:hint="eastAsia" w:cs="Times New Roman"/>
                <w:color w:val="auto"/>
                <w:kern w:val="0"/>
                <w:szCs w:val="21"/>
                <w:lang w:val="en-US" w:eastAsia="zh-CN"/>
              </w:rPr>
              <w:t>本项目已建成，目前停运，项目建成至今暂无危废产生，本项目危废依托东柳水厂危废暂存间暂存，由有资质单位处置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土壤及地下水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污染防治措施</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szCs w:val="21"/>
              </w:rPr>
            </w:pPr>
            <w:r>
              <w:rPr>
                <w:color w:val="auto"/>
                <w:szCs w:val="21"/>
              </w:rPr>
              <w:t>分区防渗建设，</w:t>
            </w:r>
            <w:r>
              <w:rPr>
                <w:rFonts w:hint="eastAsia" w:cs="Times New Roman"/>
                <w:color w:val="auto"/>
                <w:kern w:val="0"/>
                <w:sz w:val="21"/>
                <w:szCs w:val="21"/>
                <w:lang w:val="en-US" w:eastAsia="zh-CN"/>
              </w:rPr>
              <w:t>采用分区防渗，一般防渗区：加压泵站、吸水调节池；</w:t>
            </w:r>
            <w:r>
              <w:rPr>
                <w:rFonts w:hint="eastAsia" w:cs="Times New Roman"/>
                <w:color w:val="auto"/>
                <w:sz w:val="21"/>
                <w:szCs w:val="21"/>
                <w:lang w:val="en-US" w:eastAsia="zh-CN"/>
              </w:rPr>
              <w:t>简单防渗区：综合办公房。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生态保护措施</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color w:val="auto"/>
              </w:rPr>
            </w:pPr>
            <w:r>
              <w:rPr>
                <w:rFonts w:hint="eastAsia" w:ascii="Times New Roman" w:hAnsi="Times New Roman" w:eastAsia="宋体" w:cs="Times New Roman"/>
                <w:color w:val="auto"/>
                <w:kern w:val="0"/>
                <w:szCs w:val="21"/>
                <w:lang w:val="en-US" w:eastAsia="zh-CN"/>
              </w:rPr>
              <w:t>表土剥离，剥离的表土、开挖的土石方临时堆存在厂区空地，并用彩条布进行苫盖保护，施工结束后表土及多余的土方用于绿化覆土</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厂区低洼处回填</w:t>
            </w:r>
            <w:r>
              <w:rPr>
                <w:rFonts w:hint="eastAsia" w:cs="Times New Roman"/>
                <w:color w:val="auto"/>
                <w:kern w:val="0"/>
                <w:szCs w:val="21"/>
                <w:lang w:val="en-US" w:eastAsia="zh-CN"/>
              </w:rPr>
              <w:t>以及临时用地迹地恢复</w:t>
            </w:r>
            <w:r>
              <w:rPr>
                <w:rFonts w:hint="eastAsia" w:ascii="Times New Roman" w:hAnsi="Times New Roman" w:eastAsia="宋体" w:cs="Times New Roman"/>
                <w:color w:val="auto"/>
                <w:kern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546" w:type="dxa"/>
            <w:tcBorders>
              <w:top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防范措施</w:t>
            </w:r>
          </w:p>
        </w:tc>
        <w:tc>
          <w:tcPr>
            <w:tcW w:w="7514" w:type="dxa"/>
            <w:gridSpan w:val="4"/>
            <w:tcBorders>
              <w:top w:val="single" w:color="auto" w:sz="4" w:space="0"/>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本项目</w:t>
            </w:r>
            <w:r>
              <w:rPr>
                <w:rFonts w:hint="eastAsia" w:ascii="Times New Roman" w:hAnsi="Times New Roman" w:eastAsia="宋体" w:cs="Times New Roman"/>
                <w:color w:val="auto"/>
                <w:kern w:val="0"/>
                <w:szCs w:val="21"/>
                <w:lang w:val="en-US" w:eastAsia="zh-CN"/>
              </w:rPr>
              <w:t>危废暂存间内废油桶下方设置托盘，一旦发生废油泄露，及时收集清理，并委托有资质单位处置。按要求配置消防栓、灭火器等消防设施，雨水排放口设置截止阀。设有应急照明、疏散标识、应急广播系统、消防专用电话等疏散通讯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46" w:type="dxa"/>
            <w:tcBorders>
              <w:top w:val="single" w:color="auto" w:sz="4" w:space="0"/>
              <w:bottom w:val="single" w:color="auto" w:sz="8"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color w:val="auto"/>
                <w:szCs w:val="21"/>
              </w:rPr>
            </w:pPr>
            <w:r>
              <w:rPr>
                <w:color w:val="auto"/>
                <w:szCs w:val="21"/>
              </w:rPr>
              <w:t>管理要求</w:t>
            </w:r>
          </w:p>
        </w:tc>
        <w:tc>
          <w:tcPr>
            <w:tcW w:w="7514" w:type="dxa"/>
            <w:gridSpan w:val="4"/>
            <w:tcBorders>
              <w:top w:val="single" w:color="auto" w:sz="4" w:space="0"/>
              <w:left w:val="single" w:color="auto" w:sz="6"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①</w:t>
            </w:r>
            <w:r>
              <w:rPr>
                <w:color w:val="auto"/>
                <w:szCs w:val="21"/>
              </w:rPr>
              <w:t>环境管理机构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本工程</w:t>
            </w:r>
            <w:r>
              <w:rPr>
                <w:rFonts w:hint="eastAsia"/>
                <w:color w:val="auto"/>
                <w:szCs w:val="21"/>
                <w:lang w:val="en-US" w:eastAsia="zh-CN"/>
              </w:rPr>
              <w:t>不</w:t>
            </w:r>
            <w:r>
              <w:rPr>
                <w:color w:val="auto"/>
                <w:szCs w:val="21"/>
              </w:rPr>
              <w:t>设立专门的环保机构和专职负责人，</w:t>
            </w:r>
            <w:r>
              <w:rPr>
                <w:rFonts w:hint="eastAsia"/>
                <w:color w:val="auto"/>
                <w:szCs w:val="21"/>
                <w:lang w:val="en-US" w:eastAsia="zh-CN"/>
              </w:rPr>
              <w:t>由东柳水厂现有劳动定员里选取1名</w:t>
            </w:r>
            <w:r>
              <w:rPr>
                <w:color w:val="auto"/>
                <w:szCs w:val="21"/>
              </w:rPr>
              <w:t>兼职环保人员</w:t>
            </w:r>
            <w:r>
              <w:rPr>
                <w:rFonts w:hint="eastAsia"/>
                <w:color w:val="auto"/>
                <w:szCs w:val="21"/>
                <w:lang w:eastAsia="zh-CN"/>
              </w:rPr>
              <w:t>，</w:t>
            </w:r>
            <w:r>
              <w:rPr>
                <w:color w:val="auto"/>
                <w:szCs w:val="21"/>
              </w:rPr>
              <w:t>负责厂区的环境管理工作。</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②</w:t>
            </w:r>
            <w:r>
              <w:rPr>
                <w:color w:val="auto"/>
                <w:szCs w:val="21"/>
              </w:rPr>
              <w:t>落实按证排污责任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建设单位必须按期持证排污、按证排污，不得无证排污，及时申领排污许可</w:t>
            </w:r>
            <w:r>
              <w:rPr>
                <w:rFonts w:hint="eastAsia"/>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③</w:t>
            </w:r>
            <w:r>
              <w:rPr>
                <w:color w:val="auto"/>
                <w:szCs w:val="21"/>
              </w:rPr>
              <w:t>实行自行监测和定期报告制度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依法开展自行监测，安装或使用监测设备应符合国家有关环境监测、计量认证规定和技术规范，保障数据合法有效，保证设备正常运行，妥善保存原始记录，建立准确完整的环境管理台账。如实向生态环境部门报告排污许可证执行情况，依法向社会公开污染物排放数据并对数据真实性负责。排放情况与排污许可证要求不符的，应及时向生态环境部门报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④</w:t>
            </w:r>
            <w:r>
              <w:rPr>
                <w:color w:val="auto"/>
                <w:szCs w:val="21"/>
              </w:rPr>
              <w:t>环保竣工验收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建设项目竣工后，根据《建设项目环境保护管理条例》（2017年修订版）以及建设单位自主开展建设项目竣工环境保护验收的相关要求。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rFonts w:hint="eastAsia" w:ascii="宋体" w:hAnsi="宋体" w:cs="宋体"/>
                <w:color w:val="auto"/>
                <w:szCs w:val="21"/>
              </w:rPr>
              <w:t>⑤</w:t>
            </w:r>
            <w:r>
              <w:rPr>
                <w:color w:val="auto"/>
                <w:szCs w:val="21"/>
              </w:rPr>
              <w:t>环保设施运行与维护</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color w:val="auto"/>
                <w:szCs w:val="21"/>
              </w:rPr>
            </w:pPr>
            <w:r>
              <w:rPr>
                <w:color w:val="auto"/>
                <w:szCs w:val="21"/>
              </w:rPr>
              <w:t>环评要求建立环保设施运行台账、废物处置台账。</w:t>
            </w:r>
          </w:p>
        </w:tc>
      </w:tr>
    </w:tbl>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w:t>
      </w:r>
      <w:bookmarkEnd w:id="30"/>
      <w:bookmarkStart w:id="32" w:name="_Toc68596109"/>
      <w:r>
        <w:rPr>
          <w:rFonts w:ascii="Times New Roman" w:hAnsi="Times New Roman" w:eastAsia="黑体"/>
          <w:snapToGrid w:val="0"/>
          <w:color w:val="auto"/>
          <w:sz w:val="30"/>
          <w:szCs w:val="30"/>
        </w:rPr>
        <w:t>结论</w:t>
      </w:r>
      <w:bookmarkEnd w:id="32"/>
    </w:p>
    <w:tbl>
      <w:tblPr>
        <w:tblStyle w:val="28"/>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adjustRightInd w:val="0"/>
              <w:snapToGrid w:val="0"/>
              <w:spacing w:line="360" w:lineRule="auto"/>
              <w:ind w:firstLine="480" w:firstLineChars="200"/>
              <w:rPr>
                <w:color w:val="auto"/>
                <w:sz w:val="24"/>
              </w:rPr>
            </w:pPr>
            <w:r>
              <w:rPr>
                <w:rFonts w:hint="default" w:ascii="Times New Roman" w:hAnsi="Times New Roman" w:cs="Times New Roman"/>
                <w:color w:val="auto"/>
                <w:sz w:val="24"/>
              </w:rPr>
              <w:t>本项目符合国家现行产业政策，</w:t>
            </w:r>
            <w:r>
              <w:rPr>
                <w:rFonts w:hint="eastAsia" w:ascii="宋体" w:hAnsi="宋体" w:eastAsia="宋体" w:cs="宋体"/>
                <w:color w:val="auto"/>
                <w:sz w:val="24"/>
              </w:rPr>
              <w:t>符合</w:t>
            </w:r>
            <w:r>
              <w:rPr>
                <w:rFonts w:hint="eastAsia" w:ascii="宋体" w:hAnsi="宋体" w:cs="宋体"/>
                <w:color w:val="auto"/>
                <w:sz w:val="24"/>
                <w:lang w:val="en-US" w:eastAsia="zh-CN"/>
              </w:rPr>
              <w:t>大竹</w:t>
            </w:r>
            <w:r>
              <w:rPr>
                <w:rFonts w:hint="eastAsia" w:ascii="宋体" w:hAnsi="宋体" w:eastAsia="宋体" w:cs="宋体"/>
                <w:color w:val="auto"/>
                <w:sz w:val="24"/>
                <w:lang w:eastAsia="zh-CN"/>
              </w:rPr>
              <w:t>经开区</w:t>
            </w:r>
            <w:r>
              <w:rPr>
                <w:rFonts w:hint="eastAsia" w:ascii="宋体" w:hAnsi="宋体" w:eastAsia="宋体" w:cs="宋体"/>
                <w:color w:val="auto"/>
                <w:sz w:val="24"/>
              </w:rPr>
              <w:t>土地利用规划、产业发展规划</w:t>
            </w:r>
            <w:r>
              <w:rPr>
                <w:rFonts w:hint="eastAsia" w:ascii="宋体" w:hAnsi="宋体" w:cs="宋体"/>
                <w:color w:val="auto"/>
                <w:sz w:val="24"/>
                <w:lang w:eastAsia="zh-CN"/>
              </w:rPr>
              <w:t>，</w:t>
            </w:r>
            <w:r>
              <w:rPr>
                <w:rFonts w:hint="eastAsia" w:ascii="宋体" w:hAnsi="宋体" w:cs="宋体"/>
                <w:color w:val="auto"/>
                <w:sz w:val="24"/>
                <w:lang w:val="en-US" w:eastAsia="zh-CN"/>
              </w:rPr>
              <w:t>符合大竹县国土空间规划及“三区三线”管控要求</w:t>
            </w:r>
            <w:r>
              <w:rPr>
                <w:rFonts w:hint="eastAsia" w:ascii="宋体" w:hAnsi="宋体" w:eastAsia="宋体" w:cs="宋体"/>
                <w:color w:val="auto"/>
                <w:sz w:val="24"/>
              </w:rPr>
              <w:t>。项目贯彻了“清洁生产、总量控制、达标排放”的原则，</w:t>
            </w:r>
            <w:r>
              <w:rPr>
                <w:rFonts w:hint="eastAsia" w:ascii="宋体" w:hAnsi="宋体" w:eastAsia="宋体" w:cs="宋体"/>
                <w:color w:val="auto"/>
                <w:sz w:val="24"/>
                <w:lang w:eastAsia="zh-CN"/>
              </w:rPr>
              <w:t>符合“三线一单”要求，</w:t>
            </w:r>
            <w:r>
              <w:rPr>
                <w:rFonts w:hint="eastAsia" w:ascii="宋体" w:hAnsi="宋体" w:eastAsia="宋体" w:cs="宋体"/>
                <w:color w:val="auto"/>
                <w:sz w:val="24"/>
              </w:rPr>
              <w:t>拟采取的污染防治措施经济可行</w:t>
            </w:r>
            <w:r>
              <w:rPr>
                <w:rFonts w:hint="default" w:ascii="Times New Roman" w:hAnsi="Times New Roman" w:cs="Times New Roman"/>
                <w:color w:val="auto"/>
                <w:sz w:val="24"/>
              </w:rPr>
              <w:t>，技术可靠，项目总平面布置合理。在落实本报告所提出的各项污染防治措施，严格</w:t>
            </w:r>
            <w:r>
              <w:rPr>
                <w:rFonts w:hint="eastAsia" w:ascii="宋体" w:hAnsi="宋体" w:eastAsia="宋体" w:cs="宋体"/>
                <w:color w:val="auto"/>
                <w:sz w:val="24"/>
              </w:rPr>
              <w:t>执行“三同时”制度</w:t>
            </w:r>
            <w:r>
              <w:rPr>
                <w:rFonts w:hint="default" w:ascii="Times New Roman" w:hAnsi="Times New Roman" w:cs="Times New Roman"/>
                <w:color w:val="auto"/>
                <w:sz w:val="24"/>
              </w:rPr>
              <w:t>，并保证环境保护设施有效运行的前提下，从环境保护角度分析，本项目的建设是可行的。</w:t>
            </w: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黑体"/>
          <w:snapToGrid w:val="0"/>
          <w:color w:val="auto"/>
          <w:sz w:val="38"/>
          <w:szCs w:val="38"/>
        </w:rPr>
      </w:pPr>
      <w:r>
        <w:rPr>
          <w:rFonts w:ascii="Times New Roman" w:hAnsi="Times New Roman" w:eastAsia="黑体"/>
          <w:snapToGrid w:val="0"/>
          <w:color w:val="auto"/>
          <w:sz w:val="38"/>
          <w:szCs w:val="38"/>
        </w:rPr>
        <w:t>建设项目污染物排放量汇总表</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59"/>
        <w:gridCol w:w="1559"/>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62"/>
              <w:spacing w:beforeLines="0" w:afterLines="0" w:line="240" w:lineRule="auto"/>
              <w:jc w:val="right"/>
              <w:rPr>
                <w:rFonts w:ascii="Times New Roman"/>
                <w:snapToGrid w:val="0"/>
                <w:color w:val="auto"/>
                <w:kern w:val="21"/>
                <w:szCs w:val="21"/>
              </w:rPr>
            </w:pPr>
            <w:r>
              <w:rPr>
                <w:rFonts w:ascii="Times New Roman"/>
                <w:snapToGrid w:val="0"/>
                <w:color w:val="auto"/>
                <w:kern w:val="21"/>
                <w:szCs w:val="21"/>
              </w:rPr>
              <w:t>项目</w:t>
            </w:r>
          </w:p>
          <w:p>
            <w:pPr>
              <w:pStyle w:val="62"/>
              <w:spacing w:beforeLines="0" w:afterLines="0" w:line="240" w:lineRule="auto"/>
              <w:jc w:val="left"/>
              <w:rPr>
                <w:rFonts w:ascii="Times New Roman"/>
                <w:snapToGrid w:val="0"/>
                <w:color w:val="auto"/>
                <w:kern w:val="21"/>
                <w:szCs w:val="21"/>
              </w:rPr>
            </w:pPr>
            <w:r>
              <w:rPr>
                <w:rFonts w:ascii="Times New Roman"/>
                <w:snapToGrid w:val="0"/>
                <w:color w:val="auto"/>
                <w:kern w:val="21"/>
                <w:szCs w:val="21"/>
              </w:rPr>
              <w:t>分类</w:t>
            </w:r>
          </w:p>
        </w:tc>
        <w:tc>
          <w:tcPr>
            <w:tcW w:w="15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污染物名称</w:t>
            </w:r>
          </w:p>
        </w:tc>
        <w:tc>
          <w:tcPr>
            <w:tcW w:w="15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现有工程</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snapToGrid w:val="0"/>
                <w:color w:val="auto"/>
                <w:kern w:val="21"/>
                <w:szCs w:val="21"/>
              </w:rPr>
              <w:fldChar w:fldCharType="separate"/>
            </w:r>
            <w:r>
              <w:rPr>
                <w:rFonts w:hint="eastAsia" w:hAnsi="宋体" w:cs="宋体"/>
                <w:color w:val="auto"/>
                <w:kern w:val="2"/>
                <w:szCs w:val="21"/>
              </w:rPr>
              <w:t>①</w:t>
            </w:r>
            <w:r>
              <w:rPr>
                <w:rFonts w:ascii="Times New Roman"/>
                <w:snapToGrid w:val="0"/>
                <w:color w:val="auto"/>
                <w:kern w:val="21"/>
                <w:szCs w:val="21"/>
              </w:rPr>
              <w:fldChar w:fldCharType="end"/>
            </w:r>
          </w:p>
        </w:tc>
        <w:tc>
          <w:tcPr>
            <w:tcW w:w="1276"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现有工程</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许可排放量</w:t>
            </w:r>
          </w:p>
          <w:p>
            <w:pPr>
              <w:pStyle w:val="62"/>
              <w:spacing w:beforeLines="0" w:afterLines="0"/>
              <w:rPr>
                <w:rFonts w:ascii="Times New Roman"/>
                <w:snapToGrid w:val="0"/>
                <w:color w:val="auto"/>
                <w:kern w:val="21"/>
                <w:szCs w:val="21"/>
              </w:rPr>
            </w:pPr>
            <w:r>
              <w:rPr>
                <w:rFonts w:ascii="Times New Roman"/>
                <w:snapToGrid w:val="0"/>
                <w:color w:val="auto"/>
                <w:kern w:val="21"/>
                <w:szCs w:val="21"/>
              </w:rPr>
              <w:fldChar w:fldCharType="begin"/>
            </w:r>
            <w:r>
              <w:rPr>
                <w:rFonts w:ascii="Times New Roman"/>
                <w:snapToGrid w:val="0"/>
                <w:color w:val="auto"/>
                <w:kern w:val="21"/>
                <w:szCs w:val="21"/>
              </w:rPr>
              <w:instrText xml:space="preserve"> = 2 \* GB3 \* MERGEFORMAT </w:instrText>
            </w:r>
            <w:r>
              <w:rPr>
                <w:rFonts w:ascii="Times New Roman"/>
                <w:snapToGrid w:val="0"/>
                <w:color w:val="auto"/>
                <w:kern w:val="21"/>
                <w:szCs w:val="21"/>
              </w:rPr>
              <w:fldChar w:fldCharType="separate"/>
            </w:r>
            <w:r>
              <w:rPr>
                <w:rFonts w:hint="eastAsia" w:hAnsi="宋体" w:cs="宋体"/>
                <w:snapToGrid w:val="0"/>
                <w:color w:val="auto"/>
                <w:kern w:val="21"/>
                <w:szCs w:val="21"/>
              </w:rPr>
              <w:t>②</w:t>
            </w:r>
            <w:r>
              <w:rPr>
                <w:rFonts w:ascii="Times New Roman"/>
                <w:snapToGrid w:val="0"/>
                <w:color w:val="auto"/>
                <w:kern w:val="21"/>
                <w:szCs w:val="21"/>
              </w:rPr>
              <w:fldChar w:fldCharType="end"/>
            </w:r>
          </w:p>
        </w:tc>
        <w:tc>
          <w:tcPr>
            <w:tcW w:w="1701"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在建工程</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3 \* GB3 \* MERGEFORMAT </w:instrText>
            </w:r>
            <w:r>
              <w:rPr>
                <w:rFonts w:ascii="Times New Roman"/>
                <w:snapToGrid w:val="0"/>
                <w:color w:val="auto"/>
                <w:kern w:val="21"/>
                <w:szCs w:val="21"/>
              </w:rPr>
              <w:fldChar w:fldCharType="separate"/>
            </w:r>
            <w:r>
              <w:rPr>
                <w:rFonts w:hint="eastAsia" w:hAnsi="宋体" w:cs="宋体"/>
                <w:color w:val="auto"/>
                <w:kern w:val="2"/>
                <w:szCs w:val="21"/>
              </w:rPr>
              <w:t>③</w:t>
            </w:r>
            <w:r>
              <w:rPr>
                <w:rFonts w:ascii="Times New Roman"/>
                <w:snapToGrid w:val="0"/>
                <w:color w:val="auto"/>
                <w:kern w:val="21"/>
                <w:szCs w:val="21"/>
              </w:rPr>
              <w:fldChar w:fldCharType="end"/>
            </w:r>
          </w:p>
        </w:tc>
        <w:tc>
          <w:tcPr>
            <w:tcW w:w="15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本项目</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4 \* GB3 \* MERGEFORMAT </w:instrText>
            </w:r>
            <w:r>
              <w:rPr>
                <w:rFonts w:ascii="Times New Roman"/>
                <w:snapToGrid w:val="0"/>
                <w:color w:val="auto"/>
                <w:kern w:val="21"/>
                <w:szCs w:val="21"/>
              </w:rPr>
              <w:fldChar w:fldCharType="separate"/>
            </w:r>
            <w:r>
              <w:rPr>
                <w:rFonts w:hint="eastAsia" w:hAnsi="宋体" w:cs="宋体"/>
                <w:color w:val="auto"/>
                <w:kern w:val="2"/>
                <w:szCs w:val="21"/>
              </w:rPr>
              <w:t>④</w:t>
            </w:r>
            <w:r>
              <w:rPr>
                <w:rFonts w:ascii="Times New Roman"/>
                <w:snapToGrid w:val="0"/>
                <w:color w:val="auto"/>
                <w:kern w:val="21"/>
                <w:szCs w:val="21"/>
              </w:rPr>
              <w:fldChar w:fldCharType="end"/>
            </w:r>
          </w:p>
        </w:tc>
        <w:tc>
          <w:tcPr>
            <w:tcW w:w="1761"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以新带老削减量</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（新建项目不填）</w:t>
            </w:r>
            <w:r>
              <w:rPr>
                <w:rFonts w:ascii="Times New Roman"/>
                <w:snapToGrid w:val="0"/>
                <w:color w:val="auto"/>
                <w:kern w:val="21"/>
                <w:szCs w:val="21"/>
              </w:rPr>
              <w:fldChar w:fldCharType="begin"/>
            </w:r>
            <w:r>
              <w:rPr>
                <w:rFonts w:ascii="Times New Roman"/>
                <w:snapToGrid w:val="0"/>
                <w:color w:val="auto"/>
                <w:kern w:val="21"/>
                <w:szCs w:val="21"/>
              </w:rPr>
              <w:instrText xml:space="preserve"> = 5 \* GB3 \* MERGEFORMAT </w:instrText>
            </w:r>
            <w:r>
              <w:rPr>
                <w:rFonts w:ascii="Times New Roman"/>
                <w:snapToGrid w:val="0"/>
                <w:color w:val="auto"/>
                <w:kern w:val="21"/>
                <w:szCs w:val="21"/>
              </w:rPr>
              <w:fldChar w:fldCharType="separate"/>
            </w:r>
            <w:r>
              <w:rPr>
                <w:rFonts w:hint="eastAsia" w:hAnsi="宋体" w:cs="宋体"/>
                <w:color w:val="auto"/>
                <w:kern w:val="2"/>
                <w:szCs w:val="21"/>
              </w:rPr>
              <w:t>⑤</w:t>
            </w:r>
            <w:r>
              <w:rPr>
                <w:rFonts w:ascii="Times New Roman"/>
                <w:snapToGrid w:val="0"/>
                <w:color w:val="auto"/>
                <w:kern w:val="21"/>
                <w:szCs w:val="21"/>
              </w:rPr>
              <w:fldChar w:fldCharType="end"/>
            </w:r>
          </w:p>
        </w:tc>
        <w:tc>
          <w:tcPr>
            <w:tcW w:w="1959"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本项目建成后</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全厂排放量（固体废物产生量）</w:t>
            </w:r>
            <w:r>
              <w:rPr>
                <w:rFonts w:ascii="Times New Roman"/>
                <w:snapToGrid w:val="0"/>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snapToGrid w:val="0"/>
                <w:color w:val="auto"/>
                <w:kern w:val="21"/>
                <w:szCs w:val="21"/>
              </w:rPr>
              <w:fldChar w:fldCharType="separate"/>
            </w:r>
            <w:r>
              <w:rPr>
                <w:rFonts w:hint="eastAsia" w:hAnsi="宋体" w:cs="宋体"/>
                <w:color w:val="auto"/>
                <w:kern w:val="2"/>
                <w:szCs w:val="21"/>
              </w:rPr>
              <w:t>⑥</w:t>
            </w:r>
            <w:r>
              <w:rPr>
                <w:rFonts w:ascii="Times New Roman"/>
                <w:snapToGrid w:val="0"/>
                <w:color w:val="auto"/>
                <w:kern w:val="21"/>
                <w:szCs w:val="21"/>
              </w:rPr>
              <w:fldChar w:fldCharType="end"/>
            </w:r>
          </w:p>
        </w:tc>
        <w:tc>
          <w:tcPr>
            <w:tcW w:w="826" w:type="dxa"/>
            <w:tcMar>
              <w:left w:w="28" w:type="dxa"/>
              <w:right w:w="28" w:type="dxa"/>
            </w:tcMar>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变化量</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fldChar w:fldCharType="begin"/>
            </w:r>
            <w:r>
              <w:rPr>
                <w:rFonts w:ascii="Times New Roman"/>
                <w:snapToGrid w:val="0"/>
                <w:color w:val="auto"/>
                <w:kern w:val="21"/>
                <w:szCs w:val="21"/>
              </w:rPr>
              <w:instrText xml:space="preserve"> = 7 \* GB3 \* MERGEFORMAT </w:instrText>
            </w:r>
            <w:r>
              <w:rPr>
                <w:rFonts w:ascii="Times New Roman"/>
                <w:snapToGrid w:val="0"/>
                <w:color w:val="auto"/>
                <w:kern w:val="21"/>
                <w:szCs w:val="21"/>
              </w:rPr>
              <w:fldChar w:fldCharType="separate"/>
            </w:r>
            <w:r>
              <w:rPr>
                <w:rFonts w:hint="eastAsia" w:hAnsi="宋体" w:cs="宋体"/>
                <w:color w:val="auto"/>
                <w:kern w:val="2"/>
                <w:szCs w:val="21"/>
              </w:rPr>
              <w:t>⑦</w:t>
            </w:r>
            <w:r>
              <w:rPr>
                <w:rFonts w:ascii="Times New Roman"/>
                <w:snapToGrid w:val="0"/>
                <w:color w:val="auto"/>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559" w:type="dxa"/>
            <w:vAlign w:val="center"/>
          </w:tcPr>
          <w:p>
            <w:pPr>
              <w:spacing w:beforeLines="0" w:afterLines="0" w:line="240" w:lineRule="auto"/>
              <w:jc w:val="center"/>
              <w:rPr>
                <w:rFonts w:hint="default" w:ascii="Times New Roman" w:eastAsia="宋体"/>
                <w:snapToGrid w:val="0"/>
                <w:color w:val="auto"/>
                <w:kern w:val="21"/>
                <w:szCs w:val="21"/>
                <w:lang w:val="en-US" w:eastAsia="zh-CN"/>
              </w:rPr>
            </w:pPr>
            <w:r>
              <w:rPr>
                <w:rFonts w:ascii="Times New Roman"/>
                <w:snapToGrid w:val="0"/>
                <w:color w:val="auto"/>
                <w:kern w:val="21"/>
                <w:szCs w:val="21"/>
              </w:rPr>
              <w:t>/</w:t>
            </w:r>
          </w:p>
        </w:tc>
        <w:tc>
          <w:tcPr>
            <w:tcW w:w="1559"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hint="default" w:ascii="Times New Roman" w:eastAsia="宋体"/>
                <w:snapToGrid w:val="0"/>
                <w:color w:val="auto"/>
                <w:kern w:val="21"/>
                <w:szCs w:val="21"/>
                <w:lang w:val="en-US" w:eastAsia="zh-CN"/>
              </w:rPr>
            </w:pPr>
            <w:r>
              <w:rPr>
                <w:rFonts w:ascii="Times New Roman"/>
                <w:snapToGrid w:val="0"/>
                <w:color w:val="auto"/>
                <w:kern w:val="21"/>
                <w:szCs w:val="21"/>
              </w:rPr>
              <w:t>/</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2"/>
              <w:spacing w:beforeLines="0" w:afterLines="0" w:line="240" w:lineRule="auto"/>
              <w:rPr>
                <w:rFonts w:ascii="Times New Roman"/>
                <w:snapToGrid w:val="0"/>
                <w:color w:val="auto"/>
                <w:kern w:val="21"/>
                <w:szCs w:val="21"/>
              </w:rPr>
            </w:pPr>
          </w:p>
        </w:tc>
        <w:tc>
          <w:tcPr>
            <w:tcW w:w="1559" w:type="dxa"/>
            <w:vAlign w:val="center"/>
          </w:tcPr>
          <w:p>
            <w:pPr>
              <w:spacing w:beforeLines="0" w:afterLines="0" w:line="240" w:lineRule="auto"/>
              <w:jc w:val="center"/>
              <w:rPr>
                <w:rFonts w:hint="default" w:ascii="Times New Roman" w:eastAsia="宋体"/>
                <w:snapToGrid w:val="0"/>
                <w:color w:val="auto"/>
                <w:kern w:val="21"/>
                <w:szCs w:val="21"/>
                <w:lang w:val="en-US" w:eastAsia="zh-CN"/>
              </w:rPr>
            </w:pPr>
            <w:r>
              <w:rPr>
                <w:rFonts w:ascii="Times New Roman"/>
                <w:snapToGrid w:val="0"/>
                <w:color w:val="auto"/>
                <w:kern w:val="21"/>
                <w:szCs w:val="21"/>
              </w:rPr>
              <w:t>/</w:t>
            </w:r>
          </w:p>
        </w:tc>
        <w:tc>
          <w:tcPr>
            <w:tcW w:w="1559"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spacing w:beforeLines="0" w:afterLines="0" w:line="240" w:lineRule="auto"/>
              <w:jc w:val="center"/>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61" w:type="dxa"/>
            <w:vAlign w:val="center"/>
          </w:tcPr>
          <w:p>
            <w:pPr>
              <w:pStyle w:val="62"/>
              <w:spacing w:beforeLines="0" w:afterLines="0" w:line="240" w:lineRule="auto"/>
              <w:rPr>
                <w:rFonts w:hint="default" w:ascii="Times New Roman" w:eastAsia="宋体"/>
                <w:snapToGrid w:val="0"/>
                <w:color w:val="auto"/>
                <w:kern w:val="21"/>
                <w:szCs w:val="21"/>
                <w:lang w:val="en-US" w:eastAsia="zh-CN"/>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559" w:type="dxa"/>
            <w:vAlign w:val="center"/>
          </w:tcPr>
          <w:p>
            <w:pPr>
              <w:spacing w:beforeLines="0" w:afterLines="0" w:line="240" w:lineRule="auto"/>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spacing w:beforeLines="0" w:afterLines="0" w:line="240" w:lineRule="auto"/>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276" w:type="dxa"/>
            <w:vAlign w:val="center"/>
          </w:tcPr>
          <w:p>
            <w:pPr>
              <w:spacing w:beforeLines="0" w:afterLines="0" w:line="240" w:lineRule="auto"/>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761" w:type="dxa"/>
            <w:vAlign w:val="center"/>
          </w:tcPr>
          <w:p>
            <w:pPr>
              <w:pStyle w:val="62"/>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826" w:type="dxa"/>
            <w:vAlign w:val="center"/>
          </w:tcPr>
          <w:p>
            <w:pPr>
              <w:pStyle w:val="62"/>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废含油棉纱</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0.01t/a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color w:val="auto"/>
                <w:szCs w:val="21"/>
              </w:rPr>
            </w:pPr>
            <w:r>
              <w:rPr>
                <w:rFonts w:ascii="Times New Roman"/>
                <w:color w:val="auto"/>
                <w:szCs w:val="21"/>
              </w:rPr>
              <w:t>0.01t/a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2"/>
              <w:spacing w:beforeLines="0" w:afterLines="0" w:line="240" w:lineRule="auto"/>
              <w:rPr>
                <w:rFonts w:ascii="Times New Roman"/>
                <w:snapToGrid w:val="0"/>
                <w:color w:val="auto"/>
                <w:kern w:val="21"/>
                <w:szCs w:val="21"/>
              </w:rPr>
            </w:pP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废机油</w:t>
            </w:r>
          </w:p>
        </w:tc>
        <w:tc>
          <w:tcPr>
            <w:tcW w:w="1559"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pStyle w:val="62"/>
              <w:spacing w:beforeLines="0" w:afterLines="0" w:line="240" w:lineRule="auto"/>
              <w:rPr>
                <w:rFonts w:ascii="Times New Roman"/>
                <w:color w:val="auto"/>
                <w:szCs w:val="21"/>
              </w:rPr>
            </w:pPr>
            <w:r>
              <w:rPr>
                <w:rFonts w:ascii="Times New Roman"/>
                <w:color w:val="auto"/>
                <w:szCs w:val="21"/>
              </w:rPr>
              <w:t>0.</w:t>
            </w:r>
            <w:r>
              <w:rPr>
                <w:rFonts w:hint="eastAsia" w:ascii="Times New Roman"/>
                <w:color w:val="auto"/>
                <w:szCs w:val="21"/>
                <w:lang w:val="en-US" w:eastAsia="zh-CN"/>
              </w:rPr>
              <w:t>05</w:t>
            </w:r>
            <w:r>
              <w:rPr>
                <w:rFonts w:ascii="Times New Roman"/>
                <w:color w:val="auto"/>
                <w:szCs w:val="21"/>
              </w:rPr>
              <w:t>t/a</w:t>
            </w:r>
          </w:p>
        </w:tc>
        <w:tc>
          <w:tcPr>
            <w:tcW w:w="1761"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959" w:type="dxa"/>
            <w:vAlign w:val="center"/>
          </w:tcPr>
          <w:p>
            <w:pPr>
              <w:pStyle w:val="62"/>
              <w:spacing w:beforeLines="0" w:afterLines="0" w:line="240" w:lineRule="auto"/>
              <w:rPr>
                <w:rFonts w:ascii="Times New Roman"/>
                <w:color w:val="auto"/>
                <w:szCs w:val="21"/>
              </w:rPr>
            </w:pPr>
            <w:r>
              <w:rPr>
                <w:rFonts w:ascii="Times New Roman"/>
                <w:color w:val="auto"/>
                <w:szCs w:val="21"/>
              </w:rPr>
              <w:t>0.</w:t>
            </w:r>
            <w:r>
              <w:rPr>
                <w:rFonts w:hint="eastAsia" w:ascii="Times New Roman"/>
                <w:color w:val="auto"/>
                <w:szCs w:val="21"/>
                <w:lang w:val="en-US" w:eastAsia="zh-CN"/>
              </w:rPr>
              <w:t>05</w:t>
            </w:r>
            <w:r>
              <w:rPr>
                <w:rFonts w:ascii="Times New Roman"/>
                <w:color w:val="auto"/>
                <w:szCs w:val="21"/>
              </w:rPr>
              <w:t>t/a</w:t>
            </w:r>
          </w:p>
        </w:tc>
        <w:tc>
          <w:tcPr>
            <w:tcW w:w="826" w:type="dxa"/>
            <w:vAlign w:val="center"/>
          </w:tcPr>
          <w:p>
            <w:pPr>
              <w:pStyle w:val="6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bl>
    <w:p>
      <w:pPr>
        <w:pStyle w:val="62"/>
        <w:spacing w:before="192" w:beforeLines="80" w:after="24"/>
        <w:jc w:val="left"/>
        <w:rPr>
          <w:rFonts w:ascii="Times New Roman"/>
          <w:color w:val="auto"/>
        </w:rPr>
      </w:pPr>
      <w:r>
        <w:rPr>
          <w:rFonts w:ascii="Times New Roman"/>
          <w:snapToGrid w:val="0"/>
          <w:color w:val="auto"/>
          <w:kern w:val="21"/>
          <w:szCs w:val="21"/>
        </w:rPr>
        <w:t>注：</w:t>
      </w:r>
      <w:r>
        <w:rPr>
          <w:rFonts w:ascii="Times New Roman"/>
          <w:snapToGrid w:val="0"/>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snapToGrid w:val="0"/>
          <w:color w:val="auto"/>
          <w:kern w:val="21"/>
          <w:szCs w:val="21"/>
        </w:rPr>
        <w:fldChar w:fldCharType="separate"/>
      </w:r>
      <w:r>
        <w:rPr>
          <w:rFonts w:hint="eastAsia" w:hAnsi="宋体" w:cs="宋体"/>
          <w:color w:val="auto"/>
          <w:szCs w:val="21"/>
        </w:rPr>
        <w:t>⑥</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snapToGrid w:val="0"/>
          <w:color w:val="auto"/>
          <w:kern w:val="21"/>
          <w:szCs w:val="21"/>
        </w:rPr>
        <w:fldChar w:fldCharType="separate"/>
      </w:r>
      <w:r>
        <w:rPr>
          <w:rFonts w:hint="eastAsia" w:hAnsi="宋体" w:cs="宋体"/>
          <w:color w:val="auto"/>
          <w:szCs w:val="21"/>
        </w:rPr>
        <w:t>①</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3 \* GB3 \* MERGEFORMAT </w:instrText>
      </w:r>
      <w:r>
        <w:rPr>
          <w:rFonts w:ascii="Times New Roman"/>
          <w:snapToGrid w:val="0"/>
          <w:color w:val="auto"/>
          <w:kern w:val="21"/>
          <w:szCs w:val="21"/>
        </w:rPr>
        <w:fldChar w:fldCharType="separate"/>
      </w:r>
      <w:r>
        <w:rPr>
          <w:rFonts w:hint="eastAsia" w:hAnsi="宋体" w:cs="宋体"/>
          <w:color w:val="auto"/>
          <w:szCs w:val="21"/>
        </w:rPr>
        <w:t>③</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4 \* GB3 \* MERGEFORMAT </w:instrText>
      </w:r>
      <w:r>
        <w:rPr>
          <w:rFonts w:ascii="Times New Roman"/>
          <w:snapToGrid w:val="0"/>
          <w:color w:val="auto"/>
          <w:kern w:val="21"/>
          <w:szCs w:val="21"/>
        </w:rPr>
        <w:fldChar w:fldCharType="separate"/>
      </w:r>
      <w:r>
        <w:rPr>
          <w:rFonts w:hint="eastAsia" w:hAnsi="宋体" w:cs="宋体"/>
          <w:color w:val="auto"/>
          <w:szCs w:val="21"/>
        </w:rPr>
        <w:t>④</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5 \* GB3 \* MERGEFORMAT </w:instrText>
      </w:r>
      <w:r>
        <w:rPr>
          <w:rFonts w:ascii="Times New Roman"/>
          <w:snapToGrid w:val="0"/>
          <w:color w:val="auto"/>
          <w:kern w:val="21"/>
          <w:szCs w:val="21"/>
        </w:rPr>
        <w:fldChar w:fldCharType="separate"/>
      </w:r>
      <w:r>
        <w:rPr>
          <w:rFonts w:hint="eastAsia" w:hAnsi="宋体" w:cs="宋体"/>
          <w:color w:val="auto"/>
          <w:szCs w:val="21"/>
        </w:rPr>
        <w:t>⑤</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7 \* GB3 \* MERGEFORMAT </w:instrText>
      </w:r>
      <w:r>
        <w:rPr>
          <w:rFonts w:ascii="Times New Roman"/>
          <w:snapToGrid w:val="0"/>
          <w:color w:val="auto"/>
          <w:kern w:val="21"/>
          <w:szCs w:val="21"/>
        </w:rPr>
        <w:fldChar w:fldCharType="separate"/>
      </w:r>
      <w:r>
        <w:rPr>
          <w:rFonts w:hint="eastAsia" w:hAnsi="宋体" w:cs="宋体"/>
          <w:color w:val="auto"/>
          <w:szCs w:val="21"/>
        </w:rPr>
        <w:t>⑦</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snapToGrid w:val="0"/>
          <w:color w:val="auto"/>
          <w:kern w:val="21"/>
          <w:szCs w:val="21"/>
        </w:rPr>
        <w:fldChar w:fldCharType="separate"/>
      </w:r>
      <w:r>
        <w:rPr>
          <w:rFonts w:hint="eastAsia" w:hAnsi="宋体" w:cs="宋体"/>
          <w:color w:val="auto"/>
          <w:szCs w:val="21"/>
        </w:rPr>
        <w:t>⑥</w:t>
      </w:r>
      <w:r>
        <w:rPr>
          <w:rFonts w:ascii="Times New Roman"/>
          <w:snapToGrid w:val="0"/>
          <w:color w:val="auto"/>
          <w:kern w:val="21"/>
          <w:szCs w:val="21"/>
        </w:rPr>
        <w:fldChar w:fldCharType="end"/>
      </w:r>
      <w:r>
        <w:rPr>
          <w:rFonts w:ascii="Times New Roman"/>
          <w:snapToGrid w:val="0"/>
          <w:color w:val="auto"/>
          <w:kern w:val="21"/>
          <w:szCs w:val="21"/>
        </w:rPr>
        <w:t>-</w:t>
      </w:r>
      <w:r>
        <w:rPr>
          <w:rFonts w:ascii="Times New Roman"/>
          <w:snapToGrid w:val="0"/>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snapToGrid w:val="0"/>
          <w:color w:val="auto"/>
          <w:kern w:val="21"/>
          <w:szCs w:val="21"/>
        </w:rPr>
        <w:fldChar w:fldCharType="separate"/>
      </w:r>
      <w:r>
        <w:rPr>
          <w:rFonts w:hint="eastAsia" w:hAnsi="宋体" w:cs="宋体"/>
          <w:color w:val="auto"/>
          <w:szCs w:val="21"/>
        </w:rPr>
        <w:t>①</w:t>
      </w:r>
      <w:r>
        <w:rPr>
          <w:rFonts w:ascii="Times New Roman"/>
          <w:snapToGrid w:val="0"/>
          <w:color w:val="auto"/>
          <w:kern w:val="21"/>
          <w:szCs w:val="21"/>
        </w:rPr>
        <w:fldChar w:fldCharType="end"/>
      </w:r>
    </w:p>
    <w:p>
      <w:pPr>
        <w:pStyle w:val="24"/>
        <w:adjustRightInd w:val="0"/>
        <w:snapToGrid w:val="0"/>
        <w:spacing w:before="0" w:beforeAutospacing="0" w:after="0" w:afterAutospacing="0" w:line="648" w:lineRule="auto"/>
        <w:rPr>
          <w:rFonts w:ascii="Times New Roman" w:hAnsi="Times New Roman"/>
          <w:color w:val="auto"/>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separate"/>
    </w:r>
    <w:r>
      <w:rPr>
        <w:rStyle w:val="33"/>
      </w:rPr>
      <w:t>3</w: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33"/>
        <w:sz w:val="21"/>
        <w:szCs w:val="21"/>
      </w:rPr>
    </w:pPr>
    <w:r>
      <w:rPr>
        <w:rStyle w:val="33"/>
        <w:sz w:val="21"/>
        <w:szCs w:val="21"/>
      </w:rPr>
      <w:t xml:space="preserve">—  </w:t>
    </w:r>
    <w:r>
      <w:rPr>
        <w:rStyle w:val="33"/>
        <w:sz w:val="21"/>
        <w:szCs w:val="21"/>
      </w:rPr>
      <w:fldChar w:fldCharType="begin"/>
    </w:r>
    <w:r>
      <w:rPr>
        <w:rStyle w:val="33"/>
        <w:sz w:val="21"/>
        <w:szCs w:val="21"/>
      </w:rPr>
      <w:instrText xml:space="preserve">PAGE  </w:instrText>
    </w:r>
    <w:r>
      <w:rPr>
        <w:rStyle w:val="33"/>
        <w:sz w:val="21"/>
        <w:szCs w:val="21"/>
      </w:rPr>
      <w:fldChar w:fldCharType="separate"/>
    </w:r>
    <w:r>
      <w:rPr>
        <w:rStyle w:val="33"/>
        <w:sz w:val="21"/>
        <w:szCs w:val="21"/>
      </w:rPr>
      <w:t>1</w:t>
    </w:r>
    <w:r>
      <w:rPr>
        <w:rStyle w:val="33"/>
        <w:sz w:val="21"/>
        <w:szCs w:val="21"/>
      </w:rPr>
      <w:fldChar w:fldCharType="end"/>
    </w:r>
    <w:r>
      <w:rPr>
        <w:rStyle w:val="33"/>
        <w:sz w:val="21"/>
        <w:szCs w:val="21"/>
      </w:rPr>
      <w:t xml:space="preserve">  —</w:t>
    </w:r>
  </w:p>
  <w:p>
    <w:pPr>
      <w:pStyle w:val="20"/>
      <w:ind w:right="360" w:firstLine="360"/>
      <w:jc w:val="cente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33"/>
        <w:rFonts w:ascii="仿宋_GB2312" w:hAnsi="仿宋_GB2312"/>
        <w:sz w:val="28"/>
        <w:szCs w:val="28"/>
      </w:rPr>
    </w:pPr>
    <w:r>
      <w:rPr>
        <w:rStyle w:val="33"/>
        <w:rFonts w:hint="eastAsia" w:ascii="仿宋_GB2312" w:hAnsi="仿宋_GB2312"/>
        <w:sz w:val="28"/>
        <w:szCs w:val="28"/>
      </w:rPr>
      <w:t>—</w:t>
    </w:r>
    <w:r>
      <w:rPr>
        <w:rStyle w:val="33"/>
        <w:rFonts w:hint="eastAsia" w:ascii="仿宋_GB2312" w:hAnsi="仿宋_GB2312"/>
        <w:sz w:val="20"/>
      </w:rPr>
      <w:t xml:space="preserve">  </w:t>
    </w:r>
    <w:r>
      <w:rPr>
        <w:rStyle w:val="33"/>
        <w:rFonts w:ascii="仿宋_GB2312" w:hAnsi="仿宋_GB2312"/>
        <w:sz w:val="26"/>
        <w:szCs w:val="26"/>
      </w:rPr>
      <w:fldChar w:fldCharType="begin"/>
    </w:r>
    <w:r>
      <w:rPr>
        <w:rStyle w:val="33"/>
        <w:rFonts w:ascii="仿宋_GB2312" w:hAnsi="仿宋_GB2312"/>
        <w:sz w:val="26"/>
        <w:szCs w:val="26"/>
      </w:rPr>
      <w:instrText xml:space="preserve">PAGE  </w:instrText>
    </w:r>
    <w:r>
      <w:rPr>
        <w:rStyle w:val="33"/>
        <w:rFonts w:ascii="仿宋_GB2312" w:hAnsi="仿宋_GB2312"/>
        <w:sz w:val="26"/>
        <w:szCs w:val="26"/>
      </w:rPr>
      <w:fldChar w:fldCharType="separate"/>
    </w:r>
    <w:r>
      <w:rPr>
        <w:rStyle w:val="33"/>
        <w:rFonts w:ascii="仿宋_GB2312" w:hAnsi="仿宋_GB2312"/>
        <w:sz w:val="26"/>
        <w:szCs w:val="26"/>
      </w:rPr>
      <w:t>71</w:t>
    </w:r>
    <w:r>
      <w:rPr>
        <w:rStyle w:val="33"/>
        <w:rFonts w:ascii="仿宋_GB2312" w:hAnsi="仿宋_GB2312"/>
        <w:sz w:val="26"/>
        <w:szCs w:val="26"/>
      </w:rPr>
      <w:fldChar w:fldCharType="end"/>
    </w:r>
    <w:r>
      <w:rPr>
        <w:rStyle w:val="33"/>
        <w:rFonts w:hint="eastAsia" w:ascii="仿宋_GB2312" w:hAnsi="仿宋_GB2312"/>
        <w:sz w:val="20"/>
      </w:rPr>
      <w:t xml:space="preserve">  </w:t>
    </w:r>
    <w:r>
      <w:rPr>
        <w:rStyle w:val="33"/>
        <w:rFonts w:hint="eastAsia" w:ascii="仿宋_GB2312" w:hAnsi="仿宋_GB2312"/>
        <w:sz w:val="28"/>
        <w:szCs w:val="28"/>
      </w:rPr>
      <w:t>—</w:t>
    </w:r>
  </w:p>
  <w:p>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ED6CDA"/>
    <w:multiLevelType w:val="singleLevel"/>
    <w:tmpl w:val="C8ED6CDA"/>
    <w:lvl w:ilvl="0" w:tentative="0">
      <w:start w:val="3"/>
      <w:numFmt w:val="decimal"/>
      <w:suff w:val="nothing"/>
      <w:lvlText w:val="%1、"/>
      <w:lvlJc w:val="left"/>
    </w:lvl>
  </w:abstractNum>
  <w:abstractNum w:abstractNumId="1">
    <w:nsid w:val="EC727805"/>
    <w:multiLevelType w:val="singleLevel"/>
    <w:tmpl w:val="EC727805"/>
    <w:lvl w:ilvl="0" w:tentative="0">
      <w:start w:val="1"/>
      <w:numFmt w:val="decimal"/>
      <w:suff w:val="nothing"/>
      <w:lvlText w:val="%1、"/>
      <w:lvlJc w:val="left"/>
    </w:lvl>
  </w:abstractNum>
  <w:abstractNum w:abstractNumId="2">
    <w:nsid w:val="0D42A94D"/>
    <w:multiLevelType w:val="singleLevel"/>
    <w:tmpl w:val="0D42A94D"/>
    <w:lvl w:ilvl="0" w:tentative="0">
      <w:start w:val="3"/>
      <w:numFmt w:val="chineseCounting"/>
      <w:suff w:val="nothing"/>
      <w:lvlText w:val="（%1）"/>
      <w:lvlJc w:val="left"/>
      <w:rPr>
        <w:rFonts w:hint="eastAsia"/>
      </w:rPr>
    </w:lvl>
  </w:abstractNum>
  <w:abstractNum w:abstractNumId="3">
    <w:nsid w:val="0D658B31"/>
    <w:multiLevelType w:val="singleLevel"/>
    <w:tmpl w:val="0D658B31"/>
    <w:lvl w:ilvl="0" w:tentative="0">
      <w:start w:val="2"/>
      <w:numFmt w:val="decimal"/>
      <w:suff w:val="nothing"/>
      <w:lvlText w:val="（%1）"/>
      <w:lvlJc w:val="left"/>
    </w:lvl>
  </w:abstractNum>
  <w:abstractNum w:abstractNumId="4">
    <w:nsid w:val="0E197CE9"/>
    <w:multiLevelType w:val="multilevel"/>
    <w:tmpl w:val="0E197CE9"/>
    <w:lvl w:ilvl="0" w:tentative="0">
      <w:start w:val="1"/>
      <w:numFmt w:val="decimal"/>
      <w:pStyle w:val="79"/>
      <w:lvlText w:val="表1-%1  "/>
      <w:lvlJc w:val="center"/>
      <w:pPr>
        <w:ind w:left="900" w:hanging="420"/>
      </w:pPr>
      <w:rPr>
        <w:rFonts w:hint="default" w:ascii="Times New Roman" w:hAnsi="Times New Roman" w:eastAsia="黑体"/>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5">
    <w:nsid w:val="35F8237C"/>
    <w:multiLevelType w:val="multilevel"/>
    <w:tmpl w:val="35F8237C"/>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pStyle w:val="110"/>
      <w:lvlText w:val="%8)"/>
      <w:lvlJc w:val="left"/>
      <w:pPr>
        <w:ind w:left="3840" w:hanging="420"/>
      </w:pPr>
    </w:lvl>
    <w:lvl w:ilvl="8" w:tentative="0">
      <w:start w:val="1"/>
      <w:numFmt w:val="lowerRoman"/>
      <w:lvlText w:val="%9."/>
      <w:lvlJc w:val="right"/>
      <w:pPr>
        <w:ind w:left="4260" w:hanging="420"/>
      </w:pPr>
    </w:lvl>
  </w:abstractNum>
  <w:abstractNum w:abstractNumId="6">
    <w:nsid w:val="4B184C3B"/>
    <w:multiLevelType w:val="singleLevel"/>
    <w:tmpl w:val="4B184C3B"/>
    <w:lvl w:ilvl="0" w:tentative="0">
      <w:start w:val="2"/>
      <w:numFmt w:val="chineseCounting"/>
      <w:suff w:val="nothing"/>
      <w:lvlText w:val="%1、"/>
      <w:lvlJc w:val="left"/>
      <w:rPr>
        <w:rFonts w:hint="eastAsia"/>
      </w:rPr>
    </w:lvl>
  </w:abstractNum>
  <w:abstractNum w:abstractNumId="7">
    <w:nsid w:val="698F0130"/>
    <w:multiLevelType w:val="singleLevel"/>
    <w:tmpl w:val="698F0130"/>
    <w:lvl w:ilvl="0" w:tentative="0">
      <w:start w:val="1"/>
      <w:numFmt w:val="decimal"/>
      <w:suff w:val="nothing"/>
      <w:lvlText w:val="%1）"/>
      <w:lvlJc w:val="left"/>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57"/>
      <w:suff w:val="nothing"/>
      <w:lvlText w:val="%1%2　"/>
      <w:lvlJc w:val="left"/>
      <w:pPr>
        <w:ind w:left="0" w:firstLine="0"/>
      </w:pPr>
      <w:rPr>
        <w:rFonts w:hint="eastAsia" w:ascii="黑体" w:hAnsi="Times New Roman" w:eastAsia="黑体"/>
        <w:b w:val="0"/>
        <w:i w:val="0"/>
        <w:sz w:val="21"/>
      </w:rPr>
    </w:lvl>
    <w:lvl w:ilvl="2" w:tentative="0">
      <w:start w:val="1"/>
      <w:numFmt w:val="decimal"/>
      <w:pStyle w:val="56"/>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pStyle w:val="54"/>
      <w:suff w:val="nothing"/>
      <w:lvlText w:val="%1%2.%3.%4.%5　"/>
      <w:lvlJc w:val="left"/>
      <w:pPr>
        <w:ind w:left="0" w:firstLine="0"/>
      </w:pPr>
      <w:rPr>
        <w:rFonts w:hint="eastAsia" w:ascii="黑体" w:hAnsi="Times New Roman" w:eastAsia="黑体"/>
        <w:b w:val="0"/>
        <w:i w:val="0"/>
        <w:sz w:val="21"/>
      </w:rPr>
    </w:lvl>
    <w:lvl w:ilvl="5" w:tentative="0">
      <w:start w:val="1"/>
      <w:numFmt w:val="decimal"/>
      <w:pStyle w:val="5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8"/>
  </w:num>
  <w:num w:numId="2">
    <w:abstractNumId w:val="4"/>
  </w:num>
  <w:num w:numId="3">
    <w:abstractNumId w:val="5"/>
  </w:num>
  <w:num w:numId="4">
    <w:abstractNumId w:val="1"/>
  </w:num>
  <w:num w:numId="5">
    <w:abstractNumId w:val="0"/>
  </w:num>
  <w:num w:numId="6">
    <w:abstractNumId w:val="2"/>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kM2FkM2VkY2QwOWY1MTU2YjI3OGMxMDcxNzcwYzcifQ=="/>
  </w:docVars>
  <w:rsids>
    <w:rsidRoot w:val="00172A27"/>
    <w:rsid w:val="00000B64"/>
    <w:rsid w:val="00001609"/>
    <w:rsid w:val="0000165A"/>
    <w:rsid w:val="00001CE3"/>
    <w:rsid w:val="000046AB"/>
    <w:rsid w:val="00004E65"/>
    <w:rsid w:val="000060B3"/>
    <w:rsid w:val="00011BCE"/>
    <w:rsid w:val="0001233D"/>
    <w:rsid w:val="00013A34"/>
    <w:rsid w:val="000140A0"/>
    <w:rsid w:val="00014D5F"/>
    <w:rsid w:val="00016002"/>
    <w:rsid w:val="000167EF"/>
    <w:rsid w:val="00016F73"/>
    <w:rsid w:val="00017282"/>
    <w:rsid w:val="00017DCC"/>
    <w:rsid w:val="00022650"/>
    <w:rsid w:val="00022B02"/>
    <w:rsid w:val="000243C9"/>
    <w:rsid w:val="0002542C"/>
    <w:rsid w:val="000256F8"/>
    <w:rsid w:val="00025C1B"/>
    <w:rsid w:val="00026FA5"/>
    <w:rsid w:val="0002760C"/>
    <w:rsid w:val="00030064"/>
    <w:rsid w:val="000317BB"/>
    <w:rsid w:val="00032A30"/>
    <w:rsid w:val="000344E7"/>
    <w:rsid w:val="00034694"/>
    <w:rsid w:val="00034C99"/>
    <w:rsid w:val="000354B9"/>
    <w:rsid w:val="0004170E"/>
    <w:rsid w:val="000434B7"/>
    <w:rsid w:val="0004364B"/>
    <w:rsid w:val="00043F18"/>
    <w:rsid w:val="00044D0B"/>
    <w:rsid w:val="0004565B"/>
    <w:rsid w:val="000457BF"/>
    <w:rsid w:val="00046110"/>
    <w:rsid w:val="000469CC"/>
    <w:rsid w:val="00047D30"/>
    <w:rsid w:val="00050B94"/>
    <w:rsid w:val="0005197F"/>
    <w:rsid w:val="000525A0"/>
    <w:rsid w:val="0005591C"/>
    <w:rsid w:val="00055BAE"/>
    <w:rsid w:val="00055C35"/>
    <w:rsid w:val="000564EC"/>
    <w:rsid w:val="00057069"/>
    <w:rsid w:val="0005774B"/>
    <w:rsid w:val="0005793B"/>
    <w:rsid w:val="00061231"/>
    <w:rsid w:val="00061B1F"/>
    <w:rsid w:val="00061DFD"/>
    <w:rsid w:val="00063262"/>
    <w:rsid w:val="000637ED"/>
    <w:rsid w:val="00064A63"/>
    <w:rsid w:val="00067EAB"/>
    <w:rsid w:val="000705F2"/>
    <w:rsid w:val="00070A6F"/>
    <w:rsid w:val="00070E52"/>
    <w:rsid w:val="0007110A"/>
    <w:rsid w:val="00071ADD"/>
    <w:rsid w:val="00071FA8"/>
    <w:rsid w:val="000731D3"/>
    <w:rsid w:val="000733C4"/>
    <w:rsid w:val="00073CB3"/>
    <w:rsid w:val="00074783"/>
    <w:rsid w:val="0007567B"/>
    <w:rsid w:val="00075B95"/>
    <w:rsid w:val="0007650D"/>
    <w:rsid w:val="00076B0A"/>
    <w:rsid w:val="00076EE1"/>
    <w:rsid w:val="00077B66"/>
    <w:rsid w:val="00077FEE"/>
    <w:rsid w:val="0008033C"/>
    <w:rsid w:val="0008070B"/>
    <w:rsid w:val="00080798"/>
    <w:rsid w:val="000810AC"/>
    <w:rsid w:val="00081743"/>
    <w:rsid w:val="00081A02"/>
    <w:rsid w:val="00081A35"/>
    <w:rsid w:val="00081AA4"/>
    <w:rsid w:val="00081E7A"/>
    <w:rsid w:val="00082231"/>
    <w:rsid w:val="000826C6"/>
    <w:rsid w:val="00083717"/>
    <w:rsid w:val="00083C66"/>
    <w:rsid w:val="00083EF5"/>
    <w:rsid w:val="000844AB"/>
    <w:rsid w:val="00084868"/>
    <w:rsid w:val="000870EA"/>
    <w:rsid w:val="00090D2C"/>
    <w:rsid w:val="00092D38"/>
    <w:rsid w:val="000930B5"/>
    <w:rsid w:val="0009377B"/>
    <w:rsid w:val="000941D6"/>
    <w:rsid w:val="0009605F"/>
    <w:rsid w:val="000961BC"/>
    <w:rsid w:val="000977B9"/>
    <w:rsid w:val="000A0736"/>
    <w:rsid w:val="000A1669"/>
    <w:rsid w:val="000A1A3B"/>
    <w:rsid w:val="000A20C9"/>
    <w:rsid w:val="000A39E7"/>
    <w:rsid w:val="000A446E"/>
    <w:rsid w:val="000B00B0"/>
    <w:rsid w:val="000B058F"/>
    <w:rsid w:val="000B0A8A"/>
    <w:rsid w:val="000B18D6"/>
    <w:rsid w:val="000B1C1B"/>
    <w:rsid w:val="000B2B66"/>
    <w:rsid w:val="000B3921"/>
    <w:rsid w:val="000B3D30"/>
    <w:rsid w:val="000B428E"/>
    <w:rsid w:val="000B4467"/>
    <w:rsid w:val="000B4DB9"/>
    <w:rsid w:val="000C09AC"/>
    <w:rsid w:val="000C1C9B"/>
    <w:rsid w:val="000C2854"/>
    <w:rsid w:val="000C5649"/>
    <w:rsid w:val="000C767F"/>
    <w:rsid w:val="000C7DDE"/>
    <w:rsid w:val="000C7FEA"/>
    <w:rsid w:val="000D04E4"/>
    <w:rsid w:val="000D09AF"/>
    <w:rsid w:val="000D1F2E"/>
    <w:rsid w:val="000D203C"/>
    <w:rsid w:val="000D2175"/>
    <w:rsid w:val="000D42A3"/>
    <w:rsid w:val="000D4EAE"/>
    <w:rsid w:val="000D526C"/>
    <w:rsid w:val="000D5A44"/>
    <w:rsid w:val="000D5B70"/>
    <w:rsid w:val="000E00D7"/>
    <w:rsid w:val="000E0187"/>
    <w:rsid w:val="000E0F8E"/>
    <w:rsid w:val="000E1FA1"/>
    <w:rsid w:val="000E2821"/>
    <w:rsid w:val="000E2FE5"/>
    <w:rsid w:val="000E3836"/>
    <w:rsid w:val="000E3ED2"/>
    <w:rsid w:val="000E3F85"/>
    <w:rsid w:val="000E6008"/>
    <w:rsid w:val="000E7333"/>
    <w:rsid w:val="000F0A16"/>
    <w:rsid w:val="000F18CA"/>
    <w:rsid w:val="000F2D2C"/>
    <w:rsid w:val="000F3BBF"/>
    <w:rsid w:val="000F4B11"/>
    <w:rsid w:val="000F59ED"/>
    <w:rsid w:val="000F684C"/>
    <w:rsid w:val="000F7B13"/>
    <w:rsid w:val="00100D9D"/>
    <w:rsid w:val="00100E6C"/>
    <w:rsid w:val="001017F8"/>
    <w:rsid w:val="0010245C"/>
    <w:rsid w:val="001029E6"/>
    <w:rsid w:val="00102CC2"/>
    <w:rsid w:val="00103F13"/>
    <w:rsid w:val="00105BA6"/>
    <w:rsid w:val="00106DC0"/>
    <w:rsid w:val="0011046F"/>
    <w:rsid w:val="001105A4"/>
    <w:rsid w:val="00110DB4"/>
    <w:rsid w:val="00111861"/>
    <w:rsid w:val="001137F1"/>
    <w:rsid w:val="00113EDE"/>
    <w:rsid w:val="0011463A"/>
    <w:rsid w:val="00114CE7"/>
    <w:rsid w:val="00115822"/>
    <w:rsid w:val="00115D8F"/>
    <w:rsid w:val="0012065B"/>
    <w:rsid w:val="00122419"/>
    <w:rsid w:val="0012351A"/>
    <w:rsid w:val="00131F42"/>
    <w:rsid w:val="001321D3"/>
    <w:rsid w:val="00132B07"/>
    <w:rsid w:val="00133EC5"/>
    <w:rsid w:val="0013528E"/>
    <w:rsid w:val="001357F1"/>
    <w:rsid w:val="00136E6A"/>
    <w:rsid w:val="001375A7"/>
    <w:rsid w:val="001404FC"/>
    <w:rsid w:val="00140A85"/>
    <w:rsid w:val="00140FA8"/>
    <w:rsid w:val="00141C46"/>
    <w:rsid w:val="00142A40"/>
    <w:rsid w:val="00142C6A"/>
    <w:rsid w:val="00142FEB"/>
    <w:rsid w:val="00143A2D"/>
    <w:rsid w:val="00144078"/>
    <w:rsid w:val="00144126"/>
    <w:rsid w:val="00145A41"/>
    <w:rsid w:val="00151675"/>
    <w:rsid w:val="00153C98"/>
    <w:rsid w:val="00154BC2"/>
    <w:rsid w:val="00157435"/>
    <w:rsid w:val="00162DAE"/>
    <w:rsid w:val="001634BB"/>
    <w:rsid w:val="00166406"/>
    <w:rsid w:val="001665B3"/>
    <w:rsid w:val="001702D9"/>
    <w:rsid w:val="00170413"/>
    <w:rsid w:val="00170829"/>
    <w:rsid w:val="00171F4D"/>
    <w:rsid w:val="00172A27"/>
    <w:rsid w:val="00172B09"/>
    <w:rsid w:val="00172E91"/>
    <w:rsid w:val="00172F71"/>
    <w:rsid w:val="0017469B"/>
    <w:rsid w:val="00174A8D"/>
    <w:rsid w:val="0017504D"/>
    <w:rsid w:val="00175AE4"/>
    <w:rsid w:val="0017671A"/>
    <w:rsid w:val="00176C15"/>
    <w:rsid w:val="00177422"/>
    <w:rsid w:val="00180866"/>
    <w:rsid w:val="00182733"/>
    <w:rsid w:val="00183CF0"/>
    <w:rsid w:val="00184527"/>
    <w:rsid w:val="00184590"/>
    <w:rsid w:val="0018515C"/>
    <w:rsid w:val="001870D1"/>
    <w:rsid w:val="00187124"/>
    <w:rsid w:val="0018781E"/>
    <w:rsid w:val="00190488"/>
    <w:rsid w:val="00190CA1"/>
    <w:rsid w:val="0019262D"/>
    <w:rsid w:val="00193CAB"/>
    <w:rsid w:val="00193FA7"/>
    <w:rsid w:val="00194B7A"/>
    <w:rsid w:val="00195B3A"/>
    <w:rsid w:val="001970F4"/>
    <w:rsid w:val="001A0EC5"/>
    <w:rsid w:val="001A1B35"/>
    <w:rsid w:val="001A3116"/>
    <w:rsid w:val="001A321B"/>
    <w:rsid w:val="001A3B93"/>
    <w:rsid w:val="001A3D5A"/>
    <w:rsid w:val="001A48A2"/>
    <w:rsid w:val="001A4F9A"/>
    <w:rsid w:val="001A561D"/>
    <w:rsid w:val="001A6E21"/>
    <w:rsid w:val="001A6F61"/>
    <w:rsid w:val="001A73CF"/>
    <w:rsid w:val="001B1DDC"/>
    <w:rsid w:val="001B2380"/>
    <w:rsid w:val="001B31EC"/>
    <w:rsid w:val="001B36A9"/>
    <w:rsid w:val="001B47E9"/>
    <w:rsid w:val="001B6DA2"/>
    <w:rsid w:val="001B72B8"/>
    <w:rsid w:val="001C09DD"/>
    <w:rsid w:val="001C1D02"/>
    <w:rsid w:val="001C215D"/>
    <w:rsid w:val="001C592B"/>
    <w:rsid w:val="001C69B3"/>
    <w:rsid w:val="001D1919"/>
    <w:rsid w:val="001D1BB6"/>
    <w:rsid w:val="001D2776"/>
    <w:rsid w:val="001D4270"/>
    <w:rsid w:val="001D5289"/>
    <w:rsid w:val="001D5595"/>
    <w:rsid w:val="001D56D6"/>
    <w:rsid w:val="001D57C8"/>
    <w:rsid w:val="001D6DA8"/>
    <w:rsid w:val="001D7874"/>
    <w:rsid w:val="001D7F22"/>
    <w:rsid w:val="001E014B"/>
    <w:rsid w:val="001E032D"/>
    <w:rsid w:val="001E2187"/>
    <w:rsid w:val="001E27E2"/>
    <w:rsid w:val="001E3D94"/>
    <w:rsid w:val="001E53F9"/>
    <w:rsid w:val="001E5EF8"/>
    <w:rsid w:val="001E5FFE"/>
    <w:rsid w:val="001E6781"/>
    <w:rsid w:val="001E7D09"/>
    <w:rsid w:val="001F0138"/>
    <w:rsid w:val="001F0E88"/>
    <w:rsid w:val="001F0F17"/>
    <w:rsid w:val="001F1292"/>
    <w:rsid w:val="001F1BBB"/>
    <w:rsid w:val="001F1CD4"/>
    <w:rsid w:val="001F3046"/>
    <w:rsid w:val="001F3347"/>
    <w:rsid w:val="001F5180"/>
    <w:rsid w:val="001F51BA"/>
    <w:rsid w:val="001F69E4"/>
    <w:rsid w:val="00205547"/>
    <w:rsid w:val="00205A97"/>
    <w:rsid w:val="002104B4"/>
    <w:rsid w:val="00210865"/>
    <w:rsid w:val="00211E81"/>
    <w:rsid w:val="00212103"/>
    <w:rsid w:val="002125B4"/>
    <w:rsid w:val="00213B2C"/>
    <w:rsid w:val="00213D68"/>
    <w:rsid w:val="002155B8"/>
    <w:rsid w:val="00216D6F"/>
    <w:rsid w:val="00217078"/>
    <w:rsid w:val="0021748D"/>
    <w:rsid w:val="00224839"/>
    <w:rsid w:val="002249AC"/>
    <w:rsid w:val="002249B2"/>
    <w:rsid w:val="00224B6A"/>
    <w:rsid w:val="00226574"/>
    <w:rsid w:val="002276AA"/>
    <w:rsid w:val="002277FB"/>
    <w:rsid w:val="002278EC"/>
    <w:rsid w:val="002303B4"/>
    <w:rsid w:val="0023280E"/>
    <w:rsid w:val="002353C1"/>
    <w:rsid w:val="00236535"/>
    <w:rsid w:val="002377D1"/>
    <w:rsid w:val="00241F11"/>
    <w:rsid w:val="00244DBC"/>
    <w:rsid w:val="002479BC"/>
    <w:rsid w:val="00247AE6"/>
    <w:rsid w:val="0025047F"/>
    <w:rsid w:val="002506BC"/>
    <w:rsid w:val="00250D87"/>
    <w:rsid w:val="00250EF9"/>
    <w:rsid w:val="00250FE5"/>
    <w:rsid w:val="00251EA6"/>
    <w:rsid w:val="002527A6"/>
    <w:rsid w:val="00253DF9"/>
    <w:rsid w:val="00254345"/>
    <w:rsid w:val="00255ACE"/>
    <w:rsid w:val="00256328"/>
    <w:rsid w:val="002563B9"/>
    <w:rsid w:val="00256FC6"/>
    <w:rsid w:val="00260925"/>
    <w:rsid w:val="00261DE9"/>
    <w:rsid w:val="00263F36"/>
    <w:rsid w:val="00264557"/>
    <w:rsid w:val="00265953"/>
    <w:rsid w:val="00265C59"/>
    <w:rsid w:val="00266C63"/>
    <w:rsid w:val="00267623"/>
    <w:rsid w:val="002677A7"/>
    <w:rsid w:val="00267A9C"/>
    <w:rsid w:val="00267FA1"/>
    <w:rsid w:val="00270F12"/>
    <w:rsid w:val="0027184B"/>
    <w:rsid w:val="00274C0B"/>
    <w:rsid w:val="0027627F"/>
    <w:rsid w:val="002805AB"/>
    <w:rsid w:val="0028089C"/>
    <w:rsid w:val="00281810"/>
    <w:rsid w:val="00282317"/>
    <w:rsid w:val="0028283F"/>
    <w:rsid w:val="0028296E"/>
    <w:rsid w:val="0028328E"/>
    <w:rsid w:val="00283507"/>
    <w:rsid w:val="00283B42"/>
    <w:rsid w:val="002841B9"/>
    <w:rsid w:val="00284204"/>
    <w:rsid w:val="0028702C"/>
    <w:rsid w:val="00290DB2"/>
    <w:rsid w:val="00291773"/>
    <w:rsid w:val="00293A2A"/>
    <w:rsid w:val="00293C6B"/>
    <w:rsid w:val="002950DA"/>
    <w:rsid w:val="00295B9C"/>
    <w:rsid w:val="0029771B"/>
    <w:rsid w:val="002A0867"/>
    <w:rsid w:val="002A12BE"/>
    <w:rsid w:val="002A1439"/>
    <w:rsid w:val="002A168C"/>
    <w:rsid w:val="002A2A88"/>
    <w:rsid w:val="002A3DC7"/>
    <w:rsid w:val="002A5A95"/>
    <w:rsid w:val="002A6ED0"/>
    <w:rsid w:val="002A7645"/>
    <w:rsid w:val="002B1472"/>
    <w:rsid w:val="002B49E2"/>
    <w:rsid w:val="002B73A7"/>
    <w:rsid w:val="002B76CB"/>
    <w:rsid w:val="002B7B00"/>
    <w:rsid w:val="002B7C44"/>
    <w:rsid w:val="002B7FCC"/>
    <w:rsid w:val="002C04DB"/>
    <w:rsid w:val="002C0DBD"/>
    <w:rsid w:val="002C2B17"/>
    <w:rsid w:val="002C33BD"/>
    <w:rsid w:val="002C7287"/>
    <w:rsid w:val="002D0A54"/>
    <w:rsid w:val="002D13F3"/>
    <w:rsid w:val="002D3DB0"/>
    <w:rsid w:val="002D3DD0"/>
    <w:rsid w:val="002D6EB9"/>
    <w:rsid w:val="002D703A"/>
    <w:rsid w:val="002D705F"/>
    <w:rsid w:val="002D76B3"/>
    <w:rsid w:val="002E087B"/>
    <w:rsid w:val="002E170F"/>
    <w:rsid w:val="002E1F3A"/>
    <w:rsid w:val="002E296C"/>
    <w:rsid w:val="002E298A"/>
    <w:rsid w:val="002E31DC"/>
    <w:rsid w:val="002E3B54"/>
    <w:rsid w:val="002E3BEF"/>
    <w:rsid w:val="002E4A1F"/>
    <w:rsid w:val="002E5176"/>
    <w:rsid w:val="002E649E"/>
    <w:rsid w:val="002E6782"/>
    <w:rsid w:val="002E76A2"/>
    <w:rsid w:val="002F1669"/>
    <w:rsid w:val="002F1B1D"/>
    <w:rsid w:val="002F2093"/>
    <w:rsid w:val="002F236D"/>
    <w:rsid w:val="002F34DA"/>
    <w:rsid w:val="002F4391"/>
    <w:rsid w:val="002F4A9E"/>
    <w:rsid w:val="002F6079"/>
    <w:rsid w:val="002F6609"/>
    <w:rsid w:val="002F6F9E"/>
    <w:rsid w:val="003003CB"/>
    <w:rsid w:val="00300515"/>
    <w:rsid w:val="00301978"/>
    <w:rsid w:val="00302E24"/>
    <w:rsid w:val="0030332C"/>
    <w:rsid w:val="00303F5C"/>
    <w:rsid w:val="00304C3E"/>
    <w:rsid w:val="003051C2"/>
    <w:rsid w:val="00307ABA"/>
    <w:rsid w:val="003105ED"/>
    <w:rsid w:val="003118D5"/>
    <w:rsid w:val="00312296"/>
    <w:rsid w:val="003126D8"/>
    <w:rsid w:val="003131BF"/>
    <w:rsid w:val="00314F0E"/>
    <w:rsid w:val="00316E8B"/>
    <w:rsid w:val="0031768E"/>
    <w:rsid w:val="0032010E"/>
    <w:rsid w:val="0032114B"/>
    <w:rsid w:val="00321D8E"/>
    <w:rsid w:val="0032228B"/>
    <w:rsid w:val="003227C4"/>
    <w:rsid w:val="003233C5"/>
    <w:rsid w:val="00324739"/>
    <w:rsid w:val="00324BAF"/>
    <w:rsid w:val="00325928"/>
    <w:rsid w:val="00326522"/>
    <w:rsid w:val="0033154C"/>
    <w:rsid w:val="003324BB"/>
    <w:rsid w:val="00332863"/>
    <w:rsid w:val="00332B81"/>
    <w:rsid w:val="0033314B"/>
    <w:rsid w:val="00334CC3"/>
    <w:rsid w:val="0033684D"/>
    <w:rsid w:val="00336D2B"/>
    <w:rsid w:val="00337B42"/>
    <w:rsid w:val="0034058A"/>
    <w:rsid w:val="003405EF"/>
    <w:rsid w:val="0034197B"/>
    <w:rsid w:val="00341B42"/>
    <w:rsid w:val="00341EF6"/>
    <w:rsid w:val="00342145"/>
    <w:rsid w:val="00342849"/>
    <w:rsid w:val="0034348F"/>
    <w:rsid w:val="00343FD0"/>
    <w:rsid w:val="00346791"/>
    <w:rsid w:val="00346FBE"/>
    <w:rsid w:val="00346FC6"/>
    <w:rsid w:val="003470CE"/>
    <w:rsid w:val="003520EB"/>
    <w:rsid w:val="003529C6"/>
    <w:rsid w:val="0035422D"/>
    <w:rsid w:val="00354382"/>
    <w:rsid w:val="00354ADB"/>
    <w:rsid w:val="00356653"/>
    <w:rsid w:val="003568B5"/>
    <w:rsid w:val="00356C68"/>
    <w:rsid w:val="0035743F"/>
    <w:rsid w:val="00357B36"/>
    <w:rsid w:val="00357BE2"/>
    <w:rsid w:val="00357CCC"/>
    <w:rsid w:val="0036130E"/>
    <w:rsid w:val="00361550"/>
    <w:rsid w:val="0036170C"/>
    <w:rsid w:val="00362D7B"/>
    <w:rsid w:val="00365FF6"/>
    <w:rsid w:val="00366C17"/>
    <w:rsid w:val="00366E0F"/>
    <w:rsid w:val="0036712B"/>
    <w:rsid w:val="00367FBD"/>
    <w:rsid w:val="00370FA3"/>
    <w:rsid w:val="00373038"/>
    <w:rsid w:val="003746D7"/>
    <w:rsid w:val="003756B8"/>
    <w:rsid w:val="00375B3B"/>
    <w:rsid w:val="003760A9"/>
    <w:rsid w:val="003763A4"/>
    <w:rsid w:val="003777FA"/>
    <w:rsid w:val="00380584"/>
    <w:rsid w:val="00380BA8"/>
    <w:rsid w:val="00381361"/>
    <w:rsid w:val="00381A72"/>
    <w:rsid w:val="00381CB2"/>
    <w:rsid w:val="00382568"/>
    <w:rsid w:val="0038282A"/>
    <w:rsid w:val="003831FE"/>
    <w:rsid w:val="00383BFD"/>
    <w:rsid w:val="00384676"/>
    <w:rsid w:val="003867D1"/>
    <w:rsid w:val="003869B4"/>
    <w:rsid w:val="00390281"/>
    <w:rsid w:val="00390584"/>
    <w:rsid w:val="00390857"/>
    <w:rsid w:val="00390996"/>
    <w:rsid w:val="0039350D"/>
    <w:rsid w:val="003935D5"/>
    <w:rsid w:val="00393B05"/>
    <w:rsid w:val="00393C2E"/>
    <w:rsid w:val="00394246"/>
    <w:rsid w:val="0039431E"/>
    <w:rsid w:val="003944D9"/>
    <w:rsid w:val="003945C3"/>
    <w:rsid w:val="00396214"/>
    <w:rsid w:val="00397309"/>
    <w:rsid w:val="003A24B8"/>
    <w:rsid w:val="003A4733"/>
    <w:rsid w:val="003A4BD7"/>
    <w:rsid w:val="003A4BF3"/>
    <w:rsid w:val="003A524B"/>
    <w:rsid w:val="003A6638"/>
    <w:rsid w:val="003A68D6"/>
    <w:rsid w:val="003B420D"/>
    <w:rsid w:val="003B4C54"/>
    <w:rsid w:val="003B59C3"/>
    <w:rsid w:val="003B5C31"/>
    <w:rsid w:val="003B5D75"/>
    <w:rsid w:val="003B67E5"/>
    <w:rsid w:val="003C012D"/>
    <w:rsid w:val="003C1AFF"/>
    <w:rsid w:val="003C2954"/>
    <w:rsid w:val="003C317D"/>
    <w:rsid w:val="003C49CE"/>
    <w:rsid w:val="003C6C16"/>
    <w:rsid w:val="003C6F1A"/>
    <w:rsid w:val="003C72EE"/>
    <w:rsid w:val="003D1243"/>
    <w:rsid w:val="003D135C"/>
    <w:rsid w:val="003D27F4"/>
    <w:rsid w:val="003D2FB7"/>
    <w:rsid w:val="003D3243"/>
    <w:rsid w:val="003D3704"/>
    <w:rsid w:val="003D5DE8"/>
    <w:rsid w:val="003D67FD"/>
    <w:rsid w:val="003D794D"/>
    <w:rsid w:val="003E15EC"/>
    <w:rsid w:val="003E3058"/>
    <w:rsid w:val="003E3177"/>
    <w:rsid w:val="003E5547"/>
    <w:rsid w:val="003E7684"/>
    <w:rsid w:val="003E76A9"/>
    <w:rsid w:val="003F0809"/>
    <w:rsid w:val="003F2079"/>
    <w:rsid w:val="003F628D"/>
    <w:rsid w:val="003F6743"/>
    <w:rsid w:val="003F6A8C"/>
    <w:rsid w:val="003F6C1E"/>
    <w:rsid w:val="003F755C"/>
    <w:rsid w:val="003F7B41"/>
    <w:rsid w:val="0040008D"/>
    <w:rsid w:val="00400A25"/>
    <w:rsid w:val="00401C04"/>
    <w:rsid w:val="00401C15"/>
    <w:rsid w:val="00402DDC"/>
    <w:rsid w:val="00403876"/>
    <w:rsid w:val="00406F01"/>
    <w:rsid w:val="00407321"/>
    <w:rsid w:val="0041037A"/>
    <w:rsid w:val="00410DCC"/>
    <w:rsid w:val="00413B59"/>
    <w:rsid w:val="00414796"/>
    <w:rsid w:val="0041502B"/>
    <w:rsid w:val="00415CAD"/>
    <w:rsid w:val="00416AF0"/>
    <w:rsid w:val="00416D50"/>
    <w:rsid w:val="00416FD5"/>
    <w:rsid w:val="00417409"/>
    <w:rsid w:val="00417425"/>
    <w:rsid w:val="00417772"/>
    <w:rsid w:val="00420E6A"/>
    <w:rsid w:val="004224D7"/>
    <w:rsid w:val="00422A65"/>
    <w:rsid w:val="00423AB4"/>
    <w:rsid w:val="0042432C"/>
    <w:rsid w:val="00425A9E"/>
    <w:rsid w:val="00425ABB"/>
    <w:rsid w:val="00426BE0"/>
    <w:rsid w:val="00426D6B"/>
    <w:rsid w:val="00427291"/>
    <w:rsid w:val="004307DA"/>
    <w:rsid w:val="00430CFE"/>
    <w:rsid w:val="00430D2A"/>
    <w:rsid w:val="00431CEA"/>
    <w:rsid w:val="00431E6C"/>
    <w:rsid w:val="004326E6"/>
    <w:rsid w:val="00433CE7"/>
    <w:rsid w:val="00434434"/>
    <w:rsid w:val="00440D3C"/>
    <w:rsid w:val="0044101B"/>
    <w:rsid w:val="00441AC8"/>
    <w:rsid w:val="00441FC0"/>
    <w:rsid w:val="00443955"/>
    <w:rsid w:val="00443E1D"/>
    <w:rsid w:val="00443FAF"/>
    <w:rsid w:val="0044413C"/>
    <w:rsid w:val="00446AD5"/>
    <w:rsid w:val="0044786E"/>
    <w:rsid w:val="00451658"/>
    <w:rsid w:val="00452738"/>
    <w:rsid w:val="0045309A"/>
    <w:rsid w:val="004537CB"/>
    <w:rsid w:val="0045495D"/>
    <w:rsid w:val="0045526A"/>
    <w:rsid w:val="00455899"/>
    <w:rsid w:val="00456091"/>
    <w:rsid w:val="0045665B"/>
    <w:rsid w:val="00456D02"/>
    <w:rsid w:val="004609A0"/>
    <w:rsid w:val="00461D80"/>
    <w:rsid w:val="00462126"/>
    <w:rsid w:val="004634AE"/>
    <w:rsid w:val="0046520D"/>
    <w:rsid w:val="00465DDA"/>
    <w:rsid w:val="00465FA9"/>
    <w:rsid w:val="00466321"/>
    <w:rsid w:val="004669B3"/>
    <w:rsid w:val="00466EDA"/>
    <w:rsid w:val="00474B41"/>
    <w:rsid w:val="00475A79"/>
    <w:rsid w:val="004762AD"/>
    <w:rsid w:val="00480AFC"/>
    <w:rsid w:val="004825F2"/>
    <w:rsid w:val="00482A6C"/>
    <w:rsid w:val="00483480"/>
    <w:rsid w:val="00484B9B"/>
    <w:rsid w:val="004853B0"/>
    <w:rsid w:val="004855F6"/>
    <w:rsid w:val="0048576D"/>
    <w:rsid w:val="0048661E"/>
    <w:rsid w:val="00490729"/>
    <w:rsid w:val="00492285"/>
    <w:rsid w:val="00492AEC"/>
    <w:rsid w:val="0049347D"/>
    <w:rsid w:val="00494670"/>
    <w:rsid w:val="00494689"/>
    <w:rsid w:val="00494892"/>
    <w:rsid w:val="00494F11"/>
    <w:rsid w:val="0049581E"/>
    <w:rsid w:val="00495CBE"/>
    <w:rsid w:val="004972F6"/>
    <w:rsid w:val="0049776D"/>
    <w:rsid w:val="004978FA"/>
    <w:rsid w:val="004A0F7B"/>
    <w:rsid w:val="004A11AF"/>
    <w:rsid w:val="004A1397"/>
    <w:rsid w:val="004A2C54"/>
    <w:rsid w:val="004A303E"/>
    <w:rsid w:val="004A3823"/>
    <w:rsid w:val="004A38D1"/>
    <w:rsid w:val="004A3C85"/>
    <w:rsid w:val="004A4B27"/>
    <w:rsid w:val="004A5291"/>
    <w:rsid w:val="004A53C7"/>
    <w:rsid w:val="004A585A"/>
    <w:rsid w:val="004A74C1"/>
    <w:rsid w:val="004B0D36"/>
    <w:rsid w:val="004B158F"/>
    <w:rsid w:val="004B58DE"/>
    <w:rsid w:val="004B5915"/>
    <w:rsid w:val="004B734A"/>
    <w:rsid w:val="004C1808"/>
    <w:rsid w:val="004C260C"/>
    <w:rsid w:val="004C2707"/>
    <w:rsid w:val="004C30F6"/>
    <w:rsid w:val="004C3956"/>
    <w:rsid w:val="004C450A"/>
    <w:rsid w:val="004C4B23"/>
    <w:rsid w:val="004C4E88"/>
    <w:rsid w:val="004C58FD"/>
    <w:rsid w:val="004C60CA"/>
    <w:rsid w:val="004C68BD"/>
    <w:rsid w:val="004C7366"/>
    <w:rsid w:val="004C7F33"/>
    <w:rsid w:val="004D0815"/>
    <w:rsid w:val="004D1466"/>
    <w:rsid w:val="004D1CE7"/>
    <w:rsid w:val="004D2195"/>
    <w:rsid w:val="004D22CD"/>
    <w:rsid w:val="004D3EF0"/>
    <w:rsid w:val="004D45EF"/>
    <w:rsid w:val="004D45FA"/>
    <w:rsid w:val="004D494A"/>
    <w:rsid w:val="004E1039"/>
    <w:rsid w:val="004E1C4D"/>
    <w:rsid w:val="004E5091"/>
    <w:rsid w:val="004E5193"/>
    <w:rsid w:val="004E68B1"/>
    <w:rsid w:val="004E6946"/>
    <w:rsid w:val="004F05A5"/>
    <w:rsid w:val="004F1AD8"/>
    <w:rsid w:val="004F2A82"/>
    <w:rsid w:val="004F3CCE"/>
    <w:rsid w:val="004F4138"/>
    <w:rsid w:val="004F5F13"/>
    <w:rsid w:val="004F5FE1"/>
    <w:rsid w:val="004F6080"/>
    <w:rsid w:val="004F63FC"/>
    <w:rsid w:val="004F6709"/>
    <w:rsid w:val="004F70D1"/>
    <w:rsid w:val="004F7A61"/>
    <w:rsid w:val="005000C4"/>
    <w:rsid w:val="00500FD3"/>
    <w:rsid w:val="00502796"/>
    <w:rsid w:val="005039CB"/>
    <w:rsid w:val="00503D49"/>
    <w:rsid w:val="0050413B"/>
    <w:rsid w:val="00504D9E"/>
    <w:rsid w:val="0050558F"/>
    <w:rsid w:val="00506286"/>
    <w:rsid w:val="0050728B"/>
    <w:rsid w:val="00510609"/>
    <w:rsid w:val="00510813"/>
    <w:rsid w:val="00510DE8"/>
    <w:rsid w:val="00511990"/>
    <w:rsid w:val="00511A23"/>
    <w:rsid w:val="00511DE0"/>
    <w:rsid w:val="005139FB"/>
    <w:rsid w:val="00514870"/>
    <w:rsid w:val="00514B9B"/>
    <w:rsid w:val="00515A33"/>
    <w:rsid w:val="005178AD"/>
    <w:rsid w:val="00517F02"/>
    <w:rsid w:val="00520E20"/>
    <w:rsid w:val="005212E6"/>
    <w:rsid w:val="0052135B"/>
    <w:rsid w:val="005216A8"/>
    <w:rsid w:val="00521BAF"/>
    <w:rsid w:val="00524303"/>
    <w:rsid w:val="00525216"/>
    <w:rsid w:val="005256E8"/>
    <w:rsid w:val="005258A2"/>
    <w:rsid w:val="00525FAD"/>
    <w:rsid w:val="00526A28"/>
    <w:rsid w:val="00530B9A"/>
    <w:rsid w:val="00530D53"/>
    <w:rsid w:val="0053201E"/>
    <w:rsid w:val="0053299A"/>
    <w:rsid w:val="00536C81"/>
    <w:rsid w:val="00537B71"/>
    <w:rsid w:val="005401AE"/>
    <w:rsid w:val="005418B6"/>
    <w:rsid w:val="00541D24"/>
    <w:rsid w:val="005425BC"/>
    <w:rsid w:val="00542CA7"/>
    <w:rsid w:val="00542E07"/>
    <w:rsid w:val="00544216"/>
    <w:rsid w:val="005447CB"/>
    <w:rsid w:val="00544FA6"/>
    <w:rsid w:val="00545102"/>
    <w:rsid w:val="00545424"/>
    <w:rsid w:val="005457BB"/>
    <w:rsid w:val="005515FA"/>
    <w:rsid w:val="00552566"/>
    <w:rsid w:val="00552B5C"/>
    <w:rsid w:val="00552C6E"/>
    <w:rsid w:val="00553FF3"/>
    <w:rsid w:val="005541F8"/>
    <w:rsid w:val="00554A7B"/>
    <w:rsid w:val="0055572C"/>
    <w:rsid w:val="00556E26"/>
    <w:rsid w:val="0056106A"/>
    <w:rsid w:val="00561E40"/>
    <w:rsid w:val="0056327F"/>
    <w:rsid w:val="005639FC"/>
    <w:rsid w:val="0056675E"/>
    <w:rsid w:val="00566886"/>
    <w:rsid w:val="00567440"/>
    <w:rsid w:val="00567673"/>
    <w:rsid w:val="00570277"/>
    <w:rsid w:val="00571815"/>
    <w:rsid w:val="005718E4"/>
    <w:rsid w:val="00571B95"/>
    <w:rsid w:val="005720AE"/>
    <w:rsid w:val="005732F1"/>
    <w:rsid w:val="00573AA7"/>
    <w:rsid w:val="00573B6B"/>
    <w:rsid w:val="005743BB"/>
    <w:rsid w:val="00574C18"/>
    <w:rsid w:val="0057761D"/>
    <w:rsid w:val="0057782B"/>
    <w:rsid w:val="005808EC"/>
    <w:rsid w:val="00580FD6"/>
    <w:rsid w:val="0058164A"/>
    <w:rsid w:val="005816D5"/>
    <w:rsid w:val="00582A16"/>
    <w:rsid w:val="0058498D"/>
    <w:rsid w:val="005851CF"/>
    <w:rsid w:val="0058576B"/>
    <w:rsid w:val="0058606F"/>
    <w:rsid w:val="00590F9B"/>
    <w:rsid w:val="00591771"/>
    <w:rsid w:val="005918D4"/>
    <w:rsid w:val="00591FBA"/>
    <w:rsid w:val="00592255"/>
    <w:rsid w:val="00592888"/>
    <w:rsid w:val="00592B0E"/>
    <w:rsid w:val="0059336E"/>
    <w:rsid w:val="005943D9"/>
    <w:rsid w:val="00594A52"/>
    <w:rsid w:val="00594D77"/>
    <w:rsid w:val="005964AC"/>
    <w:rsid w:val="005969E4"/>
    <w:rsid w:val="005A06B7"/>
    <w:rsid w:val="005A080D"/>
    <w:rsid w:val="005A0883"/>
    <w:rsid w:val="005A0B08"/>
    <w:rsid w:val="005A1759"/>
    <w:rsid w:val="005A2684"/>
    <w:rsid w:val="005A35CF"/>
    <w:rsid w:val="005A40A0"/>
    <w:rsid w:val="005A5EE0"/>
    <w:rsid w:val="005A6560"/>
    <w:rsid w:val="005A68A7"/>
    <w:rsid w:val="005A69F0"/>
    <w:rsid w:val="005A6A5B"/>
    <w:rsid w:val="005A6A93"/>
    <w:rsid w:val="005A7A1E"/>
    <w:rsid w:val="005B6BAF"/>
    <w:rsid w:val="005B73C5"/>
    <w:rsid w:val="005B7CF7"/>
    <w:rsid w:val="005B7F29"/>
    <w:rsid w:val="005C022A"/>
    <w:rsid w:val="005C0B9A"/>
    <w:rsid w:val="005C1608"/>
    <w:rsid w:val="005C2A26"/>
    <w:rsid w:val="005C520A"/>
    <w:rsid w:val="005C650B"/>
    <w:rsid w:val="005C6BEE"/>
    <w:rsid w:val="005C6CC1"/>
    <w:rsid w:val="005D096A"/>
    <w:rsid w:val="005D0C78"/>
    <w:rsid w:val="005D143E"/>
    <w:rsid w:val="005D24D3"/>
    <w:rsid w:val="005D36AB"/>
    <w:rsid w:val="005D3714"/>
    <w:rsid w:val="005D3E9C"/>
    <w:rsid w:val="005D3F15"/>
    <w:rsid w:val="005D54E6"/>
    <w:rsid w:val="005D5820"/>
    <w:rsid w:val="005D61BB"/>
    <w:rsid w:val="005D6DBC"/>
    <w:rsid w:val="005D7605"/>
    <w:rsid w:val="005E04CC"/>
    <w:rsid w:val="005E04EB"/>
    <w:rsid w:val="005E0AF0"/>
    <w:rsid w:val="005E0D3B"/>
    <w:rsid w:val="005E2B0B"/>
    <w:rsid w:val="005E31E0"/>
    <w:rsid w:val="005E38BA"/>
    <w:rsid w:val="005E4667"/>
    <w:rsid w:val="005E57BF"/>
    <w:rsid w:val="005E75BC"/>
    <w:rsid w:val="005F1E44"/>
    <w:rsid w:val="005F244F"/>
    <w:rsid w:val="005F34CC"/>
    <w:rsid w:val="005F3DBE"/>
    <w:rsid w:val="005F3E3D"/>
    <w:rsid w:val="005F44F6"/>
    <w:rsid w:val="005F470B"/>
    <w:rsid w:val="005F4DD8"/>
    <w:rsid w:val="005F54B9"/>
    <w:rsid w:val="005F5FC5"/>
    <w:rsid w:val="005F7BE5"/>
    <w:rsid w:val="006019F5"/>
    <w:rsid w:val="006023B8"/>
    <w:rsid w:val="00602526"/>
    <w:rsid w:val="00602530"/>
    <w:rsid w:val="006028EA"/>
    <w:rsid w:val="00604D05"/>
    <w:rsid w:val="0060746F"/>
    <w:rsid w:val="0061235A"/>
    <w:rsid w:val="00612A65"/>
    <w:rsid w:val="006154E0"/>
    <w:rsid w:val="00616017"/>
    <w:rsid w:val="00617CC3"/>
    <w:rsid w:val="00620708"/>
    <w:rsid w:val="00620A2C"/>
    <w:rsid w:val="00620FA8"/>
    <w:rsid w:val="0062149A"/>
    <w:rsid w:val="0062156A"/>
    <w:rsid w:val="00621CC2"/>
    <w:rsid w:val="00622C42"/>
    <w:rsid w:val="00624036"/>
    <w:rsid w:val="00625D25"/>
    <w:rsid w:val="00627B1A"/>
    <w:rsid w:val="00630651"/>
    <w:rsid w:val="00630A23"/>
    <w:rsid w:val="00632AFA"/>
    <w:rsid w:val="00633351"/>
    <w:rsid w:val="00633408"/>
    <w:rsid w:val="00633A02"/>
    <w:rsid w:val="00633C40"/>
    <w:rsid w:val="006345A2"/>
    <w:rsid w:val="006369FB"/>
    <w:rsid w:val="006377A6"/>
    <w:rsid w:val="00637A3D"/>
    <w:rsid w:val="006409AF"/>
    <w:rsid w:val="00641102"/>
    <w:rsid w:val="006411EF"/>
    <w:rsid w:val="006427C8"/>
    <w:rsid w:val="00642CBD"/>
    <w:rsid w:val="006436E5"/>
    <w:rsid w:val="00643C2F"/>
    <w:rsid w:val="00643F29"/>
    <w:rsid w:val="0064543D"/>
    <w:rsid w:val="0064591D"/>
    <w:rsid w:val="006523F0"/>
    <w:rsid w:val="006533AD"/>
    <w:rsid w:val="00657DAB"/>
    <w:rsid w:val="00657DB2"/>
    <w:rsid w:val="006604C5"/>
    <w:rsid w:val="00660C95"/>
    <w:rsid w:val="00661B29"/>
    <w:rsid w:val="006624C8"/>
    <w:rsid w:val="00663147"/>
    <w:rsid w:val="00664263"/>
    <w:rsid w:val="00665249"/>
    <w:rsid w:val="00665CC5"/>
    <w:rsid w:val="0066675C"/>
    <w:rsid w:val="00666C3B"/>
    <w:rsid w:val="006671F8"/>
    <w:rsid w:val="0067053E"/>
    <w:rsid w:val="0067285C"/>
    <w:rsid w:val="00673719"/>
    <w:rsid w:val="006748B8"/>
    <w:rsid w:val="006754FE"/>
    <w:rsid w:val="006769FD"/>
    <w:rsid w:val="00676A2D"/>
    <w:rsid w:val="00677017"/>
    <w:rsid w:val="006775C3"/>
    <w:rsid w:val="00680F17"/>
    <w:rsid w:val="00682BB6"/>
    <w:rsid w:val="00684A83"/>
    <w:rsid w:val="00684AE4"/>
    <w:rsid w:val="00685D35"/>
    <w:rsid w:val="0068632F"/>
    <w:rsid w:val="00691CD9"/>
    <w:rsid w:val="00691D29"/>
    <w:rsid w:val="006926F0"/>
    <w:rsid w:val="0069290A"/>
    <w:rsid w:val="00692B48"/>
    <w:rsid w:val="00693D81"/>
    <w:rsid w:val="00693F46"/>
    <w:rsid w:val="00694632"/>
    <w:rsid w:val="00695227"/>
    <w:rsid w:val="006959E1"/>
    <w:rsid w:val="0069775A"/>
    <w:rsid w:val="00697813"/>
    <w:rsid w:val="006A086D"/>
    <w:rsid w:val="006A0DED"/>
    <w:rsid w:val="006A1541"/>
    <w:rsid w:val="006A1FA5"/>
    <w:rsid w:val="006A28EA"/>
    <w:rsid w:val="006A2C64"/>
    <w:rsid w:val="006A3EE8"/>
    <w:rsid w:val="006A415F"/>
    <w:rsid w:val="006A4827"/>
    <w:rsid w:val="006A6CBA"/>
    <w:rsid w:val="006A72BF"/>
    <w:rsid w:val="006A749B"/>
    <w:rsid w:val="006A7600"/>
    <w:rsid w:val="006A76C3"/>
    <w:rsid w:val="006A794A"/>
    <w:rsid w:val="006B03F2"/>
    <w:rsid w:val="006B0AB4"/>
    <w:rsid w:val="006B19DF"/>
    <w:rsid w:val="006B2331"/>
    <w:rsid w:val="006B2A95"/>
    <w:rsid w:val="006B37DC"/>
    <w:rsid w:val="006B3F72"/>
    <w:rsid w:val="006B44A8"/>
    <w:rsid w:val="006B4F68"/>
    <w:rsid w:val="006B6351"/>
    <w:rsid w:val="006B6CA4"/>
    <w:rsid w:val="006B7908"/>
    <w:rsid w:val="006C0592"/>
    <w:rsid w:val="006C06CD"/>
    <w:rsid w:val="006C0FC6"/>
    <w:rsid w:val="006C272E"/>
    <w:rsid w:val="006C2B76"/>
    <w:rsid w:val="006C2EB3"/>
    <w:rsid w:val="006C3F5D"/>
    <w:rsid w:val="006C47A8"/>
    <w:rsid w:val="006C4BFC"/>
    <w:rsid w:val="006C5479"/>
    <w:rsid w:val="006C5881"/>
    <w:rsid w:val="006C7DCC"/>
    <w:rsid w:val="006C7EFA"/>
    <w:rsid w:val="006D13B5"/>
    <w:rsid w:val="006D160D"/>
    <w:rsid w:val="006D1AC4"/>
    <w:rsid w:val="006D22FE"/>
    <w:rsid w:val="006D29A2"/>
    <w:rsid w:val="006D2CE1"/>
    <w:rsid w:val="006D45A8"/>
    <w:rsid w:val="006D6868"/>
    <w:rsid w:val="006E0710"/>
    <w:rsid w:val="006E09E8"/>
    <w:rsid w:val="006E12FF"/>
    <w:rsid w:val="006E1CE4"/>
    <w:rsid w:val="006E1E6A"/>
    <w:rsid w:val="006E3057"/>
    <w:rsid w:val="006E3549"/>
    <w:rsid w:val="006E3E95"/>
    <w:rsid w:val="006E4A37"/>
    <w:rsid w:val="006E607E"/>
    <w:rsid w:val="006F03E7"/>
    <w:rsid w:val="006F253D"/>
    <w:rsid w:val="006F2C00"/>
    <w:rsid w:val="006F33E5"/>
    <w:rsid w:val="006F3CED"/>
    <w:rsid w:val="006F7839"/>
    <w:rsid w:val="0070062B"/>
    <w:rsid w:val="00700BE9"/>
    <w:rsid w:val="007040DE"/>
    <w:rsid w:val="00705415"/>
    <w:rsid w:val="00705E0B"/>
    <w:rsid w:val="007067EF"/>
    <w:rsid w:val="00706C5D"/>
    <w:rsid w:val="00707761"/>
    <w:rsid w:val="0071108B"/>
    <w:rsid w:val="00711214"/>
    <w:rsid w:val="00711786"/>
    <w:rsid w:val="00712DC1"/>
    <w:rsid w:val="00712E6C"/>
    <w:rsid w:val="00712FD8"/>
    <w:rsid w:val="0071335D"/>
    <w:rsid w:val="00713796"/>
    <w:rsid w:val="00713C77"/>
    <w:rsid w:val="00714331"/>
    <w:rsid w:val="0071586E"/>
    <w:rsid w:val="00715BBB"/>
    <w:rsid w:val="00716588"/>
    <w:rsid w:val="00720970"/>
    <w:rsid w:val="00721164"/>
    <w:rsid w:val="00721344"/>
    <w:rsid w:val="00721525"/>
    <w:rsid w:val="00721E54"/>
    <w:rsid w:val="0072498A"/>
    <w:rsid w:val="00726828"/>
    <w:rsid w:val="00727F75"/>
    <w:rsid w:val="007308AE"/>
    <w:rsid w:val="00730DD9"/>
    <w:rsid w:val="00732922"/>
    <w:rsid w:val="00734106"/>
    <w:rsid w:val="00734B8F"/>
    <w:rsid w:val="00734C4E"/>
    <w:rsid w:val="0073578A"/>
    <w:rsid w:val="007373FA"/>
    <w:rsid w:val="0073761C"/>
    <w:rsid w:val="00737843"/>
    <w:rsid w:val="00737AC1"/>
    <w:rsid w:val="00740C35"/>
    <w:rsid w:val="00741A25"/>
    <w:rsid w:val="0074219B"/>
    <w:rsid w:val="00742968"/>
    <w:rsid w:val="0074378F"/>
    <w:rsid w:val="007442A0"/>
    <w:rsid w:val="0074476C"/>
    <w:rsid w:val="00744C60"/>
    <w:rsid w:val="0074526F"/>
    <w:rsid w:val="007467EE"/>
    <w:rsid w:val="007474B1"/>
    <w:rsid w:val="00747547"/>
    <w:rsid w:val="00747835"/>
    <w:rsid w:val="00747F47"/>
    <w:rsid w:val="0075162E"/>
    <w:rsid w:val="00751D3B"/>
    <w:rsid w:val="007522D5"/>
    <w:rsid w:val="0075350B"/>
    <w:rsid w:val="00754034"/>
    <w:rsid w:val="00754354"/>
    <w:rsid w:val="00756556"/>
    <w:rsid w:val="00756A73"/>
    <w:rsid w:val="007602F9"/>
    <w:rsid w:val="007618C4"/>
    <w:rsid w:val="00761E57"/>
    <w:rsid w:val="00762CAD"/>
    <w:rsid w:val="0076431C"/>
    <w:rsid w:val="00765A0F"/>
    <w:rsid w:val="00765DC8"/>
    <w:rsid w:val="00766808"/>
    <w:rsid w:val="007674BB"/>
    <w:rsid w:val="00767980"/>
    <w:rsid w:val="00767EEB"/>
    <w:rsid w:val="007702C7"/>
    <w:rsid w:val="00770B19"/>
    <w:rsid w:val="00770D66"/>
    <w:rsid w:val="007715E7"/>
    <w:rsid w:val="00773087"/>
    <w:rsid w:val="0077463F"/>
    <w:rsid w:val="0077467A"/>
    <w:rsid w:val="00776EB6"/>
    <w:rsid w:val="0077748A"/>
    <w:rsid w:val="0078220F"/>
    <w:rsid w:val="007836EA"/>
    <w:rsid w:val="00784CDA"/>
    <w:rsid w:val="00784DFF"/>
    <w:rsid w:val="00784F8C"/>
    <w:rsid w:val="00786680"/>
    <w:rsid w:val="007902DC"/>
    <w:rsid w:val="0079036A"/>
    <w:rsid w:val="007906C4"/>
    <w:rsid w:val="00790F17"/>
    <w:rsid w:val="00792051"/>
    <w:rsid w:val="007940EA"/>
    <w:rsid w:val="00794FE6"/>
    <w:rsid w:val="007950DB"/>
    <w:rsid w:val="007954DE"/>
    <w:rsid w:val="00795E72"/>
    <w:rsid w:val="00796451"/>
    <w:rsid w:val="007967E8"/>
    <w:rsid w:val="007A05F2"/>
    <w:rsid w:val="007A0B58"/>
    <w:rsid w:val="007A1CA7"/>
    <w:rsid w:val="007A2170"/>
    <w:rsid w:val="007A22BF"/>
    <w:rsid w:val="007A3323"/>
    <w:rsid w:val="007A4452"/>
    <w:rsid w:val="007A47D3"/>
    <w:rsid w:val="007A534C"/>
    <w:rsid w:val="007B3328"/>
    <w:rsid w:val="007B41D8"/>
    <w:rsid w:val="007B4264"/>
    <w:rsid w:val="007B72B8"/>
    <w:rsid w:val="007B7A58"/>
    <w:rsid w:val="007C0B7D"/>
    <w:rsid w:val="007C17C2"/>
    <w:rsid w:val="007C1B8C"/>
    <w:rsid w:val="007C20D4"/>
    <w:rsid w:val="007C21B5"/>
    <w:rsid w:val="007C654C"/>
    <w:rsid w:val="007C7CA2"/>
    <w:rsid w:val="007D048B"/>
    <w:rsid w:val="007D0BDF"/>
    <w:rsid w:val="007D1099"/>
    <w:rsid w:val="007D1D6D"/>
    <w:rsid w:val="007D4823"/>
    <w:rsid w:val="007D4DC7"/>
    <w:rsid w:val="007D6222"/>
    <w:rsid w:val="007D681B"/>
    <w:rsid w:val="007D6AE1"/>
    <w:rsid w:val="007D6DF1"/>
    <w:rsid w:val="007E0819"/>
    <w:rsid w:val="007E0ABA"/>
    <w:rsid w:val="007E0AE9"/>
    <w:rsid w:val="007E0D82"/>
    <w:rsid w:val="007E23B2"/>
    <w:rsid w:val="007E4BD2"/>
    <w:rsid w:val="007E6362"/>
    <w:rsid w:val="007E7D4E"/>
    <w:rsid w:val="007F70A1"/>
    <w:rsid w:val="007F7570"/>
    <w:rsid w:val="00801393"/>
    <w:rsid w:val="00802D8F"/>
    <w:rsid w:val="00802F88"/>
    <w:rsid w:val="008031B7"/>
    <w:rsid w:val="00803D84"/>
    <w:rsid w:val="00803E96"/>
    <w:rsid w:val="008042F5"/>
    <w:rsid w:val="008049C1"/>
    <w:rsid w:val="00807D05"/>
    <w:rsid w:val="00810440"/>
    <w:rsid w:val="00811BF4"/>
    <w:rsid w:val="00811FD4"/>
    <w:rsid w:val="0081293E"/>
    <w:rsid w:val="00812DE4"/>
    <w:rsid w:val="00814DD4"/>
    <w:rsid w:val="00815465"/>
    <w:rsid w:val="00815DD2"/>
    <w:rsid w:val="00815E7D"/>
    <w:rsid w:val="008165C4"/>
    <w:rsid w:val="00817E9A"/>
    <w:rsid w:val="00821013"/>
    <w:rsid w:val="00821321"/>
    <w:rsid w:val="00824B07"/>
    <w:rsid w:val="008252B7"/>
    <w:rsid w:val="00825570"/>
    <w:rsid w:val="008306BD"/>
    <w:rsid w:val="008313F9"/>
    <w:rsid w:val="008315FD"/>
    <w:rsid w:val="00831A80"/>
    <w:rsid w:val="008327C2"/>
    <w:rsid w:val="00833743"/>
    <w:rsid w:val="008340A4"/>
    <w:rsid w:val="0083426F"/>
    <w:rsid w:val="0083461F"/>
    <w:rsid w:val="00834F86"/>
    <w:rsid w:val="008365C3"/>
    <w:rsid w:val="00837E29"/>
    <w:rsid w:val="00841207"/>
    <w:rsid w:val="00841F1A"/>
    <w:rsid w:val="00842173"/>
    <w:rsid w:val="0084395C"/>
    <w:rsid w:val="00850835"/>
    <w:rsid w:val="00851F14"/>
    <w:rsid w:val="00853299"/>
    <w:rsid w:val="00860459"/>
    <w:rsid w:val="00860D41"/>
    <w:rsid w:val="0086350B"/>
    <w:rsid w:val="00863C1F"/>
    <w:rsid w:val="00863D69"/>
    <w:rsid w:val="0087135F"/>
    <w:rsid w:val="00872D94"/>
    <w:rsid w:val="00874CCC"/>
    <w:rsid w:val="00875CE1"/>
    <w:rsid w:val="00876DE9"/>
    <w:rsid w:val="00880364"/>
    <w:rsid w:val="008822D1"/>
    <w:rsid w:val="008824AB"/>
    <w:rsid w:val="00882E67"/>
    <w:rsid w:val="008839E1"/>
    <w:rsid w:val="00883FC6"/>
    <w:rsid w:val="00884265"/>
    <w:rsid w:val="00884F96"/>
    <w:rsid w:val="00887510"/>
    <w:rsid w:val="00890DF5"/>
    <w:rsid w:val="00891592"/>
    <w:rsid w:val="00891C24"/>
    <w:rsid w:val="00891D61"/>
    <w:rsid w:val="00891E9E"/>
    <w:rsid w:val="00892380"/>
    <w:rsid w:val="00893927"/>
    <w:rsid w:val="00894ED1"/>
    <w:rsid w:val="0089756E"/>
    <w:rsid w:val="00897C85"/>
    <w:rsid w:val="00897D70"/>
    <w:rsid w:val="008A0588"/>
    <w:rsid w:val="008A1767"/>
    <w:rsid w:val="008A17F3"/>
    <w:rsid w:val="008A2F68"/>
    <w:rsid w:val="008A3667"/>
    <w:rsid w:val="008A3B18"/>
    <w:rsid w:val="008A6217"/>
    <w:rsid w:val="008A7ED0"/>
    <w:rsid w:val="008B36BE"/>
    <w:rsid w:val="008B36F2"/>
    <w:rsid w:val="008B4FA6"/>
    <w:rsid w:val="008B5282"/>
    <w:rsid w:val="008B5E61"/>
    <w:rsid w:val="008B7C17"/>
    <w:rsid w:val="008C04F2"/>
    <w:rsid w:val="008C1BB1"/>
    <w:rsid w:val="008C2029"/>
    <w:rsid w:val="008C25AA"/>
    <w:rsid w:val="008C2D01"/>
    <w:rsid w:val="008C3614"/>
    <w:rsid w:val="008C40E6"/>
    <w:rsid w:val="008C4AC1"/>
    <w:rsid w:val="008C6969"/>
    <w:rsid w:val="008C6C7A"/>
    <w:rsid w:val="008D0017"/>
    <w:rsid w:val="008D0248"/>
    <w:rsid w:val="008D0F7A"/>
    <w:rsid w:val="008D2468"/>
    <w:rsid w:val="008D4130"/>
    <w:rsid w:val="008D4929"/>
    <w:rsid w:val="008D68E4"/>
    <w:rsid w:val="008D7DC5"/>
    <w:rsid w:val="008E0506"/>
    <w:rsid w:val="008E0C09"/>
    <w:rsid w:val="008E0CFF"/>
    <w:rsid w:val="008E36E6"/>
    <w:rsid w:val="008E59B3"/>
    <w:rsid w:val="008E5D6B"/>
    <w:rsid w:val="008E6896"/>
    <w:rsid w:val="008E76F0"/>
    <w:rsid w:val="008F0143"/>
    <w:rsid w:val="008F116B"/>
    <w:rsid w:val="008F11B6"/>
    <w:rsid w:val="008F15FE"/>
    <w:rsid w:val="008F1EEE"/>
    <w:rsid w:val="008F1FFE"/>
    <w:rsid w:val="008F2B72"/>
    <w:rsid w:val="008F2D29"/>
    <w:rsid w:val="008F34AA"/>
    <w:rsid w:val="008F4EAB"/>
    <w:rsid w:val="008F5187"/>
    <w:rsid w:val="008F60D8"/>
    <w:rsid w:val="008F670F"/>
    <w:rsid w:val="008F6E5E"/>
    <w:rsid w:val="009007AE"/>
    <w:rsid w:val="0090246E"/>
    <w:rsid w:val="00902727"/>
    <w:rsid w:val="0090312B"/>
    <w:rsid w:val="0090328D"/>
    <w:rsid w:val="009044CE"/>
    <w:rsid w:val="00904ED5"/>
    <w:rsid w:val="00905CE3"/>
    <w:rsid w:val="0090639E"/>
    <w:rsid w:val="0091007E"/>
    <w:rsid w:val="00911113"/>
    <w:rsid w:val="009119F5"/>
    <w:rsid w:val="00912EA9"/>
    <w:rsid w:val="00914D8D"/>
    <w:rsid w:val="0091532D"/>
    <w:rsid w:val="0091736D"/>
    <w:rsid w:val="00917378"/>
    <w:rsid w:val="009208F1"/>
    <w:rsid w:val="0092293E"/>
    <w:rsid w:val="009232B1"/>
    <w:rsid w:val="009233B0"/>
    <w:rsid w:val="0092653B"/>
    <w:rsid w:val="00927975"/>
    <w:rsid w:val="00930317"/>
    <w:rsid w:val="0093037A"/>
    <w:rsid w:val="00930395"/>
    <w:rsid w:val="00930D44"/>
    <w:rsid w:val="00930ED8"/>
    <w:rsid w:val="00931014"/>
    <w:rsid w:val="0093200D"/>
    <w:rsid w:val="00932B54"/>
    <w:rsid w:val="0093459B"/>
    <w:rsid w:val="00935A84"/>
    <w:rsid w:val="009368C9"/>
    <w:rsid w:val="00940048"/>
    <w:rsid w:val="0094081D"/>
    <w:rsid w:val="0094154D"/>
    <w:rsid w:val="00941A24"/>
    <w:rsid w:val="00941B04"/>
    <w:rsid w:val="009427EC"/>
    <w:rsid w:val="00943062"/>
    <w:rsid w:val="00943310"/>
    <w:rsid w:val="0094370B"/>
    <w:rsid w:val="0094604F"/>
    <w:rsid w:val="00946069"/>
    <w:rsid w:val="009464C9"/>
    <w:rsid w:val="009468BD"/>
    <w:rsid w:val="00946C1A"/>
    <w:rsid w:val="0095155F"/>
    <w:rsid w:val="009522CE"/>
    <w:rsid w:val="00953A32"/>
    <w:rsid w:val="00953B37"/>
    <w:rsid w:val="00954429"/>
    <w:rsid w:val="009557A1"/>
    <w:rsid w:val="0095592F"/>
    <w:rsid w:val="009563CE"/>
    <w:rsid w:val="00956A55"/>
    <w:rsid w:val="009576CE"/>
    <w:rsid w:val="00957FA1"/>
    <w:rsid w:val="00960A7C"/>
    <w:rsid w:val="00961FB8"/>
    <w:rsid w:val="00962D0B"/>
    <w:rsid w:val="009636B3"/>
    <w:rsid w:val="00966F06"/>
    <w:rsid w:val="00970259"/>
    <w:rsid w:val="00971D0B"/>
    <w:rsid w:val="00972D5F"/>
    <w:rsid w:val="00972FE8"/>
    <w:rsid w:val="00973EF9"/>
    <w:rsid w:val="00974032"/>
    <w:rsid w:val="00976328"/>
    <w:rsid w:val="0097680D"/>
    <w:rsid w:val="00976A89"/>
    <w:rsid w:val="00976EF6"/>
    <w:rsid w:val="009774D4"/>
    <w:rsid w:val="00982016"/>
    <w:rsid w:val="009820A0"/>
    <w:rsid w:val="00982438"/>
    <w:rsid w:val="00983BFF"/>
    <w:rsid w:val="0098404C"/>
    <w:rsid w:val="00985133"/>
    <w:rsid w:val="00985283"/>
    <w:rsid w:val="009853EE"/>
    <w:rsid w:val="009853F5"/>
    <w:rsid w:val="009858B0"/>
    <w:rsid w:val="009904CC"/>
    <w:rsid w:val="009912B9"/>
    <w:rsid w:val="00991FA5"/>
    <w:rsid w:val="00992B2F"/>
    <w:rsid w:val="0099476B"/>
    <w:rsid w:val="00995992"/>
    <w:rsid w:val="00996932"/>
    <w:rsid w:val="009975BB"/>
    <w:rsid w:val="00997894"/>
    <w:rsid w:val="009A03E5"/>
    <w:rsid w:val="009A0CA3"/>
    <w:rsid w:val="009A0CC5"/>
    <w:rsid w:val="009A0E32"/>
    <w:rsid w:val="009A0F3B"/>
    <w:rsid w:val="009A0F43"/>
    <w:rsid w:val="009A1BB4"/>
    <w:rsid w:val="009A2628"/>
    <w:rsid w:val="009A3008"/>
    <w:rsid w:val="009A3200"/>
    <w:rsid w:val="009A3F86"/>
    <w:rsid w:val="009A70AE"/>
    <w:rsid w:val="009B02EF"/>
    <w:rsid w:val="009B06DF"/>
    <w:rsid w:val="009B0897"/>
    <w:rsid w:val="009B1C64"/>
    <w:rsid w:val="009B36BF"/>
    <w:rsid w:val="009B5969"/>
    <w:rsid w:val="009B6082"/>
    <w:rsid w:val="009B7BD9"/>
    <w:rsid w:val="009C360D"/>
    <w:rsid w:val="009C51FC"/>
    <w:rsid w:val="009C7D8A"/>
    <w:rsid w:val="009C7DD5"/>
    <w:rsid w:val="009D195A"/>
    <w:rsid w:val="009D1E41"/>
    <w:rsid w:val="009D3470"/>
    <w:rsid w:val="009D3CDE"/>
    <w:rsid w:val="009D43D2"/>
    <w:rsid w:val="009D440E"/>
    <w:rsid w:val="009D4678"/>
    <w:rsid w:val="009D5717"/>
    <w:rsid w:val="009D5DFB"/>
    <w:rsid w:val="009D61FB"/>
    <w:rsid w:val="009D7814"/>
    <w:rsid w:val="009D7CAE"/>
    <w:rsid w:val="009E00AE"/>
    <w:rsid w:val="009E227D"/>
    <w:rsid w:val="009E2D9B"/>
    <w:rsid w:val="009E5019"/>
    <w:rsid w:val="009E528B"/>
    <w:rsid w:val="009E52B0"/>
    <w:rsid w:val="009E678E"/>
    <w:rsid w:val="009E685B"/>
    <w:rsid w:val="009E6AD2"/>
    <w:rsid w:val="009F164C"/>
    <w:rsid w:val="009F2E8B"/>
    <w:rsid w:val="009F4C45"/>
    <w:rsid w:val="009F7636"/>
    <w:rsid w:val="00A00980"/>
    <w:rsid w:val="00A00CF2"/>
    <w:rsid w:val="00A011E4"/>
    <w:rsid w:val="00A01824"/>
    <w:rsid w:val="00A024A6"/>
    <w:rsid w:val="00A0409C"/>
    <w:rsid w:val="00A04D46"/>
    <w:rsid w:val="00A04F1B"/>
    <w:rsid w:val="00A0501B"/>
    <w:rsid w:val="00A0512A"/>
    <w:rsid w:val="00A05A9E"/>
    <w:rsid w:val="00A05BA8"/>
    <w:rsid w:val="00A062EA"/>
    <w:rsid w:val="00A0636D"/>
    <w:rsid w:val="00A06999"/>
    <w:rsid w:val="00A119AA"/>
    <w:rsid w:val="00A12062"/>
    <w:rsid w:val="00A13695"/>
    <w:rsid w:val="00A14947"/>
    <w:rsid w:val="00A14DB5"/>
    <w:rsid w:val="00A161F5"/>
    <w:rsid w:val="00A162C2"/>
    <w:rsid w:val="00A16BD0"/>
    <w:rsid w:val="00A16E8B"/>
    <w:rsid w:val="00A1707B"/>
    <w:rsid w:val="00A1772B"/>
    <w:rsid w:val="00A17C77"/>
    <w:rsid w:val="00A209B7"/>
    <w:rsid w:val="00A20E8A"/>
    <w:rsid w:val="00A2125F"/>
    <w:rsid w:val="00A217FA"/>
    <w:rsid w:val="00A22CD8"/>
    <w:rsid w:val="00A230E1"/>
    <w:rsid w:val="00A23328"/>
    <w:rsid w:val="00A23561"/>
    <w:rsid w:val="00A2415D"/>
    <w:rsid w:val="00A2456D"/>
    <w:rsid w:val="00A246A1"/>
    <w:rsid w:val="00A24AD1"/>
    <w:rsid w:val="00A252FA"/>
    <w:rsid w:val="00A254CE"/>
    <w:rsid w:val="00A25595"/>
    <w:rsid w:val="00A26DDF"/>
    <w:rsid w:val="00A3134A"/>
    <w:rsid w:val="00A3180F"/>
    <w:rsid w:val="00A324FD"/>
    <w:rsid w:val="00A327D9"/>
    <w:rsid w:val="00A32A60"/>
    <w:rsid w:val="00A32A83"/>
    <w:rsid w:val="00A32E27"/>
    <w:rsid w:val="00A3340B"/>
    <w:rsid w:val="00A33994"/>
    <w:rsid w:val="00A34F79"/>
    <w:rsid w:val="00A35A71"/>
    <w:rsid w:val="00A368DB"/>
    <w:rsid w:val="00A36A47"/>
    <w:rsid w:val="00A36E4B"/>
    <w:rsid w:val="00A37287"/>
    <w:rsid w:val="00A3742A"/>
    <w:rsid w:val="00A41861"/>
    <w:rsid w:val="00A423AA"/>
    <w:rsid w:val="00A42F31"/>
    <w:rsid w:val="00A436E6"/>
    <w:rsid w:val="00A43797"/>
    <w:rsid w:val="00A43BFF"/>
    <w:rsid w:val="00A4463F"/>
    <w:rsid w:val="00A47114"/>
    <w:rsid w:val="00A474A7"/>
    <w:rsid w:val="00A509D6"/>
    <w:rsid w:val="00A53EC6"/>
    <w:rsid w:val="00A545CF"/>
    <w:rsid w:val="00A55694"/>
    <w:rsid w:val="00A55C0F"/>
    <w:rsid w:val="00A613B7"/>
    <w:rsid w:val="00A61AD8"/>
    <w:rsid w:val="00A61ADF"/>
    <w:rsid w:val="00A64728"/>
    <w:rsid w:val="00A64A65"/>
    <w:rsid w:val="00A65728"/>
    <w:rsid w:val="00A70F8A"/>
    <w:rsid w:val="00A72A7B"/>
    <w:rsid w:val="00A746DC"/>
    <w:rsid w:val="00A75039"/>
    <w:rsid w:val="00A75DD8"/>
    <w:rsid w:val="00A75ED3"/>
    <w:rsid w:val="00A80CE8"/>
    <w:rsid w:val="00A80D82"/>
    <w:rsid w:val="00A8355A"/>
    <w:rsid w:val="00A83D1E"/>
    <w:rsid w:val="00A85311"/>
    <w:rsid w:val="00A86D6F"/>
    <w:rsid w:val="00A8707C"/>
    <w:rsid w:val="00A8713F"/>
    <w:rsid w:val="00A905DD"/>
    <w:rsid w:val="00A90BA1"/>
    <w:rsid w:val="00A924FA"/>
    <w:rsid w:val="00A933C4"/>
    <w:rsid w:val="00A96CBB"/>
    <w:rsid w:val="00A97A9A"/>
    <w:rsid w:val="00AA0197"/>
    <w:rsid w:val="00AA0671"/>
    <w:rsid w:val="00AA130C"/>
    <w:rsid w:val="00AA1E28"/>
    <w:rsid w:val="00AA2019"/>
    <w:rsid w:val="00AA2531"/>
    <w:rsid w:val="00AA3A16"/>
    <w:rsid w:val="00AA4ABC"/>
    <w:rsid w:val="00AA6B07"/>
    <w:rsid w:val="00AB1E09"/>
    <w:rsid w:val="00AB333E"/>
    <w:rsid w:val="00AB4595"/>
    <w:rsid w:val="00AB52ED"/>
    <w:rsid w:val="00AB5330"/>
    <w:rsid w:val="00AB5B87"/>
    <w:rsid w:val="00AB6DA8"/>
    <w:rsid w:val="00AB7747"/>
    <w:rsid w:val="00AC14CE"/>
    <w:rsid w:val="00AC2A56"/>
    <w:rsid w:val="00AC35A7"/>
    <w:rsid w:val="00AC377B"/>
    <w:rsid w:val="00AC3D1D"/>
    <w:rsid w:val="00AC40DF"/>
    <w:rsid w:val="00AC4389"/>
    <w:rsid w:val="00AC6B8C"/>
    <w:rsid w:val="00AD0057"/>
    <w:rsid w:val="00AD055E"/>
    <w:rsid w:val="00AD065D"/>
    <w:rsid w:val="00AD200C"/>
    <w:rsid w:val="00AD3326"/>
    <w:rsid w:val="00AD3FD8"/>
    <w:rsid w:val="00AD47A7"/>
    <w:rsid w:val="00AD6E72"/>
    <w:rsid w:val="00AD778C"/>
    <w:rsid w:val="00AD79DD"/>
    <w:rsid w:val="00AD7BC6"/>
    <w:rsid w:val="00AE1AFE"/>
    <w:rsid w:val="00AE1EF4"/>
    <w:rsid w:val="00AE2353"/>
    <w:rsid w:val="00AE54FD"/>
    <w:rsid w:val="00AE75F6"/>
    <w:rsid w:val="00AF0CBF"/>
    <w:rsid w:val="00AF2279"/>
    <w:rsid w:val="00AF2307"/>
    <w:rsid w:val="00AF257F"/>
    <w:rsid w:val="00AF2B72"/>
    <w:rsid w:val="00AF3346"/>
    <w:rsid w:val="00AF33CF"/>
    <w:rsid w:val="00AF3D0F"/>
    <w:rsid w:val="00AF4A53"/>
    <w:rsid w:val="00AF4B67"/>
    <w:rsid w:val="00AF4D50"/>
    <w:rsid w:val="00AF59EF"/>
    <w:rsid w:val="00AF6179"/>
    <w:rsid w:val="00AF646A"/>
    <w:rsid w:val="00B013D9"/>
    <w:rsid w:val="00B017A2"/>
    <w:rsid w:val="00B01C3F"/>
    <w:rsid w:val="00B01C80"/>
    <w:rsid w:val="00B024F3"/>
    <w:rsid w:val="00B032A4"/>
    <w:rsid w:val="00B06668"/>
    <w:rsid w:val="00B06BAE"/>
    <w:rsid w:val="00B075F1"/>
    <w:rsid w:val="00B07A37"/>
    <w:rsid w:val="00B117B5"/>
    <w:rsid w:val="00B1295A"/>
    <w:rsid w:val="00B12A68"/>
    <w:rsid w:val="00B14727"/>
    <w:rsid w:val="00B14CDF"/>
    <w:rsid w:val="00B158E0"/>
    <w:rsid w:val="00B16417"/>
    <w:rsid w:val="00B1768F"/>
    <w:rsid w:val="00B17A30"/>
    <w:rsid w:val="00B20A45"/>
    <w:rsid w:val="00B22442"/>
    <w:rsid w:val="00B22C5C"/>
    <w:rsid w:val="00B235AE"/>
    <w:rsid w:val="00B2360F"/>
    <w:rsid w:val="00B23F5F"/>
    <w:rsid w:val="00B24D55"/>
    <w:rsid w:val="00B24F30"/>
    <w:rsid w:val="00B25528"/>
    <w:rsid w:val="00B25E76"/>
    <w:rsid w:val="00B27A08"/>
    <w:rsid w:val="00B27DC0"/>
    <w:rsid w:val="00B31ABF"/>
    <w:rsid w:val="00B32604"/>
    <w:rsid w:val="00B326EB"/>
    <w:rsid w:val="00B336EC"/>
    <w:rsid w:val="00B33BE3"/>
    <w:rsid w:val="00B344E8"/>
    <w:rsid w:val="00B34E64"/>
    <w:rsid w:val="00B35E2E"/>
    <w:rsid w:val="00B36EA9"/>
    <w:rsid w:val="00B402F5"/>
    <w:rsid w:val="00B40D7C"/>
    <w:rsid w:val="00B419DF"/>
    <w:rsid w:val="00B41ADE"/>
    <w:rsid w:val="00B431E1"/>
    <w:rsid w:val="00B448BC"/>
    <w:rsid w:val="00B45C89"/>
    <w:rsid w:val="00B4692F"/>
    <w:rsid w:val="00B502C8"/>
    <w:rsid w:val="00B518C1"/>
    <w:rsid w:val="00B51CCD"/>
    <w:rsid w:val="00B51FA5"/>
    <w:rsid w:val="00B53710"/>
    <w:rsid w:val="00B53AB8"/>
    <w:rsid w:val="00B53B5D"/>
    <w:rsid w:val="00B54488"/>
    <w:rsid w:val="00B6055E"/>
    <w:rsid w:val="00B6108E"/>
    <w:rsid w:val="00B61122"/>
    <w:rsid w:val="00B6123C"/>
    <w:rsid w:val="00B6132E"/>
    <w:rsid w:val="00B614FE"/>
    <w:rsid w:val="00B61B26"/>
    <w:rsid w:val="00B62FF6"/>
    <w:rsid w:val="00B6317D"/>
    <w:rsid w:val="00B63DD2"/>
    <w:rsid w:val="00B63F09"/>
    <w:rsid w:val="00B6461A"/>
    <w:rsid w:val="00B64D8D"/>
    <w:rsid w:val="00B65EE1"/>
    <w:rsid w:val="00B660AD"/>
    <w:rsid w:val="00B665D3"/>
    <w:rsid w:val="00B66D0E"/>
    <w:rsid w:val="00B66F51"/>
    <w:rsid w:val="00B70C11"/>
    <w:rsid w:val="00B71407"/>
    <w:rsid w:val="00B7351C"/>
    <w:rsid w:val="00B73F2D"/>
    <w:rsid w:val="00B745C5"/>
    <w:rsid w:val="00B74DCD"/>
    <w:rsid w:val="00B76251"/>
    <w:rsid w:val="00B7723F"/>
    <w:rsid w:val="00B80534"/>
    <w:rsid w:val="00B80EC4"/>
    <w:rsid w:val="00B81147"/>
    <w:rsid w:val="00B81327"/>
    <w:rsid w:val="00B83968"/>
    <w:rsid w:val="00B8433C"/>
    <w:rsid w:val="00B8553F"/>
    <w:rsid w:val="00B87491"/>
    <w:rsid w:val="00B879BB"/>
    <w:rsid w:val="00B91F54"/>
    <w:rsid w:val="00B93D1C"/>
    <w:rsid w:val="00B9403B"/>
    <w:rsid w:val="00B9523F"/>
    <w:rsid w:val="00B97517"/>
    <w:rsid w:val="00BA29E9"/>
    <w:rsid w:val="00BA2C93"/>
    <w:rsid w:val="00BA2EF1"/>
    <w:rsid w:val="00BA2F00"/>
    <w:rsid w:val="00BA38A0"/>
    <w:rsid w:val="00BA3F1C"/>
    <w:rsid w:val="00BA70E5"/>
    <w:rsid w:val="00BA7142"/>
    <w:rsid w:val="00BA79EC"/>
    <w:rsid w:val="00BA7F1D"/>
    <w:rsid w:val="00BB0711"/>
    <w:rsid w:val="00BB13DD"/>
    <w:rsid w:val="00BB237C"/>
    <w:rsid w:val="00BB39B8"/>
    <w:rsid w:val="00BB3AA3"/>
    <w:rsid w:val="00BB41A3"/>
    <w:rsid w:val="00BB5DC9"/>
    <w:rsid w:val="00BB5F21"/>
    <w:rsid w:val="00BB63A4"/>
    <w:rsid w:val="00BC0AFE"/>
    <w:rsid w:val="00BC1F96"/>
    <w:rsid w:val="00BC2ED4"/>
    <w:rsid w:val="00BC32DC"/>
    <w:rsid w:val="00BC35B6"/>
    <w:rsid w:val="00BC660F"/>
    <w:rsid w:val="00BD1B51"/>
    <w:rsid w:val="00BD1FA3"/>
    <w:rsid w:val="00BD22DE"/>
    <w:rsid w:val="00BD4596"/>
    <w:rsid w:val="00BD4AA2"/>
    <w:rsid w:val="00BD5DC1"/>
    <w:rsid w:val="00BE0EA4"/>
    <w:rsid w:val="00BE1405"/>
    <w:rsid w:val="00BE312D"/>
    <w:rsid w:val="00BE3918"/>
    <w:rsid w:val="00BE54B3"/>
    <w:rsid w:val="00BE63EB"/>
    <w:rsid w:val="00BE780D"/>
    <w:rsid w:val="00BE7D43"/>
    <w:rsid w:val="00BE7DA6"/>
    <w:rsid w:val="00BF00AC"/>
    <w:rsid w:val="00BF01B0"/>
    <w:rsid w:val="00BF16AB"/>
    <w:rsid w:val="00BF1C20"/>
    <w:rsid w:val="00BF1F89"/>
    <w:rsid w:val="00BF2BB3"/>
    <w:rsid w:val="00BF3BA8"/>
    <w:rsid w:val="00BF45EE"/>
    <w:rsid w:val="00BF4634"/>
    <w:rsid w:val="00BF762F"/>
    <w:rsid w:val="00C01281"/>
    <w:rsid w:val="00C03123"/>
    <w:rsid w:val="00C04285"/>
    <w:rsid w:val="00C05A69"/>
    <w:rsid w:val="00C05C2D"/>
    <w:rsid w:val="00C05C6F"/>
    <w:rsid w:val="00C07180"/>
    <w:rsid w:val="00C1031F"/>
    <w:rsid w:val="00C10578"/>
    <w:rsid w:val="00C116AC"/>
    <w:rsid w:val="00C1231C"/>
    <w:rsid w:val="00C12516"/>
    <w:rsid w:val="00C133B1"/>
    <w:rsid w:val="00C135BC"/>
    <w:rsid w:val="00C14758"/>
    <w:rsid w:val="00C14759"/>
    <w:rsid w:val="00C15C95"/>
    <w:rsid w:val="00C16825"/>
    <w:rsid w:val="00C1726E"/>
    <w:rsid w:val="00C20BE7"/>
    <w:rsid w:val="00C21B58"/>
    <w:rsid w:val="00C2291F"/>
    <w:rsid w:val="00C23B0B"/>
    <w:rsid w:val="00C24143"/>
    <w:rsid w:val="00C24D0A"/>
    <w:rsid w:val="00C2596A"/>
    <w:rsid w:val="00C25CD0"/>
    <w:rsid w:val="00C269EA"/>
    <w:rsid w:val="00C26BA0"/>
    <w:rsid w:val="00C27537"/>
    <w:rsid w:val="00C2769B"/>
    <w:rsid w:val="00C30970"/>
    <w:rsid w:val="00C30FB5"/>
    <w:rsid w:val="00C328FE"/>
    <w:rsid w:val="00C33507"/>
    <w:rsid w:val="00C344E8"/>
    <w:rsid w:val="00C34CB9"/>
    <w:rsid w:val="00C34E3A"/>
    <w:rsid w:val="00C35556"/>
    <w:rsid w:val="00C35A8C"/>
    <w:rsid w:val="00C364DF"/>
    <w:rsid w:val="00C40A18"/>
    <w:rsid w:val="00C414DC"/>
    <w:rsid w:val="00C4409D"/>
    <w:rsid w:val="00C442AC"/>
    <w:rsid w:val="00C44E72"/>
    <w:rsid w:val="00C45A06"/>
    <w:rsid w:val="00C45A62"/>
    <w:rsid w:val="00C47566"/>
    <w:rsid w:val="00C47E5B"/>
    <w:rsid w:val="00C50313"/>
    <w:rsid w:val="00C50A43"/>
    <w:rsid w:val="00C52576"/>
    <w:rsid w:val="00C52F9D"/>
    <w:rsid w:val="00C54A66"/>
    <w:rsid w:val="00C557AA"/>
    <w:rsid w:val="00C55F78"/>
    <w:rsid w:val="00C562C6"/>
    <w:rsid w:val="00C607C4"/>
    <w:rsid w:val="00C61E4B"/>
    <w:rsid w:val="00C63ED0"/>
    <w:rsid w:val="00C64BFF"/>
    <w:rsid w:val="00C704E9"/>
    <w:rsid w:val="00C7073C"/>
    <w:rsid w:val="00C70871"/>
    <w:rsid w:val="00C7272E"/>
    <w:rsid w:val="00C72C16"/>
    <w:rsid w:val="00C734C6"/>
    <w:rsid w:val="00C73C32"/>
    <w:rsid w:val="00C75967"/>
    <w:rsid w:val="00C76363"/>
    <w:rsid w:val="00C763C9"/>
    <w:rsid w:val="00C766D3"/>
    <w:rsid w:val="00C76766"/>
    <w:rsid w:val="00C76D98"/>
    <w:rsid w:val="00C77393"/>
    <w:rsid w:val="00C77878"/>
    <w:rsid w:val="00C80057"/>
    <w:rsid w:val="00C801A4"/>
    <w:rsid w:val="00C821E5"/>
    <w:rsid w:val="00C82232"/>
    <w:rsid w:val="00C82913"/>
    <w:rsid w:val="00C835E2"/>
    <w:rsid w:val="00C85AFF"/>
    <w:rsid w:val="00C864BA"/>
    <w:rsid w:val="00C86992"/>
    <w:rsid w:val="00C87366"/>
    <w:rsid w:val="00C8749D"/>
    <w:rsid w:val="00C9014F"/>
    <w:rsid w:val="00C90726"/>
    <w:rsid w:val="00C923CF"/>
    <w:rsid w:val="00C926B5"/>
    <w:rsid w:val="00C943D2"/>
    <w:rsid w:val="00C94E82"/>
    <w:rsid w:val="00C972B1"/>
    <w:rsid w:val="00C977B1"/>
    <w:rsid w:val="00CA0559"/>
    <w:rsid w:val="00CA0753"/>
    <w:rsid w:val="00CA12DD"/>
    <w:rsid w:val="00CA2CCE"/>
    <w:rsid w:val="00CA322E"/>
    <w:rsid w:val="00CA43FD"/>
    <w:rsid w:val="00CA4606"/>
    <w:rsid w:val="00CA4648"/>
    <w:rsid w:val="00CA6D15"/>
    <w:rsid w:val="00CA7C16"/>
    <w:rsid w:val="00CA7EF8"/>
    <w:rsid w:val="00CB0170"/>
    <w:rsid w:val="00CB0781"/>
    <w:rsid w:val="00CB2CA1"/>
    <w:rsid w:val="00CB3122"/>
    <w:rsid w:val="00CB45B4"/>
    <w:rsid w:val="00CB540C"/>
    <w:rsid w:val="00CB616B"/>
    <w:rsid w:val="00CC0593"/>
    <w:rsid w:val="00CC2350"/>
    <w:rsid w:val="00CC489B"/>
    <w:rsid w:val="00CC4AA2"/>
    <w:rsid w:val="00CD0F37"/>
    <w:rsid w:val="00CD163A"/>
    <w:rsid w:val="00CD1EB8"/>
    <w:rsid w:val="00CD2BCD"/>
    <w:rsid w:val="00CD3A4C"/>
    <w:rsid w:val="00CD3B4F"/>
    <w:rsid w:val="00CD525F"/>
    <w:rsid w:val="00CD5734"/>
    <w:rsid w:val="00CD5CF7"/>
    <w:rsid w:val="00CD6513"/>
    <w:rsid w:val="00CE0D12"/>
    <w:rsid w:val="00CE10E9"/>
    <w:rsid w:val="00CE1D0A"/>
    <w:rsid w:val="00CE2910"/>
    <w:rsid w:val="00CE356B"/>
    <w:rsid w:val="00CE454F"/>
    <w:rsid w:val="00CE4CD7"/>
    <w:rsid w:val="00CE5393"/>
    <w:rsid w:val="00CE68F9"/>
    <w:rsid w:val="00CF0A2F"/>
    <w:rsid w:val="00CF1007"/>
    <w:rsid w:val="00CF17FC"/>
    <w:rsid w:val="00CF1DFA"/>
    <w:rsid w:val="00CF2AEC"/>
    <w:rsid w:val="00CF36BE"/>
    <w:rsid w:val="00CF3C8A"/>
    <w:rsid w:val="00CF6000"/>
    <w:rsid w:val="00CF7BEE"/>
    <w:rsid w:val="00D003F3"/>
    <w:rsid w:val="00D00592"/>
    <w:rsid w:val="00D005C1"/>
    <w:rsid w:val="00D01AAB"/>
    <w:rsid w:val="00D01B75"/>
    <w:rsid w:val="00D02256"/>
    <w:rsid w:val="00D035BF"/>
    <w:rsid w:val="00D0364F"/>
    <w:rsid w:val="00D03734"/>
    <w:rsid w:val="00D045AD"/>
    <w:rsid w:val="00D052D1"/>
    <w:rsid w:val="00D06834"/>
    <w:rsid w:val="00D07E1A"/>
    <w:rsid w:val="00D10318"/>
    <w:rsid w:val="00D11D0C"/>
    <w:rsid w:val="00D12680"/>
    <w:rsid w:val="00D12D99"/>
    <w:rsid w:val="00D146D6"/>
    <w:rsid w:val="00D149DE"/>
    <w:rsid w:val="00D1540C"/>
    <w:rsid w:val="00D16BA3"/>
    <w:rsid w:val="00D177BD"/>
    <w:rsid w:val="00D220A1"/>
    <w:rsid w:val="00D24ABF"/>
    <w:rsid w:val="00D24E1E"/>
    <w:rsid w:val="00D24E5C"/>
    <w:rsid w:val="00D26375"/>
    <w:rsid w:val="00D27450"/>
    <w:rsid w:val="00D308ED"/>
    <w:rsid w:val="00D3104B"/>
    <w:rsid w:val="00D320C3"/>
    <w:rsid w:val="00D338C4"/>
    <w:rsid w:val="00D35195"/>
    <w:rsid w:val="00D36887"/>
    <w:rsid w:val="00D36D86"/>
    <w:rsid w:val="00D36E11"/>
    <w:rsid w:val="00D406C4"/>
    <w:rsid w:val="00D41350"/>
    <w:rsid w:val="00D42236"/>
    <w:rsid w:val="00D423F1"/>
    <w:rsid w:val="00D428AA"/>
    <w:rsid w:val="00D434E3"/>
    <w:rsid w:val="00D4383D"/>
    <w:rsid w:val="00D44979"/>
    <w:rsid w:val="00D45CB9"/>
    <w:rsid w:val="00D45F96"/>
    <w:rsid w:val="00D4666E"/>
    <w:rsid w:val="00D46931"/>
    <w:rsid w:val="00D503CB"/>
    <w:rsid w:val="00D50A34"/>
    <w:rsid w:val="00D50A8A"/>
    <w:rsid w:val="00D53EFA"/>
    <w:rsid w:val="00D548C0"/>
    <w:rsid w:val="00D56B30"/>
    <w:rsid w:val="00D6101A"/>
    <w:rsid w:val="00D611EC"/>
    <w:rsid w:val="00D61E38"/>
    <w:rsid w:val="00D626DE"/>
    <w:rsid w:val="00D62FC7"/>
    <w:rsid w:val="00D6418A"/>
    <w:rsid w:val="00D6460E"/>
    <w:rsid w:val="00D64860"/>
    <w:rsid w:val="00D64F26"/>
    <w:rsid w:val="00D650A4"/>
    <w:rsid w:val="00D6512A"/>
    <w:rsid w:val="00D70B77"/>
    <w:rsid w:val="00D715AE"/>
    <w:rsid w:val="00D734CE"/>
    <w:rsid w:val="00D739C7"/>
    <w:rsid w:val="00D74D25"/>
    <w:rsid w:val="00D81742"/>
    <w:rsid w:val="00D82BC6"/>
    <w:rsid w:val="00D85042"/>
    <w:rsid w:val="00D85794"/>
    <w:rsid w:val="00D9238D"/>
    <w:rsid w:val="00D92DF3"/>
    <w:rsid w:val="00D94A7C"/>
    <w:rsid w:val="00D94C17"/>
    <w:rsid w:val="00D953DC"/>
    <w:rsid w:val="00D95896"/>
    <w:rsid w:val="00D9596E"/>
    <w:rsid w:val="00D95D01"/>
    <w:rsid w:val="00D97A58"/>
    <w:rsid w:val="00D97B98"/>
    <w:rsid w:val="00DA0AE1"/>
    <w:rsid w:val="00DA3F87"/>
    <w:rsid w:val="00DA500B"/>
    <w:rsid w:val="00DA5B87"/>
    <w:rsid w:val="00DA699F"/>
    <w:rsid w:val="00DA72FD"/>
    <w:rsid w:val="00DB06BA"/>
    <w:rsid w:val="00DB2983"/>
    <w:rsid w:val="00DB2D6C"/>
    <w:rsid w:val="00DB3754"/>
    <w:rsid w:val="00DB38B9"/>
    <w:rsid w:val="00DB598E"/>
    <w:rsid w:val="00DB7E30"/>
    <w:rsid w:val="00DC1257"/>
    <w:rsid w:val="00DC2E22"/>
    <w:rsid w:val="00DC3DC0"/>
    <w:rsid w:val="00DC4DB4"/>
    <w:rsid w:val="00DC5B2B"/>
    <w:rsid w:val="00DC63F7"/>
    <w:rsid w:val="00DD2103"/>
    <w:rsid w:val="00DD318D"/>
    <w:rsid w:val="00DD36AD"/>
    <w:rsid w:val="00DD3ABE"/>
    <w:rsid w:val="00DD4263"/>
    <w:rsid w:val="00DD4D7B"/>
    <w:rsid w:val="00DD56D0"/>
    <w:rsid w:val="00DD57DC"/>
    <w:rsid w:val="00DD5DDD"/>
    <w:rsid w:val="00DD6547"/>
    <w:rsid w:val="00DD67DC"/>
    <w:rsid w:val="00DE0401"/>
    <w:rsid w:val="00DE069B"/>
    <w:rsid w:val="00DE2C19"/>
    <w:rsid w:val="00DE3111"/>
    <w:rsid w:val="00DE4349"/>
    <w:rsid w:val="00DE455E"/>
    <w:rsid w:val="00DE4629"/>
    <w:rsid w:val="00DE48A6"/>
    <w:rsid w:val="00DE4DF1"/>
    <w:rsid w:val="00DE4F03"/>
    <w:rsid w:val="00DE65D1"/>
    <w:rsid w:val="00DE724A"/>
    <w:rsid w:val="00DF0841"/>
    <w:rsid w:val="00DF0C37"/>
    <w:rsid w:val="00DF2E12"/>
    <w:rsid w:val="00DF47E1"/>
    <w:rsid w:val="00DF490A"/>
    <w:rsid w:val="00DF514A"/>
    <w:rsid w:val="00DF6690"/>
    <w:rsid w:val="00DF6804"/>
    <w:rsid w:val="00DF6B0B"/>
    <w:rsid w:val="00DF7142"/>
    <w:rsid w:val="00E00A3A"/>
    <w:rsid w:val="00E00A57"/>
    <w:rsid w:val="00E013F0"/>
    <w:rsid w:val="00E0358D"/>
    <w:rsid w:val="00E035C7"/>
    <w:rsid w:val="00E03793"/>
    <w:rsid w:val="00E03999"/>
    <w:rsid w:val="00E04323"/>
    <w:rsid w:val="00E04D47"/>
    <w:rsid w:val="00E070A2"/>
    <w:rsid w:val="00E10380"/>
    <w:rsid w:val="00E10608"/>
    <w:rsid w:val="00E118AB"/>
    <w:rsid w:val="00E11E1B"/>
    <w:rsid w:val="00E13920"/>
    <w:rsid w:val="00E14ED6"/>
    <w:rsid w:val="00E171A5"/>
    <w:rsid w:val="00E17CB3"/>
    <w:rsid w:val="00E2104B"/>
    <w:rsid w:val="00E21151"/>
    <w:rsid w:val="00E219D9"/>
    <w:rsid w:val="00E24688"/>
    <w:rsid w:val="00E25093"/>
    <w:rsid w:val="00E25B59"/>
    <w:rsid w:val="00E25F3B"/>
    <w:rsid w:val="00E26246"/>
    <w:rsid w:val="00E2656A"/>
    <w:rsid w:val="00E27180"/>
    <w:rsid w:val="00E27D91"/>
    <w:rsid w:val="00E30144"/>
    <w:rsid w:val="00E30E6A"/>
    <w:rsid w:val="00E31044"/>
    <w:rsid w:val="00E31C8B"/>
    <w:rsid w:val="00E321E9"/>
    <w:rsid w:val="00E33C2A"/>
    <w:rsid w:val="00E33C8A"/>
    <w:rsid w:val="00E350B3"/>
    <w:rsid w:val="00E401EF"/>
    <w:rsid w:val="00E40658"/>
    <w:rsid w:val="00E406D0"/>
    <w:rsid w:val="00E40D13"/>
    <w:rsid w:val="00E412D0"/>
    <w:rsid w:val="00E42C02"/>
    <w:rsid w:val="00E42E41"/>
    <w:rsid w:val="00E43152"/>
    <w:rsid w:val="00E437F5"/>
    <w:rsid w:val="00E45214"/>
    <w:rsid w:val="00E4536A"/>
    <w:rsid w:val="00E46B73"/>
    <w:rsid w:val="00E46FEC"/>
    <w:rsid w:val="00E51C7B"/>
    <w:rsid w:val="00E51DB1"/>
    <w:rsid w:val="00E52BEA"/>
    <w:rsid w:val="00E52EE4"/>
    <w:rsid w:val="00E559CE"/>
    <w:rsid w:val="00E56097"/>
    <w:rsid w:val="00E56322"/>
    <w:rsid w:val="00E56621"/>
    <w:rsid w:val="00E60982"/>
    <w:rsid w:val="00E60E7F"/>
    <w:rsid w:val="00E61EA7"/>
    <w:rsid w:val="00E6255D"/>
    <w:rsid w:val="00E62C62"/>
    <w:rsid w:val="00E62C8D"/>
    <w:rsid w:val="00E62FF7"/>
    <w:rsid w:val="00E63095"/>
    <w:rsid w:val="00E6311C"/>
    <w:rsid w:val="00E63329"/>
    <w:rsid w:val="00E63B0E"/>
    <w:rsid w:val="00E63F15"/>
    <w:rsid w:val="00E641AF"/>
    <w:rsid w:val="00E649B1"/>
    <w:rsid w:val="00E654C1"/>
    <w:rsid w:val="00E65D97"/>
    <w:rsid w:val="00E662FB"/>
    <w:rsid w:val="00E66DB9"/>
    <w:rsid w:val="00E66E19"/>
    <w:rsid w:val="00E66F98"/>
    <w:rsid w:val="00E67738"/>
    <w:rsid w:val="00E7062F"/>
    <w:rsid w:val="00E7089A"/>
    <w:rsid w:val="00E70934"/>
    <w:rsid w:val="00E70C0E"/>
    <w:rsid w:val="00E7147B"/>
    <w:rsid w:val="00E717AB"/>
    <w:rsid w:val="00E71B6F"/>
    <w:rsid w:val="00E72A5A"/>
    <w:rsid w:val="00E73116"/>
    <w:rsid w:val="00E73354"/>
    <w:rsid w:val="00E74007"/>
    <w:rsid w:val="00E749FE"/>
    <w:rsid w:val="00E749FF"/>
    <w:rsid w:val="00E75072"/>
    <w:rsid w:val="00E76278"/>
    <w:rsid w:val="00E77D63"/>
    <w:rsid w:val="00E8039A"/>
    <w:rsid w:val="00E81A66"/>
    <w:rsid w:val="00E83272"/>
    <w:rsid w:val="00E84076"/>
    <w:rsid w:val="00E84BEA"/>
    <w:rsid w:val="00E860D6"/>
    <w:rsid w:val="00E86825"/>
    <w:rsid w:val="00E86CE4"/>
    <w:rsid w:val="00E87476"/>
    <w:rsid w:val="00E875FC"/>
    <w:rsid w:val="00E909F3"/>
    <w:rsid w:val="00E91716"/>
    <w:rsid w:val="00E9242D"/>
    <w:rsid w:val="00E92C8D"/>
    <w:rsid w:val="00E939F0"/>
    <w:rsid w:val="00E93D03"/>
    <w:rsid w:val="00E94532"/>
    <w:rsid w:val="00E946EE"/>
    <w:rsid w:val="00E948F3"/>
    <w:rsid w:val="00E95379"/>
    <w:rsid w:val="00E95958"/>
    <w:rsid w:val="00E95FEE"/>
    <w:rsid w:val="00EA09F1"/>
    <w:rsid w:val="00EA0E47"/>
    <w:rsid w:val="00EA129F"/>
    <w:rsid w:val="00EA3446"/>
    <w:rsid w:val="00EA39D8"/>
    <w:rsid w:val="00EA54A6"/>
    <w:rsid w:val="00EA5F3C"/>
    <w:rsid w:val="00EA5FAF"/>
    <w:rsid w:val="00EA7C72"/>
    <w:rsid w:val="00EB03FA"/>
    <w:rsid w:val="00EB151E"/>
    <w:rsid w:val="00EB2261"/>
    <w:rsid w:val="00EB315E"/>
    <w:rsid w:val="00EB31DD"/>
    <w:rsid w:val="00EB32C3"/>
    <w:rsid w:val="00EB5255"/>
    <w:rsid w:val="00EB5C47"/>
    <w:rsid w:val="00EB7BB1"/>
    <w:rsid w:val="00EB7C40"/>
    <w:rsid w:val="00EC05A4"/>
    <w:rsid w:val="00EC3A82"/>
    <w:rsid w:val="00EC4DEB"/>
    <w:rsid w:val="00EC554D"/>
    <w:rsid w:val="00EC5D5E"/>
    <w:rsid w:val="00EC765B"/>
    <w:rsid w:val="00ED0639"/>
    <w:rsid w:val="00ED172D"/>
    <w:rsid w:val="00ED195F"/>
    <w:rsid w:val="00ED4850"/>
    <w:rsid w:val="00ED59E5"/>
    <w:rsid w:val="00ED62D2"/>
    <w:rsid w:val="00ED662B"/>
    <w:rsid w:val="00ED6B06"/>
    <w:rsid w:val="00EE0FEB"/>
    <w:rsid w:val="00EE18D6"/>
    <w:rsid w:val="00EE2EB9"/>
    <w:rsid w:val="00EE4A9A"/>
    <w:rsid w:val="00EE60DB"/>
    <w:rsid w:val="00EF025C"/>
    <w:rsid w:val="00EF1B00"/>
    <w:rsid w:val="00EF24A4"/>
    <w:rsid w:val="00EF289F"/>
    <w:rsid w:val="00EF2CFE"/>
    <w:rsid w:val="00EF4692"/>
    <w:rsid w:val="00EF4755"/>
    <w:rsid w:val="00EF647C"/>
    <w:rsid w:val="00EF6E2E"/>
    <w:rsid w:val="00EF7135"/>
    <w:rsid w:val="00F00DB7"/>
    <w:rsid w:val="00F015E6"/>
    <w:rsid w:val="00F027DB"/>
    <w:rsid w:val="00F0367A"/>
    <w:rsid w:val="00F03CBE"/>
    <w:rsid w:val="00F071EF"/>
    <w:rsid w:val="00F07FE7"/>
    <w:rsid w:val="00F10CD9"/>
    <w:rsid w:val="00F12CAD"/>
    <w:rsid w:val="00F14A7A"/>
    <w:rsid w:val="00F154F4"/>
    <w:rsid w:val="00F15927"/>
    <w:rsid w:val="00F16EA4"/>
    <w:rsid w:val="00F174CA"/>
    <w:rsid w:val="00F2028A"/>
    <w:rsid w:val="00F21C27"/>
    <w:rsid w:val="00F22080"/>
    <w:rsid w:val="00F22985"/>
    <w:rsid w:val="00F23BBF"/>
    <w:rsid w:val="00F26227"/>
    <w:rsid w:val="00F317B6"/>
    <w:rsid w:val="00F3230B"/>
    <w:rsid w:val="00F32A0D"/>
    <w:rsid w:val="00F32E4B"/>
    <w:rsid w:val="00F3383E"/>
    <w:rsid w:val="00F35748"/>
    <w:rsid w:val="00F36154"/>
    <w:rsid w:val="00F36630"/>
    <w:rsid w:val="00F369A3"/>
    <w:rsid w:val="00F446CE"/>
    <w:rsid w:val="00F465A7"/>
    <w:rsid w:val="00F467E3"/>
    <w:rsid w:val="00F468DD"/>
    <w:rsid w:val="00F46BCF"/>
    <w:rsid w:val="00F47341"/>
    <w:rsid w:val="00F47923"/>
    <w:rsid w:val="00F504F1"/>
    <w:rsid w:val="00F50A86"/>
    <w:rsid w:val="00F50B7C"/>
    <w:rsid w:val="00F5137F"/>
    <w:rsid w:val="00F5195A"/>
    <w:rsid w:val="00F51CF4"/>
    <w:rsid w:val="00F543E3"/>
    <w:rsid w:val="00F54C63"/>
    <w:rsid w:val="00F550E6"/>
    <w:rsid w:val="00F5549C"/>
    <w:rsid w:val="00F561F0"/>
    <w:rsid w:val="00F5656D"/>
    <w:rsid w:val="00F56CC2"/>
    <w:rsid w:val="00F60356"/>
    <w:rsid w:val="00F60A99"/>
    <w:rsid w:val="00F60F84"/>
    <w:rsid w:val="00F615F2"/>
    <w:rsid w:val="00F62BD5"/>
    <w:rsid w:val="00F63A84"/>
    <w:rsid w:val="00F65D07"/>
    <w:rsid w:val="00F66700"/>
    <w:rsid w:val="00F67D7B"/>
    <w:rsid w:val="00F70B69"/>
    <w:rsid w:val="00F712C3"/>
    <w:rsid w:val="00F7299A"/>
    <w:rsid w:val="00F7365B"/>
    <w:rsid w:val="00F74345"/>
    <w:rsid w:val="00F744F3"/>
    <w:rsid w:val="00F75C2F"/>
    <w:rsid w:val="00F768F0"/>
    <w:rsid w:val="00F77DE8"/>
    <w:rsid w:val="00F802AB"/>
    <w:rsid w:val="00F80A03"/>
    <w:rsid w:val="00F80A0A"/>
    <w:rsid w:val="00F8172C"/>
    <w:rsid w:val="00F82B19"/>
    <w:rsid w:val="00F82D84"/>
    <w:rsid w:val="00F82EAC"/>
    <w:rsid w:val="00F8384D"/>
    <w:rsid w:val="00F83CED"/>
    <w:rsid w:val="00F84EF9"/>
    <w:rsid w:val="00F84FBE"/>
    <w:rsid w:val="00F85121"/>
    <w:rsid w:val="00F85418"/>
    <w:rsid w:val="00F86EA9"/>
    <w:rsid w:val="00F87614"/>
    <w:rsid w:val="00F9212D"/>
    <w:rsid w:val="00F92C8D"/>
    <w:rsid w:val="00F93BF1"/>
    <w:rsid w:val="00F94ACB"/>
    <w:rsid w:val="00F9510A"/>
    <w:rsid w:val="00F965DA"/>
    <w:rsid w:val="00FA15BA"/>
    <w:rsid w:val="00FA3108"/>
    <w:rsid w:val="00FA3342"/>
    <w:rsid w:val="00FA406A"/>
    <w:rsid w:val="00FA661D"/>
    <w:rsid w:val="00FA6B53"/>
    <w:rsid w:val="00FB3414"/>
    <w:rsid w:val="00FB3621"/>
    <w:rsid w:val="00FB3F11"/>
    <w:rsid w:val="00FB503A"/>
    <w:rsid w:val="00FB516C"/>
    <w:rsid w:val="00FB6E26"/>
    <w:rsid w:val="00FC16BA"/>
    <w:rsid w:val="00FC26A6"/>
    <w:rsid w:val="00FC2DF0"/>
    <w:rsid w:val="00FC460B"/>
    <w:rsid w:val="00FC5559"/>
    <w:rsid w:val="00FC5C56"/>
    <w:rsid w:val="00FC7992"/>
    <w:rsid w:val="00FD0236"/>
    <w:rsid w:val="00FD03DF"/>
    <w:rsid w:val="00FD18F4"/>
    <w:rsid w:val="00FD25E5"/>
    <w:rsid w:val="00FD3C95"/>
    <w:rsid w:val="00FD3FEE"/>
    <w:rsid w:val="00FD51DD"/>
    <w:rsid w:val="00FD54DB"/>
    <w:rsid w:val="00FD58AE"/>
    <w:rsid w:val="00FD5F22"/>
    <w:rsid w:val="00FD619F"/>
    <w:rsid w:val="00FD67D8"/>
    <w:rsid w:val="00FD7064"/>
    <w:rsid w:val="00FD7D44"/>
    <w:rsid w:val="00FE04A3"/>
    <w:rsid w:val="00FE0C90"/>
    <w:rsid w:val="00FE1332"/>
    <w:rsid w:val="00FE25AB"/>
    <w:rsid w:val="00FE42B5"/>
    <w:rsid w:val="00FE4B0A"/>
    <w:rsid w:val="00FE501E"/>
    <w:rsid w:val="00FE50E0"/>
    <w:rsid w:val="00FE7BB5"/>
    <w:rsid w:val="00FF1619"/>
    <w:rsid w:val="00FF1ACB"/>
    <w:rsid w:val="00FF26DE"/>
    <w:rsid w:val="00FF2905"/>
    <w:rsid w:val="00FF2D40"/>
    <w:rsid w:val="00FF3501"/>
    <w:rsid w:val="00FF38E7"/>
    <w:rsid w:val="00FF6718"/>
    <w:rsid w:val="01290F7E"/>
    <w:rsid w:val="015D1E09"/>
    <w:rsid w:val="01BC3CDF"/>
    <w:rsid w:val="02405AEF"/>
    <w:rsid w:val="02697903"/>
    <w:rsid w:val="028E46E3"/>
    <w:rsid w:val="02F96569"/>
    <w:rsid w:val="03EA7B21"/>
    <w:rsid w:val="04393D3E"/>
    <w:rsid w:val="05B5595B"/>
    <w:rsid w:val="05F83EAE"/>
    <w:rsid w:val="063E7D85"/>
    <w:rsid w:val="07293586"/>
    <w:rsid w:val="07295285"/>
    <w:rsid w:val="07636392"/>
    <w:rsid w:val="07770C56"/>
    <w:rsid w:val="08772A3E"/>
    <w:rsid w:val="09130805"/>
    <w:rsid w:val="092217DD"/>
    <w:rsid w:val="093A7294"/>
    <w:rsid w:val="099C48D8"/>
    <w:rsid w:val="09D122E9"/>
    <w:rsid w:val="0A231A2D"/>
    <w:rsid w:val="0A263993"/>
    <w:rsid w:val="0A2D3AC2"/>
    <w:rsid w:val="0A573310"/>
    <w:rsid w:val="0AA755DF"/>
    <w:rsid w:val="0AD835F6"/>
    <w:rsid w:val="0B120D44"/>
    <w:rsid w:val="0B4310D9"/>
    <w:rsid w:val="0BD27BF6"/>
    <w:rsid w:val="0C32005C"/>
    <w:rsid w:val="0C3B3C7D"/>
    <w:rsid w:val="0CAB2EAE"/>
    <w:rsid w:val="0D621C7D"/>
    <w:rsid w:val="0E1B60FD"/>
    <w:rsid w:val="0E73034D"/>
    <w:rsid w:val="0F13775A"/>
    <w:rsid w:val="0F5F45FE"/>
    <w:rsid w:val="0F9A112B"/>
    <w:rsid w:val="106D2F64"/>
    <w:rsid w:val="10B63710"/>
    <w:rsid w:val="10CE7031"/>
    <w:rsid w:val="10F10820"/>
    <w:rsid w:val="111C2F7A"/>
    <w:rsid w:val="11665CA1"/>
    <w:rsid w:val="1255253D"/>
    <w:rsid w:val="12D35019"/>
    <w:rsid w:val="130801AC"/>
    <w:rsid w:val="13951726"/>
    <w:rsid w:val="13E127C4"/>
    <w:rsid w:val="13F1232B"/>
    <w:rsid w:val="14396509"/>
    <w:rsid w:val="14DD2C3C"/>
    <w:rsid w:val="15814014"/>
    <w:rsid w:val="16087E1D"/>
    <w:rsid w:val="16144621"/>
    <w:rsid w:val="16C43650"/>
    <w:rsid w:val="17701D14"/>
    <w:rsid w:val="17735226"/>
    <w:rsid w:val="188E08AB"/>
    <w:rsid w:val="189F624C"/>
    <w:rsid w:val="18F243DE"/>
    <w:rsid w:val="19080D02"/>
    <w:rsid w:val="19197F55"/>
    <w:rsid w:val="1A14176B"/>
    <w:rsid w:val="1A1C66C0"/>
    <w:rsid w:val="1A42393B"/>
    <w:rsid w:val="1A6619C7"/>
    <w:rsid w:val="1A7C646E"/>
    <w:rsid w:val="1A7D5E62"/>
    <w:rsid w:val="1AAD45DE"/>
    <w:rsid w:val="1B046F80"/>
    <w:rsid w:val="1B3267B5"/>
    <w:rsid w:val="1B40161D"/>
    <w:rsid w:val="1B441859"/>
    <w:rsid w:val="1B6606B1"/>
    <w:rsid w:val="1C0A1AF3"/>
    <w:rsid w:val="1C4D191D"/>
    <w:rsid w:val="1C5E7925"/>
    <w:rsid w:val="1CEB41EA"/>
    <w:rsid w:val="1CFD070F"/>
    <w:rsid w:val="1D452D77"/>
    <w:rsid w:val="1D5F6196"/>
    <w:rsid w:val="1D6132A5"/>
    <w:rsid w:val="1D8E56D5"/>
    <w:rsid w:val="1E093AD8"/>
    <w:rsid w:val="1E7A43DA"/>
    <w:rsid w:val="1ECE2188"/>
    <w:rsid w:val="1F036ECE"/>
    <w:rsid w:val="1F823A1F"/>
    <w:rsid w:val="1FCB3A20"/>
    <w:rsid w:val="1FE50C72"/>
    <w:rsid w:val="1FE7539E"/>
    <w:rsid w:val="1FF8621B"/>
    <w:rsid w:val="200033A6"/>
    <w:rsid w:val="20671BE0"/>
    <w:rsid w:val="20963CB8"/>
    <w:rsid w:val="20A81A1B"/>
    <w:rsid w:val="20B07FB6"/>
    <w:rsid w:val="20B646FB"/>
    <w:rsid w:val="213B74B1"/>
    <w:rsid w:val="215A2310"/>
    <w:rsid w:val="216D3AEC"/>
    <w:rsid w:val="21721C7E"/>
    <w:rsid w:val="21DE318A"/>
    <w:rsid w:val="21EF5B80"/>
    <w:rsid w:val="222009F8"/>
    <w:rsid w:val="2221732F"/>
    <w:rsid w:val="22303BEE"/>
    <w:rsid w:val="22576990"/>
    <w:rsid w:val="22CD56E1"/>
    <w:rsid w:val="22F47480"/>
    <w:rsid w:val="23210EF4"/>
    <w:rsid w:val="23DE1C48"/>
    <w:rsid w:val="240210CD"/>
    <w:rsid w:val="249819F2"/>
    <w:rsid w:val="24BF09F7"/>
    <w:rsid w:val="252D53FE"/>
    <w:rsid w:val="253D4A62"/>
    <w:rsid w:val="256C7E4D"/>
    <w:rsid w:val="25BB05BD"/>
    <w:rsid w:val="25EC2D81"/>
    <w:rsid w:val="2606691C"/>
    <w:rsid w:val="2669682F"/>
    <w:rsid w:val="267F052C"/>
    <w:rsid w:val="26B76D45"/>
    <w:rsid w:val="26ED1159"/>
    <w:rsid w:val="274E598F"/>
    <w:rsid w:val="277057A2"/>
    <w:rsid w:val="28A75ADB"/>
    <w:rsid w:val="28C8445F"/>
    <w:rsid w:val="28ED1615"/>
    <w:rsid w:val="29206EB8"/>
    <w:rsid w:val="293071E0"/>
    <w:rsid w:val="29595666"/>
    <w:rsid w:val="29874881"/>
    <w:rsid w:val="29E325E0"/>
    <w:rsid w:val="2A452503"/>
    <w:rsid w:val="2A6C0121"/>
    <w:rsid w:val="2B104792"/>
    <w:rsid w:val="2B1D1F5D"/>
    <w:rsid w:val="2B58030E"/>
    <w:rsid w:val="2BA936A8"/>
    <w:rsid w:val="2C315A5A"/>
    <w:rsid w:val="2C4B1C25"/>
    <w:rsid w:val="2C896C2C"/>
    <w:rsid w:val="2D1277AD"/>
    <w:rsid w:val="2D9E56F5"/>
    <w:rsid w:val="2E667F96"/>
    <w:rsid w:val="2E8226AB"/>
    <w:rsid w:val="2E972D46"/>
    <w:rsid w:val="2EB75F76"/>
    <w:rsid w:val="2EBB3A82"/>
    <w:rsid w:val="2ED54D05"/>
    <w:rsid w:val="2FD065E6"/>
    <w:rsid w:val="2FD96870"/>
    <w:rsid w:val="30465C00"/>
    <w:rsid w:val="30580BC9"/>
    <w:rsid w:val="311E2ED7"/>
    <w:rsid w:val="315619EE"/>
    <w:rsid w:val="315C449C"/>
    <w:rsid w:val="31614A58"/>
    <w:rsid w:val="31B82709"/>
    <w:rsid w:val="31D05482"/>
    <w:rsid w:val="32400B34"/>
    <w:rsid w:val="329E6876"/>
    <w:rsid w:val="333015F2"/>
    <w:rsid w:val="334B6320"/>
    <w:rsid w:val="33D934D4"/>
    <w:rsid w:val="33FE2F6A"/>
    <w:rsid w:val="340E07E5"/>
    <w:rsid w:val="34235BF7"/>
    <w:rsid w:val="34570DDB"/>
    <w:rsid w:val="34BF6C7C"/>
    <w:rsid w:val="358C5FA8"/>
    <w:rsid w:val="35C15DF1"/>
    <w:rsid w:val="36074A7F"/>
    <w:rsid w:val="36923549"/>
    <w:rsid w:val="369C3A63"/>
    <w:rsid w:val="36B75FBF"/>
    <w:rsid w:val="36BD0C45"/>
    <w:rsid w:val="37A70F33"/>
    <w:rsid w:val="37E00298"/>
    <w:rsid w:val="387231A4"/>
    <w:rsid w:val="38896B4E"/>
    <w:rsid w:val="38B302F9"/>
    <w:rsid w:val="38EC3D93"/>
    <w:rsid w:val="38F12CD3"/>
    <w:rsid w:val="38F94775"/>
    <w:rsid w:val="392971ED"/>
    <w:rsid w:val="39325651"/>
    <w:rsid w:val="3A506000"/>
    <w:rsid w:val="3A872856"/>
    <w:rsid w:val="3A9E43FF"/>
    <w:rsid w:val="3B3763D1"/>
    <w:rsid w:val="3C2F6E1E"/>
    <w:rsid w:val="3C4F64BA"/>
    <w:rsid w:val="3CDA245A"/>
    <w:rsid w:val="3D1E06B7"/>
    <w:rsid w:val="3EB553F9"/>
    <w:rsid w:val="3EDA0523"/>
    <w:rsid w:val="407A6407"/>
    <w:rsid w:val="4148796E"/>
    <w:rsid w:val="41B27000"/>
    <w:rsid w:val="41DA29DF"/>
    <w:rsid w:val="4200449D"/>
    <w:rsid w:val="422A04CA"/>
    <w:rsid w:val="422C681A"/>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28677D"/>
    <w:rsid w:val="46480997"/>
    <w:rsid w:val="4657365A"/>
    <w:rsid w:val="46577FD6"/>
    <w:rsid w:val="466B3583"/>
    <w:rsid w:val="466D0505"/>
    <w:rsid w:val="46D955A7"/>
    <w:rsid w:val="47133957"/>
    <w:rsid w:val="476E334C"/>
    <w:rsid w:val="47A07E0C"/>
    <w:rsid w:val="47BC6618"/>
    <w:rsid w:val="4870272E"/>
    <w:rsid w:val="495B55E9"/>
    <w:rsid w:val="49DC7715"/>
    <w:rsid w:val="4A023139"/>
    <w:rsid w:val="4A5117E2"/>
    <w:rsid w:val="4A601EBD"/>
    <w:rsid w:val="4A7B576F"/>
    <w:rsid w:val="4AC96961"/>
    <w:rsid w:val="4AF561A9"/>
    <w:rsid w:val="4B0B7417"/>
    <w:rsid w:val="4B5B1B60"/>
    <w:rsid w:val="4B815682"/>
    <w:rsid w:val="4C4A0649"/>
    <w:rsid w:val="4C7E5ECA"/>
    <w:rsid w:val="4C876AA5"/>
    <w:rsid w:val="4D0E00FB"/>
    <w:rsid w:val="4D176606"/>
    <w:rsid w:val="4D3857A8"/>
    <w:rsid w:val="4DEC4FB0"/>
    <w:rsid w:val="4E075D8A"/>
    <w:rsid w:val="4EC00FAD"/>
    <w:rsid w:val="4F0301D7"/>
    <w:rsid w:val="4F18723B"/>
    <w:rsid w:val="4F696E17"/>
    <w:rsid w:val="4F9843DC"/>
    <w:rsid w:val="4FC62A8C"/>
    <w:rsid w:val="4FE20F0D"/>
    <w:rsid w:val="4FE30240"/>
    <w:rsid w:val="4FE51552"/>
    <w:rsid w:val="50504C4B"/>
    <w:rsid w:val="509C6E7C"/>
    <w:rsid w:val="5162104E"/>
    <w:rsid w:val="51F31E47"/>
    <w:rsid w:val="539A4AC7"/>
    <w:rsid w:val="53A039CC"/>
    <w:rsid w:val="53A1505A"/>
    <w:rsid w:val="53E33C93"/>
    <w:rsid w:val="54063E08"/>
    <w:rsid w:val="543437E8"/>
    <w:rsid w:val="54690EF4"/>
    <w:rsid w:val="54F73313"/>
    <w:rsid w:val="54F80955"/>
    <w:rsid w:val="550E3D7A"/>
    <w:rsid w:val="555170A7"/>
    <w:rsid w:val="555474A6"/>
    <w:rsid w:val="5587536D"/>
    <w:rsid w:val="559B174B"/>
    <w:rsid w:val="55CE0CF4"/>
    <w:rsid w:val="56B22A9C"/>
    <w:rsid w:val="57B23863"/>
    <w:rsid w:val="57B72A76"/>
    <w:rsid w:val="57C3426C"/>
    <w:rsid w:val="57CC79D8"/>
    <w:rsid w:val="57CE1F93"/>
    <w:rsid w:val="58047D50"/>
    <w:rsid w:val="58125024"/>
    <w:rsid w:val="588743D1"/>
    <w:rsid w:val="5887701A"/>
    <w:rsid w:val="58995F43"/>
    <w:rsid w:val="59C0439F"/>
    <w:rsid w:val="5A8E2DA2"/>
    <w:rsid w:val="5ABE2233"/>
    <w:rsid w:val="5AFF5DF9"/>
    <w:rsid w:val="5BB55277"/>
    <w:rsid w:val="5BDF5D95"/>
    <w:rsid w:val="5BDF7595"/>
    <w:rsid w:val="5BFE7528"/>
    <w:rsid w:val="5C0F1BC4"/>
    <w:rsid w:val="5CC0096F"/>
    <w:rsid w:val="5DB2720E"/>
    <w:rsid w:val="5E2467F1"/>
    <w:rsid w:val="5E9022A5"/>
    <w:rsid w:val="5EAA0EBE"/>
    <w:rsid w:val="5EAA5DDA"/>
    <w:rsid w:val="5F1A2B43"/>
    <w:rsid w:val="5FB837BB"/>
    <w:rsid w:val="5FEA1C7F"/>
    <w:rsid w:val="602A0F80"/>
    <w:rsid w:val="60CC405A"/>
    <w:rsid w:val="61E215D8"/>
    <w:rsid w:val="621B3775"/>
    <w:rsid w:val="62364782"/>
    <w:rsid w:val="626E5C2D"/>
    <w:rsid w:val="62E62393"/>
    <w:rsid w:val="6394356A"/>
    <w:rsid w:val="63C61B2C"/>
    <w:rsid w:val="63D40BE9"/>
    <w:rsid w:val="64102431"/>
    <w:rsid w:val="64A5243A"/>
    <w:rsid w:val="64F531DE"/>
    <w:rsid w:val="65373578"/>
    <w:rsid w:val="65475562"/>
    <w:rsid w:val="662733B6"/>
    <w:rsid w:val="671F124A"/>
    <w:rsid w:val="677A33C6"/>
    <w:rsid w:val="681F6961"/>
    <w:rsid w:val="68585425"/>
    <w:rsid w:val="68610A2F"/>
    <w:rsid w:val="68805514"/>
    <w:rsid w:val="69316E2F"/>
    <w:rsid w:val="69395AA9"/>
    <w:rsid w:val="694E2071"/>
    <w:rsid w:val="69766163"/>
    <w:rsid w:val="697A3B33"/>
    <w:rsid w:val="69A86505"/>
    <w:rsid w:val="69AB1384"/>
    <w:rsid w:val="69D44760"/>
    <w:rsid w:val="6A520EC7"/>
    <w:rsid w:val="6A833B58"/>
    <w:rsid w:val="6AAB1A1A"/>
    <w:rsid w:val="6AF87E20"/>
    <w:rsid w:val="6B322639"/>
    <w:rsid w:val="6B3B3E09"/>
    <w:rsid w:val="6B894B46"/>
    <w:rsid w:val="6BEF4999"/>
    <w:rsid w:val="6C636C38"/>
    <w:rsid w:val="6CAD6B53"/>
    <w:rsid w:val="6DB34098"/>
    <w:rsid w:val="6DB545B6"/>
    <w:rsid w:val="6DE02FB4"/>
    <w:rsid w:val="6E514CED"/>
    <w:rsid w:val="6E8A0B07"/>
    <w:rsid w:val="6EB563D5"/>
    <w:rsid w:val="6ED92677"/>
    <w:rsid w:val="6EF65F9B"/>
    <w:rsid w:val="6F1A1797"/>
    <w:rsid w:val="6F225983"/>
    <w:rsid w:val="6FFC5590"/>
    <w:rsid w:val="706D1DD0"/>
    <w:rsid w:val="70856B87"/>
    <w:rsid w:val="70A83E7A"/>
    <w:rsid w:val="70C5363C"/>
    <w:rsid w:val="70D527EE"/>
    <w:rsid w:val="715B5300"/>
    <w:rsid w:val="71A77B84"/>
    <w:rsid w:val="71D27F8A"/>
    <w:rsid w:val="72553024"/>
    <w:rsid w:val="72AF4027"/>
    <w:rsid w:val="73122968"/>
    <w:rsid w:val="731756F2"/>
    <w:rsid w:val="731F5D5E"/>
    <w:rsid w:val="738F3796"/>
    <w:rsid w:val="73A66F6B"/>
    <w:rsid w:val="73C51AD5"/>
    <w:rsid w:val="741E793C"/>
    <w:rsid w:val="745E3944"/>
    <w:rsid w:val="749E27ED"/>
    <w:rsid w:val="74DC2354"/>
    <w:rsid w:val="75826E68"/>
    <w:rsid w:val="7635099D"/>
    <w:rsid w:val="77762421"/>
    <w:rsid w:val="77B56B1F"/>
    <w:rsid w:val="77F616D6"/>
    <w:rsid w:val="780F09F4"/>
    <w:rsid w:val="781A541B"/>
    <w:rsid w:val="787C4BBB"/>
    <w:rsid w:val="78A90480"/>
    <w:rsid w:val="7A364017"/>
    <w:rsid w:val="7A8265E1"/>
    <w:rsid w:val="7AA05F78"/>
    <w:rsid w:val="7B686D42"/>
    <w:rsid w:val="7B841746"/>
    <w:rsid w:val="7B956126"/>
    <w:rsid w:val="7C6C5AC7"/>
    <w:rsid w:val="7CC6544B"/>
    <w:rsid w:val="7CFE249F"/>
    <w:rsid w:val="7D0239FF"/>
    <w:rsid w:val="7D5E40CD"/>
    <w:rsid w:val="7DCD56F2"/>
    <w:rsid w:val="7F001CE7"/>
    <w:rsid w:val="7FAB78DE"/>
    <w:rsid w:val="7FBD69E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qFormat="1" w:unhideWhenUsed="0" w:uiPriority="1"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ocked="1"/>
    <w:lsdException w:qFormat="1" w:unhideWhenUsed="0"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7"/>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0"/>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15"/>
    <w:qFormat/>
    <w:locked/>
    <w:uiPriority w:val="1"/>
    <w:pPr>
      <w:autoSpaceDE w:val="0"/>
      <w:autoSpaceDN w:val="0"/>
      <w:spacing w:line="360" w:lineRule="auto"/>
      <w:jc w:val="left"/>
      <w:outlineLvl w:val="2"/>
    </w:pPr>
    <w:rPr>
      <w:rFonts w:ascii="黑体" w:hAnsi="黑体" w:cs="黑体"/>
      <w:b/>
      <w:bCs/>
      <w:szCs w:val="32"/>
    </w:rPr>
  </w:style>
  <w:style w:type="paragraph" w:styleId="5">
    <w:name w:val="heading 4"/>
    <w:basedOn w:val="1"/>
    <w:next w:val="1"/>
    <w:link w:val="41"/>
    <w:qFormat/>
    <w:locked/>
    <w:uiPriority w:val="0"/>
    <w:pPr>
      <w:keepNext/>
      <w:keepLines/>
      <w:spacing w:before="280" w:after="290" w:line="376" w:lineRule="auto"/>
      <w:outlineLvl w:val="3"/>
    </w:pPr>
    <w:rPr>
      <w:rFonts w:ascii="Calibri Light" w:hAnsi="Calibri Light"/>
      <w:b/>
      <w:bCs/>
      <w:sz w:val="28"/>
      <w:szCs w:val="28"/>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6">
    <w:name w:val="table of authorities"/>
    <w:basedOn w:val="1"/>
    <w:next w:val="1"/>
    <w:unhideWhenUsed/>
    <w:qFormat/>
    <w:locked/>
    <w:uiPriority w:val="0"/>
    <w:pPr>
      <w:ind w:left="420" w:leftChars="200"/>
    </w:pPr>
    <w:rPr>
      <w:rFonts w:hint="eastAsia"/>
    </w:rPr>
  </w:style>
  <w:style w:type="paragraph" w:styleId="7">
    <w:name w:val="Normal Indent"/>
    <w:basedOn w:val="1"/>
    <w:next w:val="5"/>
    <w:link w:val="150"/>
    <w:qFormat/>
    <w:locked/>
    <w:uiPriority w:val="0"/>
    <w:pPr>
      <w:adjustRightInd w:val="0"/>
      <w:spacing w:line="315" w:lineRule="atLeast"/>
      <w:ind w:firstLine="420"/>
      <w:jc w:val="left"/>
      <w:textAlignment w:val="baseline"/>
    </w:pPr>
    <w:rPr>
      <w:rFonts w:ascii="宋体"/>
      <w:kern w:val="0"/>
      <w:szCs w:val="20"/>
    </w:rPr>
  </w:style>
  <w:style w:type="paragraph" w:styleId="8">
    <w:name w:val="caption"/>
    <w:basedOn w:val="1"/>
    <w:next w:val="1"/>
    <w:qFormat/>
    <w:locked/>
    <w:uiPriority w:val="0"/>
    <w:pPr>
      <w:spacing w:before="152" w:after="160" w:line="360" w:lineRule="auto"/>
      <w:ind w:firstLine="200" w:firstLineChars="200"/>
    </w:pPr>
    <w:rPr>
      <w:rFonts w:ascii="Arial" w:hAnsi="Arial" w:eastAsia="黑体"/>
      <w:color w:val="000000"/>
      <w:sz w:val="24"/>
      <w:szCs w:val="20"/>
    </w:rPr>
  </w:style>
  <w:style w:type="paragraph" w:styleId="9">
    <w:name w:val="toa heading"/>
    <w:basedOn w:val="1"/>
    <w:next w:val="1"/>
    <w:qFormat/>
    <w:locked/>
    <w:uiPriority w:val="0"/>
    <w:pPr>
      <w:spacing w:before="120"/>
    </w:pPr>
    <w:rPr>
      <w:rFonts w:ascii="Arial" w:hAnsi="Arial" w:cs="Arial"/>
    </w:rPr>
  </w:style>
  <w:style w:type="paragraph" w:styleId="10">
    <w:name w:val="annotation text"/>
    <w:basedOn w:val="1"/>
    <w:link w:val="42"/>
    <w:qFormat/>
    <w:uiPriority w:val="99"/>
    <w:pPr>
      <w:jc w:val="left"/>
    </w:pPr>
    <w:rPr>
      <w:kern w:val="0"/>
      <w:sz w:val="24"/>
      <w:szCs w:val="20"/>
    </w:rPr>
  </w:style>
  <w:style w:type="paragraph" w:styleId="11">
    <w:name w:val="Body Text"/>
    <w:basedOn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39"/>
    <w:qFormat/>
    <w:uiPriority w:val="0"/>
    <w:pPr>
      <w:spacing w:after="120"/>
      <w:ind w:left="420" w:leftChars="200"/>
    </w:pPr>
    <w:rPr>
      <w:kern w:val="0"/>
      <w:sz w:val="24"/>
      <w:szCs w:val="20"/>
    </w:rPr>
  </w:style>
  <w:style w:type="paragraph" w:styleId="13">
    <w:name w:val="toc 3"/>
    <w:basedOn w:val="1"/>
    <w:next w:val="1"/>
    <w:qFormat/>
    <w:locked/>
    <w:uiPriority w:val="1"/>
    <w:pPr>
      <w:spacing w:before="50"/>
      <w:ind w:left="2087" w:hanging="548"/>
    </w:pPr>
    <w:rPr>
      <w:rFonts w:ascii="宋体" w:hAnsi="宋体" w:cs="宋体"/>
      <w:sz w:val="24"/>
      <w:lang w:val="zh-CN" w:bidi="zh-CN"/>
    </w:rPr>
  </w:style>
  <w:style w:type="paragraph" w:styleId="14">
    <w:name w:val="Plain Text"/>
    <w:basedOn w:val="1"/>
    <w:link w:val="44"/>
    <w:qFormat/>
    <w:locked/>
    <w:uiPriority w:val="0"/>
    <w:rPr>
      <w:rFonts w:ascii="宋体" w:hAnsi="Courier New"/>
    </w:rPr>
  </w:style>
  <w:style w:type="paragraph" w:styleId="15">
    <w:name w:val="Date"/>
    <w:basedOn w:val="1"/>
    <w:next w:val="1"/>
    <w:link w:val="45"/>
    <w:qFormat/>
    <w:uiPriority w:val="0"/>
    <w:pPr>
      <w:ind w:left="100" w:leftChars="2500"/>
    </w:pPr>
    <w:rPr>
      <w:kern w:val="0"/>
      <w:sz w:val="24"/>
      <w:szCs w:val="20"/>
    </w:rPr>
  </w:style>
  <w:style w:type="paragraph" w:styleId="16">
    <w:name w:val="Body Text Indent 2"/>
    <w:basedOn w:val="1"/>
    <w:next w:val="17"/>
    <w:link w:val="124"/>
    <w:qFormat/>
    <w:locked/>
    <w:uiPriority w:val="0"/>
    <w:pPr>
      <w:adjustRightInd w:val="0"/>
      <w:snapToGrid w:val="0"/>
      <w:spacing w:line="440" w:lineRule="atLeast"/>
      <w:ind w:firstLine="573"/>
    </w:pPr>
    <w:rPr>
      <w:rFonts w:ascii="宋体"/>
    </w:rPr>
  </w:style>
  <w:style w:type="paragraph" w:customStyle="1" w:styleId="17">
    <w:name w:val="简单回函地址"/>
    <w:basedOn w:val="1"/>
    <w:next w:val="18"/>
    <w:qFormat/>
    <w:uiPriority w:val="0"/>
    <w:pPr>
      <w:spacing w:line="240" w:lineRule="auto"/>
    </w:pPr>
    <w:rPr>
      <w:sz w:val="21"/>
    </w:rPr>
  </w:style>
  <w:style w:type="paragraph" w:customStyle="1" w:styleId="18">
    <w:name w:val="正文2"/>
    <w:basedOn w:val="12"/>
    <w:qFormat/>
    <w:uiPriority w:val="0"/>
    <w:pPr>
      <w:ind w:firstLine="200" w:firstLineChars="200"/>
    </w:pPr>
  </w:style>
  <w:style w:type="paragraph" w:styleId="19">
    <w:name w:val="Balloon Text"/>
    <w:basedOn w:val="1"/>
    <w:link w:val="46"/>
    <w:semiHidden/>
    <w:qFormat/>
    <w:uiPriority w:val="0"/>
    <w:rPr>
      <w:kern w:val="0"/>
      <w:sz w:val="18"/>
      <w:szCs w:val="20"/>
    </w:rPr>
  </w:style>
  <w:style w:type="paragraph" w:styleId="20">
    <w:name w:val="footer"/>
    <w:basedOn w:val="1"/>
    <w:link w:val="47"/>
    <w:qFormat/>
    <w:uiPriority w:val="0"/>
    <w:pPr>
      <w:tabs>
        <w:tab w:val="center" w:pos="4153"/>
        <w:tab w:val="right" w:pos="8306"/>
      </w:tabs>
      <w:snapToGrid w:val="0"/>
      <w:jc w:val="left"/>
    </w:pPr>
    <w:rPr>
      <w:kern w:val="0"/>
      <w:sz w:val="18"/>
      <w:szCs w:val="20"/>
    </w:rPr>
  </w:style>
  <w:style w:type="paragraph" w:styleId="21">
    <w:name w:val="header"/>
    <w:basedOn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able of figures"/>
    <w:basedOn w:val="1"/>
    <w:next w:val="1"/>
    <w:qFormat/>
    <w:locked/>
    <w:uiPriority w:val="99"/>
    <w:pPr>
      <w:ind w:left="200" w:leftChars="200" w:hanging="200" w:hangingChars="200"/>
    </w:pPr>
  </w:style>
  <w:style w:type="paragraph" w:styleId="23">
    <w:name w:val="Body Text 2"/>
    <w:basedOn w:val="1"/>
    <w:link w:val="50"/>
    <w:qFormat/>
    <w:locked/>
    <w:uiPriority w:val="0"/>
    <w:pPr>
      <w:spacing w:after="120" w:line="480" w:lineRule="auto"/>
    </w:pPr>
  </w:style>
  <w:style w:type="paragraph" w:styleId="24">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0"/>
    <w:next w:val="10"/>
    <w:link w:val="52"/>
    <w:semiHidden/>
    <w:qFormat/>
    <w:uiPriority w:val="0"/>
    <w:rPr>
      <w:b/>
    </w:rPr>
  </w:style>
  <w:style w:type="paragraph" w:styleId="26">
    <w:name w:val="Body Text First Indent"/>
    <w:basedOn w:val="11"/>
    <w:link w:val="116"/>
    <w:unhideWhenUsed/>
    <w:qFormat/>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2"/>
    <w:next w:val="1"/>
    <w:link w:val="170"/>
    <w:unhideWhenUsed/>
    <w:qFormat/>
    <w:locked/>
    <w:uiPriority w:val="99"/>
    <w:pPr>
      <w:ind w:firstLine="420" w:firstLineChars="200"/>
    </w:pPr>
    <w:rPr>
      <w:kern w:val="2"/>
      <w:sz w:val="21"/>
      <w:szCs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0">
    <w:name w:val="Table Theme"/>
    <w:basedOn w:val="28"/>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Strong"/>
    <w:qFormat/>
    <w:locked/>
    <w:uiPriority w:val="0"/>
    <w:rPr>
      <w:b/>
    </w:rPr>
  </w:style>
  <w:style w:type="character" w:styleId="33">
    <w:name w:val="page number"/>
    <w:qFormat/>
    <w:locked/>
    <w:uiPriority w:val="0"/>
  </w:style>
  <w:style w:type="character" w:styleId="34">
    <w:name w:val="FollowedHyperlink"/>
    <w:basedOn w:val="31"/>
    <w:qFormat/>
    <w:locked/>
    <w:uiPriority w:val="0"/>
    <w:rPr>
      <w:color w:val="954F72" w:themeColor="followedHyperlink"/>
      <w:u w:val="single"/>
      <w14:textFill>
        <w14:solidFill>
          <w14:schemeClr w14:val="folHlink"/>
        </w14:solidFill>
      </w14:textFill>
    </w:rPr>
  </w:style>
  <w:style w:type="character" w:styleId="35">
    <w:name w:val="Emphasis"/>
    <w:basedOn w:val="31"/>
    <w:qFormat/>
    <w:locked/>
    <w:uiPriority w:val="0"/>
    <w:rPr>
      <w:i/>
    </w:rPr>
  </w:style>
  <w:style w:type="character" w:styleId="36">
    <w:name w:val="Hyperlink"/>
    <w:basedOn w:val="31"/>
    <w:unhideWhenUsed/>
    <w:qFormat/>
    <w:locked/>
    <w:uiPriority w:val="99"/>
    <w:rPr>
      <w:color w:val="0563C1"/>
      <w:u w:val="single"/>
    </w:rPr>
  </w:style>
  <w:style w:type="character" w:styleId="37">
    <w:name w:val="annotation reference"/>
    <w:semiHidden/>
    <w:qFormat/>
    <w:uiPriority w:val="0"/>
    <w:rPr>
      <w:sz w:val="21"/>
    </w:rPr>
  </w:style>
  <w:style w:type="paragraph" w:customStyle="1" w:styleId="38">
    <w:name w:val="正文首行缩进 21"/>
    <w:basedOn w:val="12"/>
    <w:qFormat/>
    <w:locked/>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character" w:customStyle="1" w:styleId="39">
    <w:name w:val="正文文本缩进 字符"/>
    <w:link w:val="12"/>
    <w:semiHidden/>
    <w:qFormat/>
    <w:locked/>
    <w:uiPriority w:val="0"/>
    <w:rPr>
      <w:rFonts w:ascii="Times New Roman" w:hAnsi="Times New Roman" w:eastAsia="宋体"/>
      <w:sz w:val="24"/>
    </w:rPr>
  </w:style>
  <w:style w:type="character" w:customStyle="1" w:styleId="40">
    <w:name w:val="标题 2 字符"/>
    <w:link w:val="3"/>
    <w:qFormat/>
    <w:uiPriority w:val="0"/>
    <w:rPr>
      <w:rFonts w:ascii="Arial" w:hAnsi="Arial" w:eastAsia="黑体"/>
      <w:b/>
      <w:sz w:val="32"/>
    </w:rPr>
  </w:style>
  <w:style w:type="character" w:customStyle="1" w:styleId="41">
    <w:name w:val="标题 4 字符"/>
    <w:link w:val="5"/>
    <w:qFormat/>
    <w:uiPriority w:val="0"/>
    <w:rPr>
      <w:rFonts w:ascii="Calibri Light" w:hAnsi="Calibri Light" w:eastAsia="宋体" w:cs="Times New Roman"/>
      <w:b/>
      <w:bCs/>
      <w:kern w:val="2"/>
      <w:sz w:val="28"/>
      <w:szCs w:val="28"/>
    </w:rPr>
  </w:style>
  <w:style w:type="character" w:customStyle="1" w:styleId="42">
    <w:name w:val="批注文字 字符"/>
    <w:link w:val="10"/>
    <w:qFormat/>
    <w:locked/>
    <w:uiPriority w:val="99"/>
    <w:rPr>
      <w:rFonts w:ascii="Times New Roman" w:hAnsi="Times New Roman" w:eastAsia="宋体"/>
      <w:sz w:val="24"/>
    </w:rPr>
  </w:style>
  <w:style w:type="character" w:customStyle="1" w:styleId="43">
    <w:name w:val="正文文本 字符"/>
    <w:link w:val="11"/>
    <w:qFormat/>
    <w:locked/>
    <w:uiPriority w:val="0"/>
    <w:rPr>
      <w:sz w:val="18"/>
    </w:rPr>
  </w:style>
  <w:style w:type="character" w:customStyle="1" w:styleId="44">
    <w:name w:val="纯文本 字符"/>
    <w:link w:val="14"/>
    <w:qFormat/>
    <w:uiPriority w:val="0"/>
    <w:rPr>
      <w:rFonts w:ascii="宋体" w:hAnsi="Courier New"/>
      <w:kern w:val="2"/>
      <w:sz w:val="21"/>
      <w:szCs w:val="24"/>
    </w:rPr>
  </w:style>
  <w:style w:type="character" w:customStyle="1" w:styleId="45">
    <w:name w:val="日期 字符1"/>
    <w:link w:val="15"/>
    <w:qFormat/>
    <w:locked/>
    <w:uiPriority w:val="0"/>
    <w:rPr>
      <w:rFonts w:ascii="Times New Roman" w:hAnsi="Times New Roman" w:eastAsia="宋体"/>
      <w:sz w:val="24"/>
    </w:rPr>
  </w:style>
  <w:style w:type="character" w:customStyle="1" w:styleId="46">
    <w:name w:val="批注框文本 字符"/>
    <w:link w:val="19"/>
    <w:semiHidden/>
    <w:qFormat/>
    <w:locked/>
    <w:uiPriority w:val="0"/>
    <w:rPr>
      <w:rFonts w:ascii="Times New Roman" w:hAnsi="Times New Roman" w:eastAsia="宋体"/>
      <w:sz w:val="18"/>
    </w:rPr>
  </w:style>
  <w:style w:type="character" w:customStyle="1" w:styleId="47">
    <w:name w:val="页脚 字符1"/>
    <w:link w:val="20"/>
    <w:qFormat/>
    <w:locked/>
    <w:uiPriority w:val="99"/>
    <w:rPr>
      <w:sz w:val="18"/>
    </w:rPr>
  </w:style>
  <w:style w:type="character" w:customStyle="1" w:styleId="48">
    <w:name w:val="页眉 字符"/>
    <w:link w:val="21"/>
    <w:qFormat/>
    <w:locked/>
    <w:uiPriority w:val="0"/>
    <w:rPr>
      <w:sz w:val="18"/>
    </w:rPr>
  </w:style>
  <w:style w:type="paragraph" w:customStyle="1" w:styleId="49">
    <w:name w:val="目录 11"/>
    <w:basedOn w:val="1"/>
    <w:next w:val="1"/>
    <w:qFormat/>
    <w:locked/>
    <w:uiPriority w:val="39"/>
  </w:style>
  <w:style w:type="character" w:customStyle="1" w:styleId="50">
    <w:name w:val="正文文本 2 字符"/>
    <w:link w:val="23"/>
    <w:qFormat/>
    <w:uiPriority w:val="0"/>
    <w:rPr>
      <w:kern w:val="2"/>
      <w:sz w:val="21"/>
      <w:szCs w:val="24"/>
    </w:rPr>
  </w:style>
  <w:style w:type="character" w:customStyle="1" w:styleId="51">
    <w:name w:val="普通(网站) 字符"/>
    <w:link w:val="24"/>
    <w:qFormat/>
    <w:locked/>
    <w:uiPriority w:val="0"/>
    <w:rPr>
      <w:rFonts w:ascii="宋体" w:hAnsi="宋体" w:eastAsia="宋体"/>
      <w:sz w:val="24"/>
    </w:rPr>
  </w:style>
  <w:style w:type="character" w:customStyle="1" w:styleId="52">
    <w:name w:val="批注主题 字符"/>
    <w:link w:val="25"/>
    <w:semiHidden/>
    <w:qFormat/>
    <w:locked/>
    <w:uiPriority w:val="0"/>
    <w:rPr>
      <w:rFonts w:ascii="Times New Roman" w:hAnsi="Times New Roman" w:eastAsia="宋体"/>
      <w:b/>
      <w:kern w:val="2"/>
      <w:sz w:val="24"/>
    </w:rPr>
  </w:style>
  <w:style w:type="paragraph" w:customStyle="1" w:styleId="53">
    <w:name w:val="四级条标题"/>
    <w:basedOn w:val="54"/>
    <w:next w:val="58"/>
    <w:qFormat/>
    <w:uiPriority w:val="0"/>
    <w:pPr>
      <w:numPr>
        <w:ilvl w:val="5"/>
      </w:numPr>
      <w:tabs>
        <w:tab w:val="left" w:pos="360"/>
        <w:tab w:val="left" w:pos="903"/>
      </w:tabs>
      <w:outlineLvl w:val="5"/>
    </w:pPr>
  </w:style>
  <w:style w:type="paragraph" w:customStyle="1" w:styleId="54">
    <w:name w:val="三级条标题"/>
    <w:basedOn w:val="55"/>
    <w:next w:val="58"/>
    <w:qFormat/>
    <w:uiPriority w:val="0"/>
    <w:pPr>
      <w:numPr>
        <w:ilvl w:val="4"/>
      </w:numPr>
      <w:tabs>
        <w:tab w:val="left" w:pos="360"/>
        <w:tab w:val="left" w:pos="903"/>
      </w:tabs>
      <w:outlineLvl w:val="4"/>
    </w:pPr>
  </w:style>
  <w:style w:type="paragraph" w:customStyle="1" w:styleId="55">
    <w:name w:val="二级条标题"/>
    <w:basedOn w:val="56"/>
    <w:next w:val="58"/>
    <w:qFormat/>
    <w:uiPriority w:val="0"/>
    <w:pPr>
      <w:numPr>
        <w:ilvl w:val="3"/>
      </w:numPr>
      <w:tabs>
        <w:tab w:val="left" w:pos="360"/>
        <w:tab w:val="left" w:pos="903"/>
      </w:tabs>
      <w:outlineLvl w:val="3"/>
    </w:pPr>
  </w:style>
  <w:style w:type="paragraph" w:customStyle="1" w:styleId="56">
    <w:name w:val="一级条标题"/>
    <w:basedOn w:val="57"/>
    <w:next w:val="58"/>
    <w:qFormat/>
    <w:uiPriority w:val="0"/>
    <w:pPr>
      <w:numPr>
        <w:ilvl w:val="2"/>
      </w:numPr>
      <w:tabs>
        <w:tab w:val="left" w:pos="360"/>
        <w:tab w:val="left" w:pos="903"/>
      </w:tabs>
      <w:spacing w:before="0" w:after="0"/>
      <w:outlineLvl w:val="2"/>
    </w:pPr>
  </w:style>
  <w:style w:type="paragraph" w:customStyle="1" w:styleId="57">
    <w:name w:val="章标题"/>
    <w:next w:val="58"/>
    <w:qFormat/>
    <w:uiPriority w:val="0"/>
    <w:pPr>
      <w:numPr>
        <w:ilvl w:val="1"/>
        <w:numId w:val="1"/>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页脚 字符"/>
    <w:qFormat/>
    <w:uiPriority w:val="0"/>
  </w:style>
  <w:style w:type="character" w:customStyle="1" w:styleId="60">
    <w:name w:val="正文文本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日期 字符"/>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paragraph" w:customStyle="1" w:styleId="6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正文"/>
    <w:basedOn w:val="1"/>
    <w:qFormat/>
    <w:uiPriority w:val="0"/>
    <w:pPr>
      <w:autoSpaceDE w:val="0"/>
      <w:autoSpaceDN w:val="0"/>
      <w:adjustRightInd w:val="0"/>
      <w:snapToGrid w:val="0"/>
      <w:ind w:firstLine="200" w:firstLineChars="200"/>
    </w:pPr>
  </w:style>
  <w:style w:type="paragraph" w:customStyle="1" w:styleId="68">
    <w:name w:val="表文"/>
    <w:basedOn w:val="1"/>
    <w:qFormat/>
    <w:uiPriority w:val="0"/>
    <w:pPr>
      <w:adjustRightInd w:val="0"/>
      <w:spacing w:before="120" w:after="120" w:line="200" w:lineRule="atLeast"/>
      <w:jc w:val="center"/>
      <w:textAlignment w:val="baseline"/>
    </w:pPr>
    <w:rPr>
      <w:rFonts w:ascii="宋体"/>
      <w:szCs w:val="18"/>
    </w:rPr>
  </w:style>
  <w:style w:type="paragraph" w:customStyle="1" w:styleId="69">
    <w:name w:val="Table Paragraph"/>
    <w:basedOn w:val="1"/>
    <w:qFormat/>
    <w:uiPriority w:val="1"/>
    <w:pPr>
      <w:snapToGrid w:val="0"/>
      <w:jc w:val="left"/>
    </w:pPr>
    <w:rPr>
      <w:rFonts w:ascii="Calibri" w:hAnsi="Calibri" w:cs="Calibri"/>
      <w:kern w:val="0"/>
      <w:sz w:val="22"/>
      <w:lang w:eastAsia="en-US"/>
    </w:rPr>
  </w:style>
  <w:style w:type="paragraph" w:customStyle="1" w:styleId="70">
    <w:name w:val="文本文字"/>
    <w:basedOn w:val="1"/>
    <w:qFormat/>
    <w:uiPriority w:val="0"/>
    <w:pPr>
      <w:widowControl/>
      <w:ind w:firstLine="200" w:firstLineChars="200"/>
    </w:pPr>
    <w:rPr>
      <w:color w:val="000000"/>
      <w:kern w:val="0"/>
    </w:rPr>
  </w:style>
  <w:style w:type="paragraph" w:customStyle="1" w:styleId="71">
    <w:name w:val="表格文字"/>
    <w:basedOn w:val="1"/>
    <w:next w:val="1"/>
    <w:link w:val="72"/>
    <w:qFormat/>
    <w:uiPriority w:val="0"/>
    <w:pPr>
      <w:spacing w:line="300" w:lineRule="exact"/>
      <w:jc w:val="center"/>
    </w:pPr>
    <w:rPr>
      <w:color w:val="000000"/>
      <w:kern w:val="24"/>
      <w:szCs w:val="20"/>
    </w:rPr>
  </w:style>
  <w:style w:type="character" w:customStyle="1" w:styleId="72">
    <w:name w:val="表格文字 Char"/>
    <w:link w:val="71"/>
    <w:qFormat/>
    <w:locked/>
    <w:uiPriority w:val="0"/>
    <w:rPr>
      <w:snapToGrid/>
      <w:color w:val="000000"/>
      <w:kern w:val="24"/>
      <w:sz w:val="21"/>
    </w:rPr>
  </w:style>
  <w:style w:type="table" w:customStyle="1" w:styleId="73">
    <w:name w:val="Table Normal"/>
    <w:unhideWhenUsed/>
    <w:qFormat/>
    <w:uiPriority w:val="2"/>
    <w:tblPr>
      <w:tblLayout w:type="fixed"/>
      <w:tblCellMar>
        <w:top w:w="0" w:type="dxa"/>
        <w:left w:w="0" w:type="dxa"/>
        <w:bottom w:w="0" w:type="dxa"/>
        <w:right w:w="0" w:type="dxa"/>
      </w:tblCellMar>
    </w:tblPr>
  </w:style>
  <w:style w:type="paragraph" w:customStyle="1" w:styleId="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样式4"/>
    <w:basedOn w:val="1"/>
    <w:link w:val="127"/>
    <w:qFormat/>
    <w:uiPriority w:val="0"/>
    <w:pPr>
      <w:spacing w:line="360" w:lineRule="auto"/>
      <w:ind w:firstLine="1044" w:firstLineChars="200"/>
    </w:pPr>
  </w:style>
  <w:style w:type="paragraph" w:customStyle="1" w:styleId="76">
    <w:name w:val="样式2"/>
    <w:basedOn w:val="1"/>
    <w:qFormat/>
    <w:uiPriority w:val="0"/>
    <w:pPr>
      <w:jc w:val="center"/>
    </w:pPr>
    <w:rPr>
      <w:rFonts w:eastAsia="黑体"/>
    </w:rPr>
  </w:style>
  <w:style w:type="paragraph" w:customStyle="1" w:styleId="77">
    <w:name w:val="正文文本2"/>
    <w:basedOn w:val="11"/>
    <w:qFormat/>
    <w:uiPriority w:val="0"/>
    <w:pPr>
      <w:spacing w:after="0"/>
      <w:ind w:firstLine="480" w:firstLineChars="200"/>
    </w:pPr>
    <w:rPr>
      <w:rFonts w:ascii="宋体" w:cs="宋体"/>
    </w:rPr>
  </w:style>
  <w:style w:type="paragraph" w:customStyle="1" w:styleId="78">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79">
    <w:name w:val="表1表头"/>
    <w:basedOn w:val="1"/>
    <w:qFormat/>
    <w:uiPriority w:val="0"/>
    <w:pPr>
      <w:numPr>
        <w:ilvl w:val="0"/>
        <w:numId w:val="2"/>
      </w:numPr>
      <w:spacing w:line="360" w:lineRule="auto"/>
      <w:ind w:left="0" w:firstLine="0"/>
      <w:jc w:val="center"/>
    </w:pPr>
    <w:rPr>
      <w:rFonts w:ascii="宋体" w:hAnsi="宋体"/>
      <w:b/>
      <w:szCs w:val="21"/>
    </w:rPr>
  </w:style>
  <w:style w:type="paragraph" w:customStyle="1" w:styleId="80">
    <w:name w:val="表格表格"/>
    <w:basedOn w:val="1"/>
    <w:link w:val="81"/>
    <w:qFormat/>
    <w:uiPriority w:val="0"/>
    <w:pPr>
      <w:framePr w:wrap="around" w:vAnchor="text" w:hAnchor="text" w:xAlign="center" w:y="1"/>
      <w:autoSpaceDE w:val="0"/>
      <w:autoSpaceDN w:val="0"/>
      <w:adjustRightInd w:val="0"/>
      <w:jc w:val="center"/>
    </w:pPr>
    <w:rPr>
      <w:rFonts w:ascii="宋体" w:hAnsi="宋体"/>
      <w:kern w:val="0"/>
      <w:szCs w:val="21"/>
    </w:rPr>
  </w:style>
  <w:style w:type="character" w:customStyle="1" w:styleId="81">
    <w:name w:val="表格表格 Char"/>
    <w:link w:val="80"/>
    <w:qFormat/>
    <w:uiPriority w:val="0"/>
    <w:rPr>
      <w:rFonts w:ascii="宋体" w:hAnsi="宋体"/>
      <w:sz w:val="21"/>
      <w:szCs w:val="21"/>
    </w:rPr>
  </w:style>
  <w:style w:type="paragraph" w:customStyle="1" w:styleId="82">
    <w:name w:val="正文样式"/>
    <w:basedOn w:val="1"/>
    <w:qFormat/>
    <w:uiPriority w:val="0"/>
    <w:pPr>
      <w:tabs>
        <w:tab w:val="left" w:pos="1440"/>
        <w:tab w:val="left" w:pos="4368"/>
      </w:tabs>
      <w:spacing w:line="360" w:lineRule="auto"/>
      <w:ind w:firstLine="493"/>
    </w:pPr>
    <w:rPr>
      <w:color w:val="FF0000"/>
      <w:sz w:val="24"/>
    </w:rPr>
  </w:style>
  <w:style w:type="character" w:customStyle="1" w:styleId="83">
    <w:name w:val="Unresolved Mention"/>
    <w:unhideWhenUsed/>
    <w:qFormat/>
    <w:uiPriority w:val="99"/>
    <w:rPr>
      <w:color w:val="605E5C"/>
      <w:shd w:val="clear" w:color="auto" w:fill="E1DFDD"/>
    </w:rPr>
  </w:style>
  <w:style w:type="paragraph" w:customStyle="1" w:styleId="84">
    <w:name w:val="报告"/>
    <w:basedOn w:val="1"/>
    <w:link w:val="85"/>
    <w:qFormat/>
    <w:uiPriority w:val="0"/>
    <w:pPr>
      <w:adjustRightInd w:val="0"/>
      <w:spacing w:line="360" w:lineRule="auto"/>
      <w:ind w:firstLine="505"/>
      <w:textAlignment w:val="baseline"/>
    </w:pPr>
    <w:rPr>
      <w:kern w:val="0"/>
      <w:sz w:val="24"/>
      <w:szCs w:val="20"/>
    </w:rPr>
  </w:style>
  <w:style w:type="character" w:customStyle="1" w:styleId="85">
    <w:name w:val="报告 Char"/>
    <w:link w:val="84"/>
    <w:qFormat/>
    <w:uiPriority w:val="0"/>
    <w:rPr>
      <w:sz w:val="24"/>
    </w:rPr>
  </w:style>
  <w:style w:type="character" w:customStyle="1" w:styleId="86">
    <w:name w:val="页眉 Char"/>
    <w:qFormat/>
    <w:uiPriority w:val="99"/>
    <w:rPr>
      <w:sz w:val="18"/>
      <w:szCs w:val="18"/>
    </w:rPr>
  </w:style>
  <w:style w:type="character" w:customStyle="1" w:styleId="87">
    <w:name w:val="日期 Char"/>
    <w:qFormat/>
    <w:uiPriority w:val="0"/>
    <w:rPr>
      <w:rFonts w:ascii="Times New Roman" w:hAnsi="Times New Roman" w:eastAsia="宋体" w:cs="Times New Roman"/>
      <w:szCs w:val="20"/>
    </w:rPr>
  </w:style>
  <w:style w:type="paragraph" w:customStyle="1" w:styleId="88">
    <w:name w:val="列出段落"/>
    <w:basedOn w:val="1"/>
    <w:qFormat/>
    <w:uiPriority w:val="99"/>
    <w:pPr>
      <w:ind w:firstLine="420" w:firstLineChars="200"/>
    </w:pPr>
  </w:style>
  <w:style w:type="character" w:customStyle="1" w:styleId="89">
    <w:name w:val="fontstyle01"/>
    <w:qFormat/>
    <w:uiPriority w:val="0"/>
    <w:rPr>
      <w:rFonts w:ascii="宋体" w:hAnsi="宋体" w:eastAsia="宋体" w:cs="宋体"/>
      <w:color w:val="000000"/>
      <w:kern w:val="0"/>
      <w:sz w:val="24"/>
      <w:szCs w:val="24"/>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92">
    <w:name w:val="样式1"/>
    <w:basedOn w:val="28"/>
    <w:qFormat/>
    <w:uiPriority w:val="0"/>
    <w:rPr>
      <w:sz w:val="21"/>
    </w:r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character" w:customStyle="1" w:styleId="93">
    <w:name w:val="NormalCharacter"/>
    <w:semiHidden/>
    <w:qFormat/>
    <w:uiPriority w:val="0"/>
    <w:rPr>
      <w:kern w:val="2"/>
      <w:sz w:val="21"/>
      <w:lang w:val="en-US" w:eastAsia="zh-CN" w:bidi="ar-SA"/>
    </w:rPr>
  </w:style>
  <w:style w:type="paragraph" w:customStyle="1" w:styleId="94">
    <w:name w:val="1表格"/>
    <w:basedOn w:val="1"/>
    <w:qFormat/>
    <w:uiPriority w:val="0"/>
    <w:pPr>
      <w:snapToGrid w:val="0"/>
      <w:spacing w:line="160" w:lineRule="atLeast"/>
      <w:jc w:val="center"/>
    </w:pPr>
    <w:rPr>
      <w:rFonts w:eastAsia="仿宋_GB2312"/>
      <w:szCs w:val="20"/>
    </w:rPr>
  </w:style>
  <w:style w:type="paragraph" w:customStyle="1" w:styleId="95">
    <w:name w:val="样式 宋体 小四 行距: 1.5 倍行距"/>
    <w:basedOn w:val="1"/>
    <w:qFormat/>
    <w:uiPriority w:val="0"/>
    <w:pPr>
      <w:ind w:firstLine="480" w:firstLineChars="200"/>
    </w:pPr>
    <w:rPr>
      <w:rFonts w:ascii="宋体" w:hAnsi="宋体"/>
      <w:szCs w:val="20"/>
    </w:rPr>
  </w:style>
  <w:style w:type="paragraph" w:customStyle="1" w:styleId="96">
    <w:name w:val="报告表格"/>
    <w:basedOn w:val="1"/>
    <w:link w:val="153"/>
    <w:qFormat/>
    <w:uiPriority w:val="0"/>
    <w:pPr>
      <w:autoSpaceDE w:val="0"/>
      <w:autoSpaceDN w:val="0"/>
      <w:adjustRightInd w:val="0"/>
      <w:spacing w:before="40" w:after="40"/>
      <w:jc w:val="center"/>
      <w:textAlignment w:val="bottom"/>
    </w:pPr>
    <w:rPr>
      <w:kern w:val="0"/>
      <w:szCs w:val="20"/>
    </w:rPr>
  </w:style>
  <w:style w:type="paragraph" w:customStyle="1" w:styleId="97">
    <w:name w:val="哈喽"/>
    <w:basedOn w:val="1"/>
    <w:qFormat/>
    <w:uiPriority w:val="0"/>
    <w:pPr>
      <w:spacing w:line="360" w:lineRule="auto"/>
      <w:ind w:firstLine="200" w:firstLineChars="200"/>
      <w:jc w:val="left"/>
    </w:pPr>
    <w:rPr>
      <w:rFonts w:ascii="宋体" w:hAnsi="宋体"/>
      <w:kern w:val="28"/>
      <w:sz w:val="28"/>
      <w:szCs w:val="28"/>
    </w:rPr>
  </w:style>
  <w:style w:type="table" w:customStyle="1" w:styleId="98">
    <w:name w:val="样式3"/>
    <w:basedOn w:val="28"/>
    <w:qFormat/>
    <w:uiPriority w:val="99"/>
    <w:rPr>
      <w:rFonts w:cs="Calibri"/>
      <w:sz w:val="22"/>
    </w:rPr>
    <w:tblP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cPr>
      <w:vAlign w:val="center"/>
    </w:tcPr>
  </w:style>
  <w:style w:type="paragraph" w:customStyle="1" w:styleId="99">
    <w:name w:val="表格标题"/>
    <w:basedOn w:val="88"/>
    <w:qFormat/>
    <w:uiPriority w:val="0"/>
    <w:pPr>
      <w:spacing w:line="360" w:lineRule="auto"/>
      <w:ind w:firstLine="0" w:firstLineChars="0"/>
      <w:jc w:val="center"/>
    </w:pPr>
    <w:rPr>
      <w:rFonts w:ascii="宋体" w:hAnsi="宋体" w:eastAsia="仿宋_GB2312" w:cs="宋体"/>
      <w:b/>
    </w:rPr>
  </w:style>
  <w:style w:type="paragraph" w:customStyle="1" w:styleId="100">
    <w:name w:val="填表内容"/>
    <w:basedOn w:val="1"/>
    <w:qFormat/>
    <w:uiPriority w:val="0"/>
    <w:pPr>
      <w:adjustRightInd w:val="0"/>
      <w:spacing w:line="480" w:lineRule="exact"/>
      <w:ind w:firstLine="560" w:firstLineChars="200"/>
      <w:jc w:val="left"/>
      <w:textAlignment w:val="baseline"/>
    </w:pPr>
    <w:rPr>
      <w:rFonts w:ascii="Calibri" w:hAnsi="宋体" w:eastAsia="Calibri" w:cs="宋体"/>
    </w:rPr>
  </w:style>
  <w:style w:type="paragraph" w:customStyle="1" w:styleId="101">
    <w:name w:val="正文-204"/>
    <w:basedOn w:val="1"/>
    <w:qFormat/>
    <w:uiPriority w:val="0"/>
    <w:pPr>
      <w:spacing w:line="360" w:lineRule="auto"/>
      <w:ind w:firstLine="480" w:firstLineChars="200"/>
      <w:contextualSpacing/>
    </w:pPr>
    <w:rPr>
      <w:sz w:val="24"/>
    </w:rPr>
  </w:style>
  <w:style w:type="paragraph" w:customStyle="1" w:styleId="102">
    <w:name w:val="_Style 89"/>
    <w:basedOn w:val="12"/>
    <w:next w:val="38"/>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paragraph" w:customStyle="1" w:styleId="103">
    <w:name w:val="无间隔4"/>
    <w:qFormat/>
    <w:uiPriority w:val="0"/>
    <w:pPr>
      <w:widowControl w:val="0"/>
      <w:spacing w:line="290" w:lineRule="exact"/>
      <w:jc w:val="center"/>
    </w:pPr>
    <w:rPr>
      <w:rFonts w:ascii="Times New Roman" w:hAnsi="Times New Roman" w:eastAsia="宋体" w:cs="Times New Roman"/>
      <w:kern w:val="2"/>
      <w:sz w:val="18"/>
      <w:szCs w:val="22"/>
      <w:lang w:val="en-US" w:eastAsia="zh-CN" w:bidi="ar-SA"/>
    </w:rPr>
  </w:style>
  <w:style w:type="paragraph" w:customStyle="1" w:styleId="104">
    <w:name w:val="图标标题"/>
    <w:basedOn w:val="1"/>
    <w:next w:val="1"/>
    <w:link w:val="105"/>
    <w:qFormat/>
    <w:uiPriority w:val="0"/>
    <w:pPr>
      <w:spacing w:line="360" w:lineRule="auto"/>
      <w:jc w:val="center"/>
    </w:pPr>
    <w:rPr>
      <w:rFonts w:cs="Calibri"/>
      <w:b/>
      <w:kern w:val="0"/>
      <w:szCs w:val="20"/>
    </w:rPr>
  </w:style>
  <w:style w:type="character" w:customStyle="1" w:styleId="105">
    <w:name w:val="图标标题 Char"/>
    <w:link w:val="104"/>
    <w:qFormat/>
    <w:uiPriority w:val="0"/>
    <w:rPr>
      <w:rFonts w:cs="Calibri"/>
      <w:b/>
      <w:sz w:val="21"/>
    </w:rPr>
  </w:style>
  <w:style w:type="paragraph" w:customStyle="1" w:styleId="106">
    <w:name w:val="环评表格"/>
    <w:basedOn w:val="1"/>
    <w:link w:val="107"/>
    <w:qFormat/>
    <w:uiPriority w:val="0"/>
    <w:pPr>
      <w:overflowPunct w:val="0"/>
      <w:jc w:val="center"/>
      <w:textAlignment w:val="baseline"/>
    </w:pPr>
    <w:rPr>
      <w:color w:val="000000"/>
      <w:kern w:val="0"/>
      <w:szCs w:val="21"/>
    </w:rPr>
  </w:style>
  <w:style w:type="character" w:customStyle="1" w:styleId="107">
    <w:name w:val="环评表格 Char"/>
    <w:link w:val="106"/>
    <w:qFormat/>
    <w:uiPriority w:val="0"/>
    <w:rPr>
      <w:color w:val="000000"/>
      <w:sz w:val="21"/>
      <w:szCs w:val="21"/>
    </w:rPr>
  </w:style>
  <w:style w:type="paragraph" w:customStyle="1" w:styleId="108">
    <w:name w:val="0正文"/>
    <w:basedOn w:val="12"/>
    <w:link w:val="109"/>
    <w:qFormat/>
    <w:uiPriority w:val="0"/>
    <w:pPr>
      <w:spacing w:after="0" w:line="360" w:lineRule="auto"/>
      <w:ind w:left="0" w:leftChars="0" w:firstLine="200" w:firstLineChars="200"/>
    </w:pPr>
    <w:rPr>
      <w:rFonts w:cs="宋体"/>
      <w:lang w:val="zh-CN"/>
    </w:rPr>
  </w:style>
  <w:style w:type="character" w:customStyle="1" w:styleId="109">
    <w:name w:val="0正文 Char"/>
    <w:link w:val="108"/>
    <w:qFormat/>
    <w:uiPriority w:val="0"/>
    <w:rPr>
      <w:rFonts w:cs="宋体"/>
      <w:sz w:val="24"/>
      <w:lang w:val="zh-CN"/>
    </w:rPr>
  </w:style>
  <w:style w:type="paragraph" w:customStyle="1" w:styleId="110">
    <w:name w:val="lin画布粘贴"/>
    <w:basedOn w:val="1"/>
    <w:link w:val="160"/>
    <w:qFormat/>
    <w:uiPriority w:val="0"/>
    <w:pPr>
      <w:numPr>
        <w:ilvl w:val="7"/>
        <w:numId w:val="3"/>
      </w:numPr>
      <w:jc w:val="center"/>
    </w:pPr>
    <w:rPr>
      <w:b/>
      <w:sz w:val="24"/>
    </w:rPr>
  </w:style>
  <w:style w:type="character" w:customStyle="1" w:styleId="111">
    <w:name w:val="样式 小四 行距: 固定值 26 磅 首行缩进:  2 字符 Char"/>
    <w:link w:val="112"/>
    <w:qFormat/>
    <w:locked/>
    <w:uiPriority w:val="99"/>
    <w:rPr>
      <w:kern w:val="2"/>
      <w:sz w:val="24"/>
      <w:szCs w:val="24"/>
    </w:rPr>
  </w:style>
  <w:style w:type="paragraph" w:customStyle="1" w:styleId="112">
    <w:name w:val="样式 小四 行距: 固定值 26 磅 首行缩进:  2 字符"/>
    <w:basedOn w:val="1"/>
    <w:link w:val="111"/>
    <w:qFormat/>
    <w:uiPriority w:val="99"/>
    <w:pPr>
      <w:spacing w:line="500" w:lineRule="exact"/>
      <w:ind w:firstLine="200" w:firstLineChars="200"/>
    </w:pPr>
    <w:rPr>
      <w:sz w:val="24"/>
    </w:rPr>
  </w:style>
  <w:style w:type="paragraph" w:customStyle="1" w:styleId="113">
    <w:name w:val="南华表格"/>
    <w:basedOn w:val="1"/>
    <w:qFormat/>
    <w:uiPriority w:val="0"/>
    <w:pPr>
      <w:spacing w:line="312" w:lineRule="auto"/>
    </w:pPr>
    <w:rPr>
      <w:rFonts w:ascii="宋体" w:hAnsi="宋体"/>
      <w:color w:val="000000"/>
    </w:rPr>
  </w:style>
  <w:style w:type="paragraph" w:customStyle="1" w:styleId="114">
    <w:name w:val="_Style 101"/>
    <w:basedOn w:val="12"/>
    <w:next w:val="38"/>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character" w:customStyle="1" w:styleId="115">
    <w:name w:val="标题 3 字符"/>
    <w:link w:val="4"/>
    <w:qFormat/>
    <w:uiPriority w:val="1"/>
    <w:rPr>
      <w:rFonts w:ascii="黑体" w:hAnsi="黑体" w:cs="黑体"/>
      <w:b/>
      <w:bCs/>
      <w:kern w:val="2"/>
      <w:sz w:val="21"/>
      <w:szCs w:val="32"/>
    </w:rPr>
  </w:style>
  <w:style w:type="character" w:customStyle="1" w:styleId="116">
    <w:name w:val="正文文本首行缩进 字符"/>
    <w:link w:val="26"/>
    <w:qFormat/>
    <w:uiPriority w:val="0"/>
    <w:rPr>
      <w:kern w:val="2"/>
      <w:sz w:val="21"/>
      <w:szCs w:val="24"/>
    </w:rPr>
  </w:style>
  <w:style w:type="character" w:customStyle="1" w:styleId="117">
    <w:name w:val="普通(网站) Char"/>
    <w:qFormat/>
    <w:locked/>
    <w:uiPriority w:val="0"/>
    <w:rPr>
      <w:rFonts w:ascii="宋体" w:hAnsi="宋体" w:eastAsia="宋体"/>
      <w:sz w:val="24"/>
    </w:rPr>
  </w:style>
  <w:style w:type="paragraph" w:customStyle="1" w:styleId="118">
    <w:name w:val="正文1"/>
    <w:basedOn w:val="1"/>
    <w:unhideWhenUsed/>
    <w:qFormat/>
    <w:uiPriority w:val="0"/>
    <w:pPr>
      <w:adjustRightInd w:val="0"/>
      <w:spacing w:line="400" w:lineRule="exact"/>
      <w:ind w:firstLine="117" w:firstLineChars="50"/>
    </w:pPr>
    <w:rPr>
      <w:rFonts w:hint="eastAsia" w:ascii="宋体" w:hAnsi="宋体"/>
      <w:color w:val="FF0000"/>
      <w:w w:val="98"/>
      <w:sz w:val="24"/>
    </w:rPr>
  </w:style>
  <w:style w:type="paragraph" w:customStyle="1" w:styleId="119">
    <w:name w:val="样式 标题 3 +"/>
    <w:basedOn w:val="4"/>
    <w:qFormat/>
    <w:uiPriority w:val="0"/>
    <w:pPr>
      <w:spacing w:line="240" w:lineRule="auto"/>
    </w:pPr>
    <w:rPr>
      <w:rFonts w:eastAsia="黑体"/>
      <w:b w:val="0"/>
      <w:kern w:val="0"/>
      <w:sz w:val="24"/>
      <w:szCs w:val="24"/>
    </w:rPr>
  </w:style>
  <w:style w:type="paragraph" w:styleId="120">
    <w:name w:val="No Spacing"/>
    <w:qFormat/>
    <w:uiPriority w:val="1"/>
    <w:pPr>
      <w:widowControl w:val="0"/>
      <w:jc w:val="both"/>
    </w:pPr>
    <w:rPr>
      <w:rFonts w:hint="eastAsia" w:ascii="Calibri" w:hAnsi="Calibri" w:eastAsia="Calibri" w:cs="Times New Roman"/>
      <w:kern w:val="2"/>
      <w:sz w:val="21"/>
      <w:szCs w:val="22"/>
      <w:lang w:val="en-US" w:eastAsia="zh-CN" w:bidi="ar-SA"/>
    </w:rPr>
  </w:style>
  <w:style w:type="paragraph" w:customStyle="1" w:styleId="121">
    <w:name w:val="自动A"/>
    <w:basedOn w:val="1"/>
    <w:qFormat/>
    <w:uiPriority w:val="0"/>
    <w:pPr>
      <w:spacing w:before="120" w:after="120" w:line="360" w:lineRule="auto"/>
      <w:ind w:firstLine="480" w:firstLineChars="200"/>
    </w:pPr>
    <w:rPr>
      <w:rFonts w:ascii="Calibri" w:hAnsi="Calibri"/>
      <w:color w:val="000000"/>
      <w:kern w:val="0"/>
      <w:sz w:val="24"/>
      <w:szCs w:val="20"/>
    </w:rPr>
  </w:style>
  <w:style w:type="character" w:customStyle="1" w:styleId="122">
    <w:name w:val="表格文字(5号) Char"/>
    <w:link w:val="123"/>
    <w:qFormat/>
    <w:uiPriority w:val="0"/>
    <w:rPr>
      <w:kern w:val="2"/>
      <w:sz w:val="21"/>
      <w:szCs w:val="24"/>
    </w:rPr>
  </w:style>
  <w:style w:type="paragraph" w:customStyle="1" w:styleId="123">
    <w:name w:val="表格文字(5号)"/>
    <w:link w:val="122"/>
    <w:qFormat/>
    <w:uiPriority w:val="0"/>
    <w:pPr>
      <w:jc w:val="center"/>
    </w:pPr>
    <w:rPr>
      <w:rFonts w:ascii="Times New Roman" w:hAnsi="Times New Roman" w:eastAsia="宋体" w:cs="Times New Roman"/>
      <w:kern w:val="2"/>
      <w:sz w:val="21"/>
      <w:szCs w:val="24"/>
      <w:lang w:val="en-US" w:eastAsia="zh-CN" w:bidi="ar-SA"/>
    </w:rPr>
  </w:style>
  <w:style w:type="character" w:customStyle="1" w:styleId="124">
    <w:name w:val="正文文本缩进 2 字符"/>
    <w:link w:val="16"/>
    <w:qFormat/>
    <w:uiPriority w:val="0"/>
    <w:rPr>
      <w:rFonts w:ascii="宋体"/>
      <w:kern w:val="2"/>
      <w:sz w:val="21"/>
      <w:szCs w:val="24"/>
    </w:rPr>
  </w:style>
  <w:style w:type="paragraph" w:customStyle="1" w:styleId="125">
    <w:name w:val="三级标题"/>
    <w:basedOn w:val="1"/>
    <w:link w:val="126"/>
    <w:qFormat/>
    <w:uiPriority w:val="0"/>
    <w:pPr>
      <w:widowControl/>
      <w:spacing w:before="300" w:line="460" w:lineRule="exact"/>
      <w:jc w:val="left"/>
      <w:outlineLvl w:val="2"/>
    </w:pPr>
    <w:rPr>
      <w:rFonts w:ascii="宋体" w:hAnsi="宋体"/>
      <w:b/>
      <w:kern w:val="0"/>
      <w:sz w:val="24"/>
    </w:rPr>
  </w:style>
  <w:style w:type="character" w:customStyle="1" w:styleId="126">
    <w:name w:val="三级标题 Char"/>
    <w:link w:val="125"/>
    <w:qFormat/>
    <w:locked/>
    <w:uiPriority w:val="0"/>
    <w:rPr>
      <w:rFonts w:ascii="宋体" w:hAnsi="宋体"/>
      <w:b/>
      <w:sz w:val="24"/>
      <w:szCs w:val="24"/>
    </w:rPr>
  </w:style>
  <w:style w:type="character" w:customStyle="1" w:styleId="127">
    <w:name w:val="样式4 Char2"/>
    <w:link w:val="75"/>
    <w:qFormat/>
    <w:uiPriority w:val="0"/>
    <w:rPr>
      <w:kern w:val="2"/>
      <w:sz w:val="21"/>
      <w:szCs w:val="24"/>
    </w:rPr>
  </w:style>
  <w:style w:type="character" w:customStyle="1" w:styleId="128">
    <w:name w:val="样式5 Char3"/>
    <w:link w:val="129"/>
    <w:qFormat/>
    <w:uiPriority w:val="0"/>
    <w:rPr>
      <w:rFonts w:eastAsia="黑体"/>
      <w:color w:val="000000"/>
      <w:sz w:val="24"/>
      <w:szCs w:val="24"/>
    </w:rPr>
  </w:style>
  <w:style w:type="paragraph" w:customStyle="1" w:styleId="129">
    <w:name w:val="样式5"/>
    <w:basedOn w:val="75"/>
    <w:link w:val="128"/>
    <w:qFormat/>
    <w:uiPriority w:val="0"/>
    <w:pPr>
      <w:spacing w:line="240" w:lineRule="auto"/>
      <w:ind w:firstLine="0" w:firstLineChars="0"/>
      <w:jc w:val="center"/>
    </w:pPr>
    <w:rPr>
      <w:rFonts w:eastAsia="黑体"/>
      <w:color w:val="000000"/>
      <w:kern w:val="0"/>
      <w:sz w:val="24"/>
    </w:rPr>
  </w:style>
  <w:style w:type="character" w:customStyle="1" w:styleId="130">
    <w:name w:val="样式6 Char"/>
    <w:link w:val="131"/>
    <w:qFormat/>
    <w:uiPriority w:val="0"/>
    <w:rPr>
      <w:rFonts w:eastAsia="华文中宋"/>
      <w:color w:val="000000"/>
      <w:sz w:val="21"/>
      <w:szCs w:val="24"/>
    </w:rPr>
  </w:style>
  <w:style w:type="paragraph" w:customStyle="1" w:styleId="131">
    <w:name w:val="样式6"/>
    <w:basedOn w:val="75"/>
    <w:link w:val="130"/>
    <w:qFormat/>
    <w:uiPriority w:val="0"/>
    <w:pPr>
      <w:spacing w:line="240" w:lineRule="auto"/>
      <w:ind w:firstLine="420"/>
    </w:pPr>
    <w:rPr>
      <w:rFonts w:eastAsia="华文中宋"/>
      <w:color w:val="000000"/>
      <w:kern w:val="0"/>
    </w:rPr>
  </w:style>
  <w:style w:type="character" w:customStyle="1" w:styleId="132">
    <w:name w:val="表格文字内容 Char"/>
    <w:link w:val="133"/>
    <w:qFormat/>
    <w:uiPriority w:val="0"/>
    <w:rPr>
      <w:rFonts w:cs="宋体"/>
      <w:kern w:val="2"/>
      <w:sz w:val="18"/>
    </w:rPr>
  </w:style>
  <w:style w:type="paragraph" w:customStyle="1" w:styleId="133">
    <w:name w:val="表格文字内容"/>
    <w:basedOn w:val="1"/>
    <w:link w:val="132"/>
    <w:qFormat/>
    <w:uiPriority w:val="0"/>
    <w:pPr>
      <w:snapToGrid w:val="0"/>
      <w:spacing w:line="240" w:lineRule="exact"/>
      <w:jc w:val="center"/>
    </w:pPr>
    <w:rPr>
      <w:rFonts w:cs="宋体"/>
      <w:sz w:val="18"/>
      <w:szCs w:val="20"/>
    </w:rPr>
  </w:style>
  <w:style w:type="paragraph" w:customStyle="1" w:styleId="134">
    <w:name w:val="报告文本"/>
    <w:basedOn w:val="1"/>
    <w:link w:val="135"/>
    <w:qFormat/>
    <w:uiPriority w:val="0"/>
    <w:pPr>
      <w:adjustRightInd w:val="0"/>
      <w:snapToGrid w:val="0"/>
      <w:spacing w:line="460" w:lineRule="exact"/>
      <w:ind w:firstLine="200" w:firstLineChars="200"/>
    </w:pPr>
    <w:rPr>
      <w:kern w:val="24"/>
      <w:sz w:val="24"/>
      <w:szCs w:val="22"/>
    </w:rPr>
  </w:style>
  <w:style w:type="character" w:customStyle="1" w:styleId="135">
    <w:name w:val="报告文本 Char"/>
    <w:link w:val="134"/>
    <w:qFormat/>
    <w:uiPriority w:val="0"/>
    <w:rPr>
      <w:kern w:val="24"/>
      <w:sz w:val="24"/>
      <w:szCs w:val="22"/>
    </w:rPr>
  </w:style>
  <w:style w:type="paragraph" w:customStyle="1" w:styleId="136">
    <w:name w:val="表格样式"/>
    <w:basedOn w:val="1"/>
    <w:link w:val="137"/>
    <w:qFormat/>
    <w:uiPriority w:val="0"/>
    <w:pPr>
      <w:snapToGrid w:val="0"/>
      <w:jc w:val="center"/>
    </w:pPr>
    <w:rPr>
      <w:sz w:val="18"/>
    </w:rPr>
  </w:style>
  <w:style w:type="character" w:customStyle="1" w:styleId="137">
    <w:name w:val="表格样式 Char"/>
    <w:link w:val="136"/>
    <w:qFormat/>
    <w:uiPriority w:val="0"/>
    <w:rPr>
      <w:kern w:val="2"/>
      <w:sz w:val="18"/>
      <w:szCs w:val="24"/>
    </w:rPr>
  </w:style>
  <w:style w:type="character" w:customStyle="1" w:styleId="138">
    <w:name w:val="未处理的提及1"/>
    <w:semiHidden/>
    <w:unhideWhenUsed/>
    <w:qFormat/>
    <w:uiPriority w:val="99"/>
    <w:rPr>
      <w:color w:val="605E5C"/>
      <w:shd w:val="clear" w:color="auto" w:fill="E1DFDD"/>
    </w:rPr>
  </w:style>
  <w:style w:type="paragraph" w:customStyle="1" w:styleId="139">
    <w:name w:val="hb3"/>
    <w:basedOn w:val="4"/>
    <w:qFormat/>
    <w:uiPriority w:val="0"/>
    <w:pPr>
      <w:keepNext/>
      <w:keepLines/>
      <w:autoSpaceDE/>
      <w:autoSpaceDN/>
      <w:adjustRightInd w:val="0"/>
      <w:spacing w:before="360" w:after="360" w:line="240" w:lineRule="auto"/>
    </w:pPr>
    <w:rPr>
      <w:rFonts w:ascii="宋体" w:hAnsi="宋体" w:cs="Times New Roman"/>
      <w:kern w:val="0"/>
      <w:sz w:val="24"/>
    </w:rPr>
  </w:style>
  <w:style w:type="paragraph" w:customStyle="1" w:styleId="140">
    <w:name w:val="表格1"/>
    <w:basedOn w:val="1"/>
    <w:qFormat/>
    <w:uiPriority w:val="0"/>
    <w:pPr>
      <w:adjustRightInd w:val="0"/>
      <w:snapToGrid w:val="0"/>
      <w:spacing w:line="360" w:lineRule="auto"/>
      <w:jc w:val="center"/>
    </w:pPr>
    <w:rPr>
      <w:rFonts w:ascii="黑体" w:hAnsi="宋体" w:eastAsia="黑体"/>
      <w:szCs w:val="21"/>
    </w:rPr>
  </w:style>
  <w:style w:type="paragraph" w:customStyle="1" w:styleId="141">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142">
    <w:name w:val="表格内容 Char"/>
    <w:link w:val="143"/>
    <w:qFormat/>
    <w:locked/>
    <w:uiPriority w:val="0"/>
    <w:rPr>
      <w:kern w:val="21"/>
      <w:sz w:val="21"/>
      <w:szCs w:val="21"/>
    </w:rPr>
  </w:style>
  <w:style w:type="paragraph" w:customStyle="1" w:styleId="143">
    <w:name w:val="表格内容"/>
    <w:link w:val="142"/>
    <w:qFormat/>
    <w:uiPriority w:val="0"/>
    <w:pPr>
      <w:jc w:val="center"/>
    </w:pPr>
    <w:rPr>
      <w:rFonts w:ascii="Times New Roman" w:hAnsi="Times New Roman" w:eastAsia="宋体" w:cs="Times New Roman"/>
      <w:kern w:val="21"/>
      <w:sz w:val="21"/>
      <w:szCs w:val="21"/>
      <w:lang w:val="en-US" w:eastAsia="zh-CN" w:bidi="ar-SA"/>
    </w:rPr>
  </w:style>
  <w:style w:type="character" w:customStyle="1" w:styleId="144">
    <w:name w:val="无间隔 Char"/>
    <w:link w:val="145"/>
    <w:qFormat/>
    <w:locked/>
    <w:uiPriority w:val="0"/>
    <w:rPr>
      <w:rFonts w:eastAsia="黑体"/>
      <w:b/>
    </w:rPr>
  </w:style>
  <w:style w:type="paragraph" w:customStyle="1" w:styleId="145">
    <w:name w:val="无间隔1"/>
    <w:link w:val="144"/>
    <w:qFormat/>
    <w:uiPriority w:val="0"/>
    <w:pPr>
      <w:widowControl w:val="0"/>
      <w:jc w:val="center"/>
    </w:pPr>
    <w:rPr>
      <w:rFonts w:ascii="Times New Roman" w:hAnsi="Times New Roman" w:eastAsia="黑体" w:cs="Times New Roman"/>
      <w:b/>
      <w:lang w:val="en-US" w:eastAsia="zh-CN" w:bidi="ar-SA"/>
    </w:rPr>
  </w:style>
  <w:style w:type="table" w:customStyle="1" w:styleId="146">
    <w:name w:val="Table Grid_0"/>
    <w:basedOn w:val="28"/>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7">
    <w:name w:val="【表头】"/>
    <w:qFormat/>
    <w:uiPriority w:val="0"/>
    <w:pPr>
      <w:adjustRightInd w:val="0"/>
      <w:snapToGrid w:val="0"/>
      <w:spacing w:before="50" w:beforeLines="50"/>
      <w:jc w:val="center"/>
    </w:pPr>
    <w:rPr>
      <w:rFonts w:ascii="Times New Roman" w:hAnsi="Times New Roman" w:eastAsia="宋体" w:cs="Times New Roman"/>
      <w:b/>
      <w:color w:val="000000"/>
      <w:sz w:val="21"/>
      <w:szCs w:val="24"/>
      <w:lang w:val="en-US" w:eastAsia="zh-CN" w:bidi="ar-SA"/>
    </w:rPr>
  </w:style>
  <w:style w:type="character" w:customStyle="1" w:styleId="148">
    <w:name w:val="!正文 Char Char"/>
    <w:link w:val="149"/>
    <w:qFormat/>
    <w:uiPriority w:val="0"/>
    <w:rPr>
      <w:color w:val="000000"/>
      <w:sz w:val="24"/>
      <w:szCs w:val="24"/>
      <w:u w:color="000000"/>
    </w:rPr>
  </w:style>
  <w:style w:type="paragraph" w:customStyle="1" w:styleId="149">
    <w:name w:val="!正文"/>
    <w:basedOn w:val="1"/>
    <w:link w:val="148"/>
    <w:qFormat/>
    <w:uiPriority w:val="0"/>
    <w:pPr>
      <w:snapToGrid w:val="0"/>
      <w:spacing w:line="480" w:lineRule="exact"/>
      <w:ind w:firstLine="200" w:firstLineChars="200"/>
      <w:jc w:val="left"/>
      <w:textAlignment w:val="baseline"/>
    </w:pPr>
    <w:rPr>
      <w:color w:val="000000"/>
      <w:kern w:val="0"/>
      <w:sz w:val="24"/>
      <w:u w:color="000000"/>
    </w:rPr>
  </w:style>
  <w:style w:type="character" w:customStyle="1" w:styleId="150">
    <w:name w:val="正文缩进 字符"/>
    <w:link w:val="7"/>
    <w:qFormat/>
    <w:uiPriority w:val="0"/>
    <w:rPr>
      <w:rFonts w:ascii="宋体"/>
      <w:sz w:val="21"/>
    </w:rPr>
  </w:style>
  <w:style w:type="character" w:customStyle="1" w:styleId="151">
    <w:name w:val="正文　王 Char"/>
    <w:link w:val="152"/>
    <w:qFormat/>
    <w:uiPriority w:val="0"/>
    <w:rPr>
      <w:snapToGrid w:val="0"/>
      <w:kern w:val="2"/>
      <w:sz w:val="24"/>
      <w:szCs w:val="24"/>
    </w:rPr>
  </w:style>
  <w:style w:type="paragraph" w:customStyle="1" w:styleId="152">
    <w:name w:val="正文　王"/>
    <w:basedOn w:val="1"/>
    <w:link w:val="151"/>
    <w:qFormat/>
    <w:uiPriority w:val="0"/>
    <w:pPr>
      <w:spacing w:line="360" w:lineRule="auto"/>
      <w:ind w:firstLine="482" w:firstLineChars="200"/>
    </w:pPr>
    <w:rPr>
      <w:snapToGrid w:val="0"/>
      <w:sz w:val="24"/>
    </w:rPr>
  </w:style>
  <w:style w:type="character" w:customStyle="1" w:styleId="153">
    <w:name w:val="报告表格 Char"/>
    <w:link w:val="96"/>
    <w:qFormat/>
    <w:uiPriority w:val="0"/>
    <w:rPr>
      <w:sz w:val="21"/>
    </w:rPr>
  </w:style>
  <w:style w:type="paragraph" w:customStyle="1" w:styleId="154">
    <w:name w:val="表名"/>
    <w:basedOn w:val="1"/>
    <w:link w:val="155"/>
    <w:qFormat/>
    <w:uiPriority w:val="0"/>
    <w:pPr>
      <w:spacing w:line="440" w:lineRule="exact"/>
      <w:ind w:firstLine="1040" w:firstLineChars="200"/>
      <w:jc w:val="center"/>
    </w:pPr>
    <w:rPr>
      <w:rFonts w:ascii="黑体" w:hAnsi="黑体" w:eastAsia="黑体"/>
      <w:sz w:val="24"/>
    </w:rPr>
  </w:style>
  <w:style w:type="character" w:customStyle="1" w:styleId="155">
    <w:name w:val="表名 Char"/>
    <w:link w:val="154"/>
    <w:qFormat/>
    <w:uiPriority w:val="0"/>
    <w:rPr>
      <w:rFonts w:ascii="黑体" w:hAnsi="黑体" w:eastAsia="黑体"/>
      <w:kern w:val="2"/>
      <w:sz w:val="24"/>
      <w:szCs w:val="24"/>
    </w:rPr>
  </w:style>
  <w:style w:type="character" w:customStyle="1" w:styleId="156">
    <w:name w:val="表格 Char Char Char"/>
    <w:qFormat/>
    <w:uiPriority w:val="0"/>
    <w:rPr>
      <w:rFonts w:cs="Courier New"/>
      <w:kern w:val="2"/>
      <w:sz w:val="21"/>
      <w:szCs w:val="21"/>
    </w:rPr>
  </w:style>
  <w:style w:type="paragraph" w:customStyle="1" w:styleId="157">
    <w:name w:val="正文4"/>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styleId="158">
    <w:name w:val="Placeholder Text"/>
    <w:unhideWhenUsed/>
    <w:qFormat/>
    <w:uiPriority w:val="99"/>
    <w:rPr>
      <w:color w:val="808080"/>
    </w:rPr>
  </w:style>
  <w:style w:type="paragraph" w:customStyle="1" w:styleId="159">
    <w:name w:val="*表格内容及单位"/>
    <w:basedOn w:val="1"/>
    <w:qFormat/>
    <w:uiPriority w:val="0"/>
    <w:pPr>
      <w:widowControl/>
      <w:snapToGrid w:val="0"/>
      <w:spacing w:line="240" w:lineRule="atLeast"/>
      <w:jc w:val="center"/>
    </w:pPr>
    <w:rPr>
      <w:rFonts w:ascii="Calibri" w:hAnsi="Calibri"/>
      <w:kern w:val="0"/>
      <w:sz w:val="18"/>
      <w:szCs w:val="20"/>
    </w:rPr>
  </w:style>
  <w:style w:type="character" w:customStyle="1" w:styleId="160">
    <w:name w:val="lin画布粘贴 字符"/>
    <w:link w:val="110"/>
    <w:qFormat/>
    <w:uiPriority w:val="0"/>
    <w:rPr>
      <w:b/>
      <w:kern w:val="2"/>
      <w:sz w:val="24"/>
      <w:szCs w:val="24"/>
    </w:rPr>
  </w:style>
  <w:style w:type="character" w:customStyle="1" w:styleId="161">
    <w:name w:val="fontstyle21"/>
    <w:qFormat/>
    <w:uiPriority w:val="0"/>
    <w:rPr>
      <w:rFonts w:hint="default" w:ascii="Times New Roman" w:hAnsi="Times New Roman" w:cs="Times New Roman"/>
      <w:color w:val="000000"/>
      <w:sz w:val="24"/>
      <w:szCs w:val="24"/>
    </w:rPr>
  </w:style>
  <w:style w:type="character" w:customStyle="1" w:styleId="162">
    <w:name w:val="lin表格中 字符"/>
    <w:link w:val="163"/>
    <w:qFormat/>
    <w:uiPriority w:val="0"/>
    <w:rPr>
      <w:kern w:val="2"/>
      <w:sz w:val="21"/>
      <w:szCs w:val="21"/>
    </w:rPr>
  </w:style>
  <w:style w:type="paragraph" w:customStyle="1" w:styleId="163">
    <w:name w:val="lin表格中"/>
    <w:link w:val="162"/>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table" w:customStyle="1" w:styleId="164">
    <w:name w:val="样式11"/>
    <w:basedOn w:val="28"/>
    <w:qFormat/>
    <w:uiPriority w:val="0"/>
    <w:tblP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cPr>
      <w:vAlign w:val="center"/>
    </w:tcPr>
  </w:style>
  <w:style w:type="character" w:customStyle="1" w:styleId="165">
    <w:name w:val="lin正文缩进 字符"/>
    <w:link w:val="166"/>
    <w:qFormat/>
    <w:uiPriority w:val="0"/>
    <w:rPr>
      <w:kern w:val="2"/>
      <w:sz w:val="24"/>
      <w:szCs w:val="24"/>
    </w:rPr>
  </w:style>
  <w:style w:type="paragraph" w:customStyle="1" w:styleId="166">
    <w:name w:val="lin正文缩进"/>
    <w:basedOn w:val="1"/>
    <w:link w:val="165"/>
    <w:qFormat/>
    <w:uiPriority w:val="0"/>
    <w:pPr>
      <w:spacing w:line="360" w:lineRule="auto"/>
      <w:ind w:firstLine="200" w:firstLineChars="200"/>
    </w:pPr>
    <w:rPr>
      <w:sz w:val="24"/>
    </w:rPr>
  </w:style>
  <w:style w:type="character" w:customStyle="1" w:styleId="167">
    <w:name w:val="标题 1 字符"/>
    <w:link w:val="2"/>
    <w:qFormat/>
    <w:uiPriority w:val="0"/>
    <w:rPr>
      <w:rFonts w:eastAsia="黑体"/>
      <w:b/>
      <w:bCs/>
      <w:color w:val="000000"/>
      <w:kern w:val="44"/>
      <w:sz w:val="30"/>
      <w:szCs w:val="30"/>
    </w:rPr>
  </w:style>
  <w:style w:type="table" w:customStyle="1" w:styleId="168">
    <w:name w:val="样式12"/>
    <w:basedOn w:val="28"/>
    <w:qFormat/>
    <w:uiPriority w:val="0"/>
    <w:tblP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cPr>
      <w:vAlign w:val="center"/>
    </w:tcPr>
  </w:style>
  <w:style w:type="character" w:customStyle="1" w:styleId="169">
    <w:name w:val="访问过的超链接1"/>
    <w:semiHidden/>
    <w:unhideWhenUsed/>
    <w:qFormat/>
    <w:uiPriority w:val="99"/>
    <w:rPr>
      <w:color w:val="800080"/>
      <w:u w:val="single"/>
    </w:rPr>
  </w:style>
  <w:style w:type="character" w:customStyle="1" w:styleId="170">
    <w:name w:val="正文文本首行缩进 2 字符"/>
    <w:basedOn w:val="39"/>
    <w:link w:val="27"/>
    <w:qFormat/>
    <w:uiPriority w:val="99"/>
    <w:rPr>
      <w:rFonts w:ascii="Times New Roman" w:hAnsi="Times New Roman" w:eastAsia="宋体"/>
      <w:kern w:val="2"/>
      <w:sz w:val="21"/>
      <w:szCs w:val="24"/>
    </w:rPr>
  </w:style>
  <w:style w:type="paragraph" w:customStyle="1" w:styleId="171">
    <w:name w:val="Table Text"/>
    <w:basedOn w:val="1"/>
    <w:semiHidden/>
    <w:qFormat/>
    <w:uiPriority w:val="0"/>
    <w:rPr>
      <w:rFonts w:ascii="宋体" w:hAnsi="宋体" w:eastAsia="宋体" w:cs="宋体"/>
      <w:sz w:val="24"/>
      <w:szCs w:val="24"/>
      <w:lang w:val="en-US" w:eastAsia="en-US" w:bidi="ar-SA"/>
    </w:rPr>
  </w:style>
  <w:style w:type="paragraph" w:customStyle="1" w:styleId="172">
    <w:name w:val="正文 首行缩进:  2 字符 SL CON"/>
    <w:basedOn w:val="1"/>
    <w:qFormat/>
    <w:uiPriority w:val="0"/>
    <w:pPr>
      <w:widowControl/>
      <w:tabs>
        <w:tab w:val="left" w:pos="377"/>
      </w:tabs>
      <w:spacing w:line="360" w:lineRule="auto"/>
      <w:ind w:firstLine="200" w:firstLineChars="200"/>
      <w:jc w:val="left"/>
    </w:pPr>
    <w:rPr>
      <w:rFonts w:ascii="宋体" w:cs="宋体"/>
      <w:kern w:val="0"/>
      <w:sz w:val="24"/>
    </w:rPr>
  </w:style>
  <w:style w:type="paragraph" w:customStyle="1" w:styleId="173">
    <w:name w:val="文本正文3"/>
    <w:qFormat/>
    <w:uiPriority w:val="0"/>
    <w:pPr>
      <w:spacing w:line="360" w:lineRule="auto"/>
      <w:ind w:firstLine="177" w:firstLineChars="177"/>
    </w:pPr>
    <w:rPr>
      <w:rFonts w:ascii="Times New Roman" w:hAnsi="Times New Roman" w:eastAsia="宋体" w:cs="Times New Roman"/>
      <w:kern w:val="2"/>
      <w:sz w:val="24"/>
      <w:szCs w:val="21"/>
      <w:lang w:val="en-US" w:eastAsia="zh-CN" w:bidi="ar-SA"/>
    </w:rPr>
  </w:style>
  <w:style w:type="paragraph" w:customStyle="1" w:styleId="174">
    <w:name w:val="正正正文"/>
    <w:basedOn w:val="1"/>
    <w:qFormat/>
    <w:uiPriority w:val="0"/>
    <w:rPr>
      <w:szCs w:val="28"/>
    </w:rPr>
  </w:style>
  <w:style w:type="paragraph" w:customStyle="1" w:styleId="175">
    <w:name w:val="磷矿正文"/>
    <w:basedOn w:val="1"/>
    <w:qFormat/>
    <w:uiPriority w:val="0"/>
    <w:pPr>
      <w:autoSpaceDE w:val="0"/>
      <w:autoSpaceDN w:val="0"/>
      <w:adjustRightInd w:val="0"/>
      <w:ind w:firstLine="200" w:firstLineChars="200"/>
    </w:pPr>
    <w:rPr>
      <w:sz w:val="24"/>
    </w:rPr>
  </w:style>
  <w:style w:type="character" w:customStyle="1" w:styleId="176">
    <w:name w:val="font11"/>
    <w:basedOn w:val="31"/>
    <w:qFormat/>
    <w:uiPriority w:val="0"/>
    <w:rPr>
      <w:rFonts w:hint="eastAsia" w:ascii="宋体" w:hAnsi="宋体" w:eastAsia="宋体" w:cs="宋体"/>
      <w:b/>
      <w:bCs/>
      <w:color w:val="000000"/>
      <w:sz w:val="36"/>
      <w:szCs w:val="36"/>
      <w:u w:val="none"/>
    </w:rPr>
  </w:style>
  <w:style w:type="paragraph" w:customStyle="1" w:styleId="177">
    <w:name w:val="报表内容"/>
    <w:qFormat/>
    <w:uiPriority w:val="1"/>
    <w:pPr>
      <w:widowControl w:val="0"/>
      <w:spacing w:line="240" w:lineRule="exact"/>
      <w:jc w:val="center"/>
    </w:pPr>
    <w:rPr>
      <w:rFonts w:ascii="Times New Roman" w:hAnsi="Times New Roman" w:eastAsia="宋体" w:cs="Times New Roman"/>
      <w:kern w:val="2"/>
      <w:sz w:val="1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oleObject" Target="embeddings/oleObject6.bin"/><Relationship Id="rId23" Type="http://schemas.openxmlformats.org/officeDocument/2006/relationships/image" Target="media/image11.wmf"/><Relationship Id="rId22" Type="http://schemas.openxmlformats.org/officeDocument/2006/relationships/oleObject" Target="embeddings/oleObject5.bin"/><Relationship Id="rId21" Type="http://schemas.openxmlformats.org/officeDocument/2006/relationships/image" Target="media/image10.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3.bin"/><Relationship Id="rId17" Type="http://schemas.openxmlformats.org/officeDocument/2006/relationships/image" Target="media/image8.wmf"/><Relationship Id="rId16" Type="http://schemas.openxmlformats.org/officeDocument/2006/relationships/oleObject" Target="embeddings/oleObject2.bin"/><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79389</Words>
  <Characters>85295</Characters>
  <Lines>656</Lines>
  <Paragraphs>184</Paragraphs>
  <TotalTime>1</TotalTime>
  <ScaleCrop>false</ScaleCrop>
  <LinksUpToDate>false</LinksUpToDate>
  <CharactersWithSpaces>86179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2023-02-16T21:38:00Z</dcterms:created>
  <dc:creator>陶柯妤</dc:creator>
  <cp:lastModifiedBy>Administrator</cp:lastModifiedBy>
  <cp:lastPrinted>2023-02-14T09:01:00Z</cp:lastPrinted>
  <dcterms:modified xsi:type="dcterms:W3CDTF">2024-09-13T03:15:29Z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F037547E24184C1BA4FBB8982B168059</vt:lpwstr>
  </property>
</Properties>
</file>