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D8616">
      <w:pPr>
        <w:spacing w:line="600" w:lineRule="exact"/>
        <w:jc w:val="left"/>
        <w:outlineLvl w:val="9"/>
        <w:rPr>
          <w:rFonts w:ascii="方正小标宋简体" w:hAnsi="宋体" w:eastAsia="方正小标宋简体"/>
          <w:color w:val="auto"/>
          <w:sz w:val="21"/>
          <w:szCs w:val="21"/>
          <w:highlight w:val="none"/>
        </w:rPr>
      </w:pPr>
      <w:bookmarkStart w:id="0" w:name="_Toc15306267"/>
    </w:p>
    <w:p w14:paraId="42EECCBA">
      <w:pPr>
        <w:spacing w:line="600" w:lineRule="exact"/>
        <w:jc w:val="center"/>
        <w:outlineLvl w:val="9"/>
        <w:rPr>
          <w:rFonts w:ascii="方正小标宋简体" w:hAnsi="宋体" w:eastAsia="方正小标宋简体"/>
          <w:color w:val="auto"/>
          <w:sz w:val="72"/>
          <w:szCs w:val="72"/>
          <w:highlight w:val="none"/>
        </w:rPr>
      </w:pPr>
    </w:p>
    <w:p w14:paraId="0EDAE190">
      <w:pPr>
        <w:spacing w:line="600" w:lineRule="exact"/>
        <w:jc w:val="center"/>
        <w:outlineLvl w:val="9"/>
        <w:rPr>
          <w:rFonts w:ascii="方正小标宋简体" w:hAnsi="宋体" w:eastAsia="方正小标宋简体"/>
          <w:color w:val="auto"/>
          <w:sz w:val="72"/>
          <w:szCs w:val="72"/>
          <w:highlight w:val="none"/>
        </w:rPr>
      </w:pPr>
    </w:p>
    <w:p w14:paraId="5DBBC4CF">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25884"/>
      <w:bookmarkStart w:id="3" w:name="_Toc15396597"/>
      <w:bookmarkStart w:id="4" w:name="_Toc29003"/>
      <w:bookmarkStart w:id="5" w:name="_Toc31627"/>
      <w:bookmarkStart w:id="6" w:name="_Toc15377425"/>
      <w:bookmarkStart w:id="7" w:name="_Toc15377193"/>
      <w:bookmarkStart w:id="8" w:name="_Toc1537844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bookmarkEnd w:id="8"/>
    </w:p>
    <w:p w14:paraId="4AD11615">
      <w:pPr>
        <w:adjustRightInd w:val="0"/>
        <w:snapToGrid w:val="0"/>
        <w:spacing w:line="360" w:lineRule="auto"/>
        <w:jc w:val="center"/>
        <w:outlineLvl w:val="0"/>
        <w:rPr>
          <w:rFonts w:hint="eastAsia" w:ascii="方正小标宋简体" w:hAnsi="方正小标宋简体" w:eastAsia="方正小标宋简体" w:cs="方正小标宋简体"/>
          <w:b w:val="0"/>
          <w:bCs w:val="0"/>
          <w:color w:val="auto"/>
          <w:sz w:val="72"/>
          <w:szCs w:val="72"/>
          <w:highlight w:val="none"/>
          <w:lang w:val="en-US" w:eastAsia="zh-CN"/>
        </w:rPr>
      </w:pPr>
      <w:bookmarkStart w:id="9" w:name="_Toc7647"/>
      <w:bookmarkStart w:id="10" w:name="_Toc15377426"/>
      <w:bookmarkStart w:id="11" w:name="_Toc2431"/>
      <w:bookmarkStart w:id="12" w:name="_Toc9972"/>
      <w:bookmarkStart w:id="13" w:name="_Toc15378442"/>
      <w:bookmarkStart w:id="14" w:name="_Toc15396476"/>
      <w:bookmarkStart w:id="15" w:name="_Toc15377194"/>
      <w:bookmarkStart w:id="16" w:name="_Toc15396598"/>
      <w:r>
        <w:rPr>
          <w:rFonts w:hint="eastAsia" w:ascii="方正小标宋简体" w:hAnsi="方正小标宋简体" w:eastAsia="方正小标宋简体" w:cs="方正小标宋简体"/>
          <w:color w:val="auto"/>
          <w:sz w:val="72"/>
          <w:szCs w:val="72"/>
          <w:highlight w:val="none"/>
          <w:lang w:eastAsia="zh-CN"/>
        </w:rPr>
        <w:t>大竹县</w:t>
      </w:r>
      <w:bookmarkEnd w:id="0"/>
      <w:bookmarkStart w:id="17" w:name="_Toc15306268"/>
      <w:r>
        <w:rPr>
          <w:rFonts w:hint="eastAsia" w:ascii="方正小标宋简体" w:hAnsi="方正小标宋简体" w:eastAsia="方正小标宋简体" w:cs="方正小标宋简体"/>
          <w:b w:val="0"/>
          <w:bCs w:val="0"/>
          <w:color w:val="auto"/>
          <w:sz w:val="72"/>
          <w:szCs w:val="72"/>
          <w:highlight w:val="none"/>
          <w:lang w:val="en-US" w:eastAsia="zh-CN"/>
        </w:rPr>
        <w:t>青年路幼儿园</w:t>
      </w:r>
      <w:bookmarkEnd w:id="9"/>
    </w:p>
    <w:p w14:paraId="5E7B7C19">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8" w:name="_Toc302"/>
      <w:r>
        <w:rPr>
          <w:rFonts w:hint="eastAsia" w:ascii="方正小标宋简体" w:hAnsi="方正小标宋简体" w:eastAsia="方正小标宋简体" w:cs="方正小标宋简体"/>
          <w:color w:val="auto"/>
          <w:sz w:val="72"/>
          <w:szCs w:val="72"/>
          <w:highlight w:val="none"/>
          <w:lang w:val="en-US" w:eastAsia="zh-CN"/>
        </w:rPr>
        <w:t>单位</w:t>
      </w:r>
      <w:r>
        <w:rPr>
          <w:rFonts w:hint="eastAsia" w:ascii="方正小标宋简体" w:hAnsi="方正小标宋简体" w:eastAsia="方正小标宋简体" w:cs="方正小标宋简体"/>
          <w:color w:val="auto"/>
          <w:sz w:val="72"/>
          <w:szCs w:val="72"/>
          <w:highlight w:val="none"/>
        </w:rPr>
        <w:t>决算</w:t>
      </w:r>
      <w:bookmarkEnd w:id="10"/>
      <w:bookmarkEnd w:id="11"/>
      <w:bookmarkEnd w:id="12"/>
      <w:bookmarkEnd w:id="13"/>
      <w:bookmarkEnd w:id="14"/>
      <w:bookmarkEnd w:id="15"/>
      <w:bookmarkEnd w:id="16"/>
      <w:bookmarkEnd w:id="17"/>
      <w:bookmarkEnd w:id="18"/>
    </w:p>
    <w:p w14:paraId="17567CDA">
      <w:pPr>
        <w:adjustRightInd w:val="0"/>
        <w:snapToGrid w:val="0"/>
        <w:spacing w:line="360" w:lineRule="auto"/>
        <w:jc w:val="center"/>
        <w:outlineLvl w:val="9"/>
        <w:rPr>
          <w:rFonts w:ascii="方正小标宋简体" w:hAnsi="宋体" w:eastAsia="方正小标宋简体"/>
          <w:color w:val="auto"/>
          <w:sz w:val="52"/>
          <w:szCs w:val="52"/>
          <w:highlight w:val="none"/>
        </w:rPr>
      </w:pPr>
    </w:p>
    <w:p w14:paraId="46CADC20">
      <w:pPr>
        <w:spacing w:before="0" w:beforeLines="0" w:after="0" w:afterLines="0" w:line="240" w:lineRule="auto"/>
        <w:ind w:left="0" w:leftChars="0" w:right="0" w:rightChars="0" w:firstLine="0" w:firstLineChars="0"/>
        <w:jc w:val="center"/>
        <w:rPr>
          <w:rFonts w:ascii="方正小标宋简体" w:hAnsi="宋体" w:eastAsia="方正小标宋简体"/>
          <w:color w:val="auto"/>
          <w:sz w:val="36"/>
          <w:szCs w:val="36"/>
          <w:highlight w:val="none"/>
        </w:rPr>
      </w:pPr>
      <w:r>
        <w:rPr>
          <w:rFonts w:ascii="方正小标宋简体" w:hAnsi="宋体" w:eastAsia="方正小标宋简体"/>
          <w:color w:val="auto"/>
          <w:sz w:val="36"/>
          <w:szCs w:val="36"/>
          <w:highlight w:val="none"/>
        </w:rPr>
        <w:br w:type="page"/>
      </w:r>
    </w:p>
    <w:p w14:paraId="71652FF9">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14:paraId="31843AE9">
      <w:pPr>
        <w:widowControl/>
        <w:jc w:val="center"/>
        <w:rPr>
          <w:rFonts w:ascii="黑体" w:hAnsi="黑体" w:eastAsia="黑体"/>
          <w:sz w:val="48"/>
          <w:szCs w:val="48"/>
        </w:rPr>
      </w:pPr>
      <w:r>
        <w:rPr>
          <w:rFonts w:hint="eastAsia" w:ascii="黑体" w:hAnsi="黑体" w:eastAsia="黑体"/>
          <w:sz w:val="48"/>
          <w:szCs w:val="48"/>
        </w:rPr>
        <w:t>目录</w:t>
      </w:r>
    </w:p>
    <w:p w14:paraId="17332722">
      <w:pPr>
        <w:widowControl/>
        <w:jc w:val="center"/>
        <w:rPr>
          <w:rFonts w:ascii="黑体" w:hAnsi="黑体" w:eastAsia="黑体" w:cstheme="minorBidi"/>
          <w:sz w:val="28"/>
          <w:szCs w:val="28"/>
        </w:rPr>
      </w:pPr>
    </w:p>
    <w:p w14:paraId="330BD33A">
      <w:pPr>
        <w:pStyle w:val="11"/>
        <w:rPr>
          <w:rFonts w:hint="default" w:eastAsia="仿宋"/>
          <w:highlight w:val="none"/>
          <w:lang w:val="en-US" w:eastAsia="zh-CN"/>
        </w:rPr>
      </w:pPr>
      <w:r>
        <w:rPr>
          <w:rFonts w:hint="eastAsia"/>
          <w:highlight w:val="none"/>
        </w:rPr>
        <w:t>公开时间：20</w:t>
      </w:r>
      <w:r>
        <w:rPr>
          <w:rFonts w:hint="eastAsia"/>
          <w:highlight w:val="none"/>
          <w:lang w:val="en-US" w:eastAsia="zh-CN"/>
        </w:rPr>
        <w:t>24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p w14:paraId="13B7E364">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sdt>
      <w:sdtPr>
        <w:rPr>
          <w:rFonts w:ascii="宋体" w:hAnsi="宋体" w:eastAsia="宋体" w:cs="Times New Roman"/>
          <w:kern w:val="2"/>
          <w:sz w:val="21"/>
          <w:szCs w:val="24"/>
          <w:lang w:val="en-US" w:eastAsia="zh-CN" w:bidi="ar-SA"/>
        </w:rPr>
        <w:id w:val="147467094"/>
        <w15:color w:val="DBDBDB"/>
        <w:docPartObj>
          <w:docPartGallery w:val="Table of Contents"/>
          <w:docPartUnique/>
        </w:docPartObj>
      </w:sdtPr>
      <w:sdtEndPr>
        <w:rPr>
          <w:rFonts w:hint="eastAsia" w:ascii="宋体" w:hAnsi="宋体" w:eastAsia="宋体" w:cs="宋体"/>
          <w:b/>
          <w:bCs/>
          <w:kern w:val="2"/>
          <w:sz w:val="24"/>
          <w:szCs w:val="24"/>
          <w:lang w:val="en-US" w:eastAsia="zh-CN" w:bidi="ar-SA"/>
        </w:rPr>
      </w:sdtEndPr>
      <w:sdtContent>
        <w:p w14:paraId="2F92B60C">
          <w:pPr>
            <w:pStyle w:val="31"/>
            <w:tabs>
              <w:tab w:val="right" w:leader="dot" w:pos="8844"/>
            </w:tabs>
            <w:rPr>
              <w:rFonts w:hint="eastAsia" w:ascii="宋体" w:hAnsi="宋体" w:eastAsia="宋体" w:cs="宋体"/>
              <w:b/>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TOC \o "1-2" \h \u </w:instrText>
          </w:r>
          <w:r>
            <w:rPr>
              <w:rFonts w:hint="eastAsia" w:ascii="宋体" w:hAnsi="宋体" w:eastAsia="宋体" w:cs="宋体"/>
              <w:kern w:val="2"/>
              <w:sz w:val="24"/>
              <w:szCs w:val="24"/>
              <w:lang w:val="en-US" w:eastAsia="zh-CN" w:bidi="ar-SA"/>
            </w:rPr>
            <w:fldChar w:fldCharType="separate"/>
          </w:r>
        </w:p>
        <w:p w14:paraId="7777CF1E">
          <w:pPr>
            <w:pStyle w:val="31"/>
            <w:tabs>
              <w:tab w:val="right" w:leader="dot" w:pos="8844"/>
            </w:tabs>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fldChar w:fldCharType="begin"/>
          </w:r>
          <w:r>
            <w:rPr>
              <w:rFonts w:hint="eastAsia" w:ascii="宋体" w:hAnsi="宋体" w:eastAsia="宋体" w:cs="宋体"/>
              <w:b/>
              <w:kern w:val="2"/>
              <w:sz w:val="24"/>
              <w:szCs w:val="24"/>
              <w:lang w:val="en-US" w:eastAsia="zh-CN" w:bidi="ar-SA"/>
            </w:rPr>
            <w:instrText xml:space="preserve"> HYPERLINK \l _Toc11662 </w:instrText>
          </w:r>
          <w:r>
            <w:rPr>
              <w:rFonts w:hint="eastAsia" w:ascii="宋体" w:hAnsi="宋体" w:eastAsia="宋体" w:cs="宋体"/>
              <w:b/>
              <w:kern w:val="2"/>
              <w:sz w:val="24"/>
              <w:szCs w:val="24"/>
              <w:lang w:val="en-US" w:eastAsia="zh-CN" w:bidi="ar-SA"/>
            </w:rPr>
            <w:fldChar w:fldCharType="separate"/>
          </w:r>
          <w:r>
            <w:rPr>
              <w:rFonts w:hint="eastAsia" w:ascii="宋体" w:hAnsi="宋体" w:eastAsia="宋体" w:cs="宋体"/>
              <w:b/>
              <w:sz w:val="24"/>
              <w:szCs w:val="24"/>
            </w:rPr>
            <w:t xml:space="preserve">第一部分 </w:t>
          </w:r>
          <w:r>
            <w:rPr>
              <w:rFonts w:hint="eastAsia" w:ascii="宋体" w:hAnsi="宋体" w:eastAsia="宋体" w:cs="宋体"/>
              <w:b/>
              <w:sz w:val="24"/>
              <w:szCs w:val="24"/>
              <w:lang w:eastAsia="zh-CN"/>
            </w:rPr>
            <w:t>单位</w:t>
          </w:r>
          <w:r>
            <w:rPr>
              <w:rFonts w:hint="eastAsia" w:ascii="宋体" w:hAnsi="宋体" w:eastAsia="宋体" w:cs="宋体"/>
              <w:b/>
              <w:sz w:val="24"/>
              <w:szCs w:val="24"/>
            </w:rPr>
            <w:t>概况</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_Toc11662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kern w:val="2"/>
              <w:sz w:val="24"/>
              <w:szCs w:val="24"/>
              <w:lang w:val="en-US" w:eastAsia="zh-CN" w:bidi="ar-SA"/>
            </w:rPr>
            <w:fldChar w:fldCharType="end"/>
          </w:r>
        </w:p>
        <w:p w14:paraId="2A605BCC">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_Toc17910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主要职责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_Toc17910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745E7E16">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_Toc727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0824C612">
          <w:pPr>
            <w:pStyle w:val="31"/>
            <w:tabs>
              <w:tab w:val="right" w:leader="dot" w:pos="8844"/>
            </w:tabs>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fldChar w:fldCharType="begin"/>
          </w:r>
          <w:r>
            <w:rPr>
              <w:rFonts w:hint="eastAsia" w:ascii="宋体" w:hAnsi="宋体" w:eastAsia="宋体" w:cs="宋体"/>
              <w:b/>
              <w:kern w:val="2"/>
              <w:sz w:val="24"/>
              <w:szCs w:val="24"/>
              <w:lang w:val="en-US" w:eastAsia="zh-CN" w:bidi="ar-SA"/>
            </w:rPr>
            <w:instrText xml:space="preserve"> HYPERLINK \l _Toc24028 </w:instrText>
          </w:r>
          <w:r>
            <w:rPr>
              <w:rFonts w:hint="eastAsia" w:ascii="宋体" w:hAnsi="宋体" w:eastAsia="宋体" w:cs="宋体"/>
              <w:b/>
              <w:kern w:val="2"/>
              <w:sz w:val="24"/>
              <w:szCs w:val="24"/>
              <w:lang w:val="en-US" w:eastAsia="zh-CN" w:bidi="ar-SA"/>
            </w:rPr>
            <w:fldChar w:fldCharType="separate"/>
          </w:r>
          <w:r>
            <w:rPr>
              <w:rFonts w:hint="eastAsia" w:ascii="宋体" w:hAnsi="宋体" w:eastAsia="宋体" w:cs="宋体"/>
              <w:b/>
              <w:bCs/>
              <w:sz w:val="24"/>
              <w:szCs w:val="24"/>
            </w:rPr>
            <w:t xml:space="preserve">第二部分 </w:t>
          </w:r>
          <w:r>
            <w:rPr>
              <w:rFonts w:hint="eastAsia" w:ascii="宋体" w:hAnsi="宋体" w:eastAsia="宋体" w:cs="宋体"/>
              <w:b/>
              <w:bCs/>
              <w:sz w:val="24"/>
              <w:szCs w:val="24"/>
              <w:lang w:val="en-US" w:eastAsia="zh-CN"/>
            </w:rPr>
            <w:t>2023年度</w:t>
          </w:r>
          <w:r>
            <w:rPr>
              <w:rFonts w:hint="eastAsia" w:ascii="宋体" w:hAnsi="宋体" w:eastAsia="宋体" w:cs="宋体"/>
              <w:b/>
              <w:bCs/>
              <w:sz w:val="24"/>
              <w:szCs w:val="24"/>
              <w:lang w:eastAsia="zh-CN"/>
            </w:rPr>
            <w:t>单位</w:t>
          </w:r>
          <w:r>
            <w:rPr>
              <w:rFonts w:hint="eastAsia" w:ascii="宋体" w:hAnsi="宋体" w:eastAsia="宋体" w:cs="宋体"/>
              <w:b/>
              <w:bCs/>
              <w:sz w:val="24"/>
              <w:szCs w:val="24"/>
            </w:rPr>
            <w:t>决算情况说明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_Toc24028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w:t>
          </w:r>
          <w:r>
            <w:rPr>
              <w:rFonts w:hint="eastAsia" w:ascii="宋体" w:hAnsi="宋体" w:eastAsia="宋体" w:cs="宋体"/>
              <w:b w:val="0"/>
              <w:bCs/>
              <w:sz w:val="24"/>
              <w:szCs w:val="24"/>
            </w:rPr>
            <w:fldChar w:fldCharType="end"/>
          </w:r>
          <w:r>
            <w:rPr>
              <w:rFonts w:hint="eastAsia" w:ascii="宋体" w:hAnsi="宋体" w:eastAsia="宋体" w:cs="宋体"/>
              <w:b/>
              <w:kern w:val="2"/>
              <w:sz w:val="24"/>
              <w:szCs w:val="24"/>
              <w:lang w:val="en-US" w:eastAsia="zh-CN" w:bidi="ar-SA"/>
            </w:rPr>
            <w:fldChar w:fldCharType="end"/>
          </w:r>
        </w:p>
        <w:p w14:paraId="7579E800">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_Toc27655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sz w:val="24"/>
              <w:szCs w:val="24"/>
            </w:rPr>
            <w:t xml:space="preserve">一、 </w:t>
          </w:r>
          <w:r>
            <w:rPr>
              <w:rFonts w:hint="eastAsia" w:ascii="宋体" w:hAnsi="宋体" w:eastAsia="宋体" w:cs="宋体"/>
              <w:sz w:val="24"/>
              <w:szCs w:val="24"/>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_Toc27655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6C46A10A">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_Toc10055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二、 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_Toc10055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214CB5A3">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_Toc5022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三、 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_Toc5022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6CB5ED3B">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_Toc23912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_Toc23912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013B69A7">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_Toc15360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_Toc15360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0276E428">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_Toc21773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val="0"/>
              <w:sz w:val="24"/>
              <w:szCs w:val="24"/>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_Toc21773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1004A8BF">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_Toc11030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七、财政拨款“三公”经费支出决算情况说明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_Toc11030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79E9E7F5">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_Toc16479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_Toc16479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252CB0E4">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_Toc24391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九、</w:t>
          </w:r>
          <w:r>
            <w:rPr>
              <w:rFonts w:hint="eastAsia" w:ascii="宋体" w:hAnsi="宋体" w:eastAsia="宋体" w:cs="宋体"/>
              <w:sz w:val="24"/>
              <w:szCs w:val="24"/>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_Toc24391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4B2087A7">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_Toc14199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十、</w:t>
          </w:r>
          <w:r>
            <w:rPr>
              <w:rFonts w:hint="eastAsia" w:ascii="宋体" w:hAnsi="宋体" w:eastAsia="宋体" w:cs="宋体"/>
              <w:sz w:val="24"/>
              <w:szCs w:val="24"/>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_Toc14199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64798A15">
          <w:pPr>
            <w:pStyle w:val="31"/>
            <w:tabs>
              <w:tab w:val="right" w:leader="dot" w:pos="8844"/>
            </w:tabs>
            <w:rPr>
              <w:rFonts w:hint="eastAsia" w:ascii="宋体" w:hAnsi="宋体" w:eastAsia="宋体" w:cs="宋体"/>
              <w:sz w:val="24"/>
              <w:szCs w:val="24"/>
            </w:rPr>
          </w:pPr>
          <w:r>
            <w:rPr>
              <w:rFonts w:hint="eastAsia" w:ascii="宋体" w:hAnsi="宋体" w:eastAsia="宋体" w:cs="宋体"/>
              <w:b/>
              <w:kern w:val="2"/>
              <w:sz w:val="24"/>
              <w:szCs w:val="24"/>
              <w:lang w:val="en-US" w:eastAsia="zh-CN" w:bidi="ar-SA"/>
            </w:rPr>
            <w:fldChar w:fldCharType="begin"/>
          </w:r>
          <w:r>
            <w:rPr>
              <w:rFonts w:hint="eastAsia" w:ascii="宋体" w:hAnsi="宋体" w:eastAsia="宋体" w:cs="宋体"/>
              <w:b/>
              <w:kern w:val="2"/>
              <w:sz w:val="24"/>
              <w:szCs w:val="24"/>
              <w:lang w:val="en-US" w:eastAsia="zh-CN" w:bidi="ar-SA"/>
            </w:rPr>
            <w:instrText xml:space="preserve"> HYPERLINK \l _Toc23709 </w:instrText>
          </w:r>
          <w:r>
            <w:rPr>
              <w:rFonts w:hint="eastAsia" w:ascii="宋体" w:hAnsi="宋体" w:eastAsia="宋体" w:cs="宋体"/>
              <w:b/>
              <w:kern w:val="2"/>
              <w:sz w:val="24"/>
              <w:szCs w:val="24"/>
              <w:lang w:val="en-US" w:eastAsia="zh-CN" w:bidi="ar-SA"/>
            </w:rPr>
            <w:fldChar w:fldCharType="separate"/>
          </w:r>
          <w:r>
            <w:rPr>
              <w:rFonts w:hint="eastAsia" w:ascii="宋体" w:hAnsi="宋体" w:eastAsia="宋体" w:cs="宋体"/>
              <w:b/>
              <w:bCs/>
              <w:sz w:val="24"/>
              <w:szCs w:val="24"/>
            </w:rPr>
            <w:t>第三部分 名词解释</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_Toc23709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12</w:t>
          </w:r>
          <w:r>
            <w:rPr>
              <w:rFonts w:hint="eastAsia" w:ascii="宋体" w:hAnsi="宋体" w:eastAsia="宋体" w:cs="宋体"/>
              <w:b w:val="0"/>
              <w:bCs/>
              <w:sz w:val="24"/>
              <w:szCs w:val="24"/>
            </w:rPr>
            <w:fldChar w:fldCharType="end"/>
          </w:r>
          <w:r>
            <w:rPr>
              <w:rFonts w:hint="eastAsia" w:ascii="宋体" w:hAnsi="宋体" w:eastAsia="宋体" w:cs="宋体"/>
              <w:b/>
              <w:kern w:val="2"/>
              <w:sz w:val="24"/>
              <w:szCs w:val="24"/>
              <w:lang w:val="en-US" w:eastAsia="zh-CN" w:bidi="ar-SA"/>
            </w:rPr>
            <w:fldChar w:fldCharType="end"/>
          </w:r>
        </w:p>
        <w:p w14:paraId="7CDD07F6">
          <w:pPr>
            <w:pStyle w:val="31"/>
            <w:tabs>
              <w:tab w:val="right" w:leader="dot" w:pos="8844"/>
            </w:tabs>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fldChar w:fldCharType="begin"/>
          </w:r>
          <w:r>
            <w:rPr>
              <w:rFonts w:hint="eastAsia" w:ascii="宋体" w:hAnsi="宋体" w:eastAsia="宋体" w:cs="宋体"/>
              <w:b/>
              <w:kern w:val="2"/>
              <w:sz w:val="24"/>
              <w:szCs w:val="24"/>
              <w:lang w:val="en-US" w:eastAsia="zh-CN" w:bidi="ar-SA"/>
            </w:rPr>
            <w:instrText xml:space="preserve"> HYPERLINK \l _Toc21434 </w:instrText>
          </w:r>
          <w:r>
            <w:rPr>
              <w:rFonts w:hint="eastAsia" w:ascii="宋体" w:hAnsi="宋体" w:eastAsia="宋体" w:cs="宋体"/>
              <w:b/>
              <w:kern w:val="2"/>
              <w:sz w:val="24"/>
              <w:szCs w:val="24"/>
              <w:lang w:val="en-US" w:eastAsia="zh-CN" w:bidi="ar-SA"/>
            </w:rPr>
            <w:fldChar w:fldCharType="separate"/>
          </w:r>
          <w:r>
            <w:rPr>
              <w:rFonts w:hint="eastAsia" w:ascii="宋体" w:hAnsi="宋体" w:eastAsia="宋体" w:cs="宋体"/>
              <w:b/>
              <w:sz w:val="24"/>
              <w:szCs w:val="24"/>
            </w:rPr>
            <w:t xml:space="preserve">第四部分 </w:t>
          </w:r>
          <w:r>
            <w:rPr>
              <w:rFonts w:hint="eastAsia" w:ascii="宋体" w:hAnsi="宋体" w:eastAsia="宋体" w:cs="宋体"/>
              <w:b/>
              <w:sz w:val="24"/>
              <w:szCs w:val="24"/>
              <w:highlight w:val="none"/>
            </w:rPr>
            <w:t>附件</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_Toc21434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15</w:t>
          </w:r>
          <w:r>
            <w:rPr>
              <w:rFonts w:hint="eastAsia" w:ascii="宋体" w:hAnsi="宋体" w:eastAsia="宋体" w:cs="宋体"/>
              <w:b w:val="0"/>
              <w:bCs/>
              <w:sz w:val="24"/>
              <w:szCs w:val="24"/>
            </w:rPr>
            <w:fldChar w:fldCharType="end"/>
          </w:r>
          <w:r>
            <w:rPr>
              <w:rFonts w:hint="eastAsia" w:ascii="宋体" w:hAnsi="宋体" w:eastAsia="宋体" w:cs="宋体"/>
              <w:b/>
              <w:kern w:val="2"/>
              <w:sz w:val="24"/>
              <w:szCs w:val="24"/>
              <w:lang w:val="en-US" w:eastAsia="zh-CN" w:bidi="ar-SA"/>
            </w:rPr>
            <w:fldChar w:fldCharType="end"/>
          </w:r>
        </w:p>
        <w:p w14:paraId="35EC1B8C">
          <w:pPr>
            <w:pStyle w:val="31"/>
            <w:tabs>
              <w:tab w:val="right" w:leader="dot" w:pos="8844"/>
            </w:tabs>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fldChar w:fldCharType="begin"/>
          </w:r>
          <w:r>
            <w:rPr>
              <w:rFonts w:hint="eastAsia" w:ascii="宋体" w:hAnsi="宋体" w:eastAsia="宋体" w:cs="宋体"/>
              <w:b/>
              <w:kern w:val="2"/>
              <w:sz w:val="24"/>
              <w:szCs w:val="24"/>
              <w:lang w:val="en-US" w:eastAsia="zh-CN" w:bidi="ar-SA"/>
            </w:rPr>
            <w:instrText xml:space="preserve"> HYPERLINK \l _Toc4853 </w:instrText>
          </w:r>
          <w:r>
            <w:rPr>
              <w:rFonts w:hint="eastAsia" w:ascii="宋体" w:hAnsi="宋体" w:eastAsia="宋体" w:cs="宋体"/>
              <w:b/>
              <w:kern w:val="2"/>
              <w:sz w:val="24"/>
              <w:szCs w:val="24"/>
              <w:lang w:val="en-US" w:eastAsia="zh-CN" w:bidi="ar-SA"/>
            </w:rPr>
            <w:fldChar w:fldCharType="separate"/>
          </w:r>
          <w:r>
            <w:rPr>
              <w:rFonts w:hint="eastAsia" w:ascii="宋体" w:hAnsi="宋体" w:eastAsia="宋体" w:cs="宋体"/>
              <w:b/>
              <w:sz w:val="24"/>
              <w:szCs w:val="24"/>
            </w:rPr>
            <w:t>第五部分 附表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_Toc4853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19</w:t>
          </w:r>
          <w:r>
            <w:rPr>
              <w:rFonts w:hint="eastAsia" w:ascii="宋体" w:hAnsi="宋体" w:eastAsia="宋体" w:cs="宋体"/>
              <w:b w:val="0"/>
              <w:bCs/>
              <w:sz w:val="24"/>
              <w:szCs w:val="24"/>
            </w:rPr>
            <w:fldChar w:fldCharType="end"/>
          </w:r>
          <w:r>
            <w:rPr>
              <w:rFonts w:hint="eastAsia" w:ascii="宋体" w:hAnsi="宋体" w:eastAsia="宋体" w:cs="宋体"/>
              <w:b/>
              <w:kern w:val="2"/>
              <w:sz w:val="24"/>
              <w:szCs w:val="24"/>
              <w:lang w:val="en-US" w:eastAsia="zh-CN" w:bidi="ar-SA"/>
            </w:rPr>
            <w:fldChar w:fldCharType="end"/>
          </w:r>
        </w:p>
        <w:p w14:paraId="5B1859C4">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_Toc14566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一、收入支出决算总表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_Toc14566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107453C3">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_Toc7011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二、收入决算表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_Toc7011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15D30E80">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_Toc25739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三、支出决算表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_Toc25739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1376B388">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_Toc14760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四、财政拨款收入支出决算总表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_Toc14760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2FFE01E0">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_Toc24894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五、财政拨款支出决算明细表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_Toc24894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7BC51374">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_Toc2983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六、一般公共预算财政拨款支出决算表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_Toc2983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10187AC7">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_Toc10016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七、一般公共预算财政拨款支出决算明细表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_Toc10016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2006C7E3">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_Toc18956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八、一般公共预算财政拨款基本支出决算表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_Toc18956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455C3B75">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_Toc28911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九、一般公共预算财政拨款项目支出决算表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_Toc28911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635FEF77">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_Toc15937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十、政府性基金预算财政拨款收入支出决算表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_Toc15937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7AE6A264">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_Toc32140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十一、国有资本经营预算</w:t>
          </w:r>
          <w:r>
            <w:rPr>
              <w:rFonts w:hint="eastAsia" w:ascii="宋体" w:hAnsi="宋体" w:eastAsia="宋体" w:cs="宋体"/>
              <w:sz w:val="24"/>
              <w:szCs w:val="24"/>
              <w:lang w:eastAsia="zh-CN"/>
            </w:rPr>
            <w:t>财政拨款收入</w:t>
          </w:r>
          <w:r>
            <w:rPr>
              <w:rFonts w:hint="eastAsia" w:ascii="宋体" w:hAnsi="宋体" w:eastAsia="宋体" w:cs="宋体"/>
              <w:sz w:val="24"/>
              <w:szCs w:val="24"/>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_Toc32140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26B32B79">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_Toc16978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十二、</w:t>
          </w:r>
          <w:r>
            <w:rPr>
              <w:rFonts w:hint="eastAsia" w:ascii="宋体" w:hAnsi="宋体" w:eastAsia="宋体" w:cs="宋体"/>
              <w:sz w:val="24"/>
              <w:szCs w:val="24"/>
              <w:lang w:eastAsia="zh-CN"/>
            </w:rPr>
            <w:t>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_Toc16978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612C9640">
          <w:pPr>
            <w:pStyle w:val="32"/>
            <w:tabs>
              <w:tab w:val="right" w:leader="dot" w:pos="8844"/>
            </w:tabs>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_Toc17087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十三、</w:t>
          </w:r>
          <w:r>
            <w:rPr>
              <w:rFonts w:hint="eastAsia" w:ascii="宋体" w:hAnsi="宋体" w:eastAsia="宋体" w:cs="宋体"/>
              <w:sz w:val="24"/>
              <w:szCs w:val="24"/>
              <w:lang w:eastAsia="zh-CN"/>
            </w:rPr>
            <w:t>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_Toc17087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14:paraId="41C28B2F">
          <w:pPr>
            <w:pStyle w:val="3"/>
            <w:outlineLvl w:val="9"/>
            <w:rPr>
              <w:rFonts w:hint="eastAsia" w:ascii="宋体" w:hAnsi="宋体" w:eastAsia="宋体" w:cs="宋体"/>
              <w:b/>
              <w:bCs/>
              <w:kern w:val="2"/>
              <w:sz w:val="24"/>
              <w:szCs w:val="24"/>
              <w:lang w:val="en-US" w:eastAsia="zh-CN" w:bidi="ar-SA"/>
            </w:rPr>
          </w:pPr>
          <w:r>
            <w:rPr>
              <w:rFonts w:hint="eastAsia" w:ascii="宋体" w:hAnsi="宋体" w:eastAsia="宋体" w:cs="宋体"/>
              <w:b/>
              <w:kern w:val="2"/>
              <w:sz w:val="24"/>
              <w:szCs w:val="24"/>
              <w:lang w:val="en-US" w:eastAsia="zh-CN" w:bidi="ar-SA"/>
            </w:rPr>
            <w:fldChar w:fldCharType="end"/>
          </w:r>
        </w:p>
      </w:sdtContent>
    </w:sdt>
    <w:p w14:paraId="33E3E4EB">
      <w:pPr>
        <w:rPr>
          <w:rFonts w:hint="eastAsia" w:ascii="宋体" w:hAnsi="宋体" w:eastAsia="宋体" w:cs="宋体"/>
          <w:sz w:val="24"/>
          <w:szCs w:val="24"/>
          <w:lang w:val="en-US" w:eastAsia="zh-CN"/>
        </w:rPr>
      </w:pPr>
    </w:p>
    <w:p w14:paraId="52D32DDD">
      <w:pPr>
        <w:rPr>
          <w:rFonts w:hint="eastAsia" w:ascii="宋体" w:hAnsi="宋体" w:eastAsia="宋体" w:cs="宋体"/>
          <w:kern w:val="2"/>
          <w:sz w:val="24"/>
          <w:szCs w:val="24"/>
          <w:lang w:val="en-US" w:eastAsia="zh-CN" w:bidi="ar-SA"/>
        </w:rPr>
      </w:pPr>
    </w:p>
    <w:p w14:paraId="64084738">
      <w:pPr>
        <w:pStyle w:val="3"/>
        <w:outlineLvl w:val="9"/>
        <w:rPr>
          <w:rFonts w:hint="eastAsia" w:ascii="仿宋" w:hAnsi="仿宋" w:eastAsia="仿宋" w:cs="仿宋"/>
          <w:kern w:val="2"/>
          <w:sz w:val="21"/>
          <w:szCs w:val="24"/>
          <w:lang w:val="en-US" w:eastAsia="zh-CN" w:bidi="ar-SA"/>
        </w:rPr>
      </w:pPr>
    </w:p>
    <w:p w14:paraId="70C1FD0C">
      <w:pPr>
        <w:rPr>
          <w:rFonts w:ascii="Times New Roman" w:hAnsi="Times New Roman" w:eastAsia="宋体" w:cs="Times New Roman"/>
          <w:kern w:val="2"/>
          <w:sz w:val="21"/>
          <w:szCs w:val="24"/>
          <w:lang w:val="en-US" w:eastAsia="zh-CN" w:bidi="ar-SA"/>
        </w:rPr>
      </w:pPr>
    </w:p>
    <w:p w14:paraId="0F64FA97">
      <w:pPr>
        <w:pStyle w:val="3"/>
        <w:outlineLvl w:val="9"/>
        <w:rPr>
          <w:rFonts w:ascii="Times New Roman" w:hAnsi="Times New Roman" w:eastAsia="宋体" w:cs="Times New Roman"/>
          <w:kern w:val="2"/>
          <w:sz w:val="21"/>
          <w:szCs w:val="24"/>
          <w:lang w:val="en-US" w:eastAsia="zh-CN" w:bidi="ar-SA"/>
        </w:rPr>
      </w:pPr>
    </w:p>
    <w:p w14:paraId="3E5E4911">
      <w:pPr>
        <w:rPr>
          <w:rFonts w:ascii="Times New Roman" w:hAnsi="Times New Roman" w:eastAsia="宋体" w:cs="Times New Roman"/>
          <w:kern w:val="2"/>
          <w:sz w:val="21"/>
          <w:szCs w:val="24"/>
          <w:lang w:val="en-US" w:eastAsia="zh-CN" w:bidi="ar-SA"/>
        </w:rPr>
      </w:pPr>
    </w:p>
    <w:p w14:paraId="54291DBD">
      <w:pPr>
        <w:pStyle w:val="3"/>
        <w:outlineLvl w:val="9"/>
        <w:rPr>
          <w:rFonts w:ascii="Times New Roman" w:hAnsi="Times New Roman" w:eastAsia="宋体" w:cs="Times New Roman"/>
          <w:kern w:val="2"/>
          <w:sz w:val="21"/>
          <w:szCs w:val="24"/>
          <w:lang w:val="en-US" w:eastAsia="zh-CN" w:bidi="ar-SA"/>
        </w:rPr>
      </w:pPr>
    </w:p>
    <w:p w14:paraId="7427F551">
      <w:pPr>
        <w:rPr>
          <w:rFonts w:ascii="Times New Roman" w:hAnsi="Times New Roman" w:eastAsia="宋体" w:cs="Times New Roman"/>
          <w:kern w:val="2"/>
          <w:sz w:val="21"/>
          <w:szCs w:val="24"/>
          <w:lang w:val="en-US" w:eastAsia="zh-CN" w:bidi="ar-SA"/>
        </w:rPr>
      </w:pPr>
    </w:p>
    <w:p w14:paraId="141668A4">
      <w:pPr>
        <w:pStyle w:val="3"/>
        <w:outlineLvl w:val="9"/>
        <w:sectPr>
          <w:footerReference r:id="rId3" w:type="default"/>
          <w:pgSz w:w="11906" w:h="16838"/>
          <w:pgMar w:top="2098" w:right="1474" w:bottom="1985" w:left="1588" w:header="851" w:footer="992" w:gutter="0"/>
          <w:pgNumType w:fmt="decimal" w:start="1"/>
          <w:cols w:space="720" w:num="1"/>
          <w:docGrid w:type="lines" w:linePitch="435" w:charSpace="0"/>
        </w:sectPr>
      </w:pPr>
    </w:p>
    <w:p w14:paraId="65916170"/>
    <w:p w14:paraId="4447AC45">
      <w:pPr>
        <w:widowControl/>
        <w:jc w:val="center"/>
        <w:outlineLvl w:val="0"/>
        <w:rPr>
          <w:rFonts w:hint="eastAsia" w:ascii="黑体" w:hAnsi="黑体" w:eastAsia="黑体" w:cs="黑体"/>
          <w:sz w:val="44"/>
          <w:szCs w:val="44"/>
        </w:rPr>
      </w:pPr>
      <w:bookmarkStart w:id="19" w:name="_Toc11662"/>
      <w:r>
        <w:rPr>
          <w:rFonts w:hint="eastAsia" w:ascii="黑体" w:hAnsi="黑体" w:eastAsia="黑体" w:cs="黑体"/>
          <w:sz w:val="44"/>
          <w:szCs w:val="44"/>
        </w:rPr>
        <w:t xml:space="preserve">第一部分 </w:t>
      </w:r>
      <w:r>
        <w:rPr>
          <w:rFonts w:hint="eastAsia" w:ascii="黑体" w:hAnsi="黑体" w:eastAsia="黑体" w:cs="黑体"/>
          <w:sz w:val="44"/>
          <w:szCs w:val="44"/>
          <w:lang w:eastAsia="zh-CN"/>
        </w:rPr>
        <w:t>单位</w:t>
      </w:r>
      <w:r>
        <w:rPr>
          <w:rFonts w:hint="eastAsia" w:ascii="黑体" w:hAnsi="黑体" w:eastAsia="黑体" w:cs="黑体"/>
          <w:sz w:val="44"/>
          <w:szCs w:val="44"/>
        </w:rPr>
        <w:t>概况</w:t>
      </w:r>
      <w:bookmarkEnd w:id="19"/>
    </w:p>
    <w:p w14:paraId="3F539C1A">
      <w:pPr>
        <w:widowControl/>
        <w:jc w:val="left"/>
        <w:rPr>
          <w:rFonts w:ascii="黑体" w:eastAsia="黑体"/>
          <w:color w:val="auto"/>
          <w:sz w:val="32"/>
          <w:szCs w:val="32"/>
          <w:highlight w:val="none"/>
        </w:rPr>
      </w:pPr>
    </w:p>
    <w:p w14:paraId="333FDE86">
      <w:pPr>
        <w:pStyle w:val="3"/>
        <w:numPr>
          <w:ilvl w:val="0"/>
          <w:numId w:val="0"/>
        </w:numPr>
        <w:bidi w:val="0"/>
        <w:ind w:firstLine="643" w:firstLineChars="200"/>
        <w:rPr>
          <w:rFonts w:hint="eastAsia" w:ascii="宋体" w:hAnsi="宋体" w:eastAsia="宋体" w:cs="宋体"/>
          <w:lang w:eastAsia="zh-CN"/>
        </w:rPr>
      </w:pPr>
      <w:bookmarkStart w:id="20" w:name="_Toc17910"/>
      <w:bookmarkStart w:id="21" w:name="_Toc15396600"/>
      <w:bookmarkStart w:id="22" w:name="_Toc15377197"/>
      <w:r>
        <w:rPr>
          <w:rFonts w:hint="eastAsia" w:ascii="宋体" w:hAnsi="宋体" w:eastAsia="宋体" w:cs="宋体"/>
          <w:lang w:val="en-US" w:eastAsia="zh-CN"/>
        </w:rPr>
        <w:t>一、</w:t>
      </w:r>
      <w:r>
        <w:rPr>
          <w:rFonts w:hint="eastAsia" w:ascii="宋体" w:hAnsi="宋体" w:eastAsia="宋体" w:cs="宋体"/>
          <w:lang w:eastAsia="zh-CN"/>
        </w:rPr>
        <w:t>主要职责</w:t>
      </w:r>
      <w:bookmarkEnd w:id="20"/>
    </w:p>
    <w:p w14:paraId="65C32EC3">
      <w:pPr>
        <w:spacing w:line="600" w:lineRule="exact"/>
        <w:ind w:firstLine="640" w:firstLineChars="200"/>
        <w:rPr>
          <w:rFonts w:ascii="仿宋" w:hAnsi="仿宋" w:eastAsia="仿宋"/>
          <w:color w:val="000000" w:themeColor="text1"/>
          <w:sz w:val="32"/>
          <w:szCs w:val="32"/>
          <w:lang w:val="zh-CN"/>
          <w14:textFill>
            <w14:solidFill>
              <w14:schemeClr w14:val="tx1"/>
            </w14:solidFill>
          </w14:textFill>
        </w:rPr>
      </w:pPr>
      <w:r>
        <w:rPr>
          <w:rFonts w:hint="eastAsia"/>
          <w:color w:val="000000" w:themeColor="text1"/>
          <w:sz w:val="32"/>
          <w:szCs w:val="32"/>
          <w:lang w:val="zh-CN"/>
          <w14:textFill>
            <w14:solidFill>
              <w14:schemeClr w14:val="tx1"/>
            </w14:solidFill>
          </w14:textFill>
        </w:rPr>
        <w:t>（</w:t>
      </w:r>
      <w:r>
        <w:rPr>
          <w:rFonts w:hint="eastAsia" w:ascii="仿宋" w:hAnsi="仿宋" w:eastAsia="仿宋"/>
          <w:color w:val="000000" w:themeColor="text1"/>
          <w:sz w:val="32"/>
          <w:szCs w:val="32"/>
          <w:lang w:val="zh-CN"/>
          <w14:textFill>
            <w14:solidFill>
              <w14:schemeClr w14:val="tx1"/>
            </w14:solidFill>
          </w14:textFill>
        </w:rPr>
        <w:t>一）机构组成：</w:t>
      </w:r>
      <w:r>
        <w:rPr>
          <w:rFonts w:hint="eastAsia" w:ascii="仿宋" w:hAnsi="仿宋" w:eastAsia="仿宋"/>
          <w:color w:val="000000" w:themeColor="text1"/>
          <w:sz w:val="32"/>
          <w:szCs w:val="32"/>
          <w14:textFill>
            <w14:solidFill>
              <w14:schemeClr w14:val="tx1"/>
            </w14:solidFill>
          </w14:textFill>
        </w:rPr>
        <w:t>大竹县青年路幼儿园是大竹县教育局直属全额财政拨款事业单位（公益二类）。</w:t>
      </w:r>
    </w:p>
    <w:p w14:paraId="145AC01C">
      <w:pPr>
        <w:spacing w:line="600" w:lineRule="exact"/>
        <w:ind w:firstLine="640" w:firstLineChars="200"/>
        <w:rPr>
          <w:rFonts w:ascii="仿宋" w:hAnsi="仿宋" w:eastAsia="仿宋"/>
          <w:color w:val="000000" w:themeColor="text1"/>
          <w:sz w:val="32"/>
          <w:szCs w:val="32"/>
          <w:lang w:val="zh-CN"/>
          <w14:textFill>
            <w14:solidFill>
              <w14:schemeClr w14:val="tx1"/>
            </w14:solidFill>
          </w14:textFill>
        </w:rPr>
      </w:pPr>
      <w:r>
        <w:rPr>
          <w:rFonts w:hint="eastAsia" w:ascii="仿宋" w:hAnsi="仿宋" w:eastAsia="仿宋"/>
          <w:color w:val="000000" w:themeColor="text1"/>
          <w:sz w:val="32"/>
          <w:szCs w:val="32"/>
          <w:lang w:val="zh-CN"/>
          <w14:textFill>
            <w14:solidFill>
              <w14:schemeClr w14:val="tx1"/>
            </w14:solidFill>
          </w14:textFill>
        </w:rPr>
        <w:t>（二）机构职能：为学龄前儿童提供保育和教育服务。幼儿保育、教育。</w:t>
      </w:r>
    </w:p>
    <w:p w14:paraId="5EDDCC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仿宋" w:hAnsi="仿宋" w:eastAsia="仿宋"/>
          <w:color w:val="000000" w:themeColor="text1"/>
          <w:sz w:val="32"/>
          <w:szCs w:val="32"/>
          <w:lang w:val="zh-CN"/>
          <w14:textFill>
            <w14:solidFill>
              <w14:schemeClr w14:val="tx1"/>
            </w14:solidFill>
          </w14:textFill>
        </w:rPr>
        <w:t>（三）人员概况：</w:t>
      </w:r>
      <w:r>
        <w:rPr>
          <w:rFonts w:hint="eastAsia" w:ascii="仿宋" w:hAnsi="仿宋" w:eastAsia="仿宋"/>
          <w:color w:val="000000" w:themeColor="text1"/>
          <w:sz w:val="32"/>
          <w:szCs w:val="32"/>
          <w14:textFill>
            <w14:solidFill>
              <w14:schemeClr w14:val="tx1"/>
            </w14:solidFill>
          </w14:textFill>
        </w:rPr>
        <w:t>事业编制人数10人。202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年12月底实有在职人员</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人，临聘人员</w:t>
      </w:r>
      <w:r>
        <w:rPr>
          <w:rFonts w:hint="eastAsia" w:ascii="仿宋" w:hAnsi="仿宋" w:eastAsia="仿宋"/>
          <w:color w:val="000000" w:themeColor="text1"/>
          <w:sz w:val="32"/>
          <w:szCs w:val="32"/>
          <w:lang w:val="en-US" w:eastAsia="zh-CN"/>
          <w14:textFill>
            <w14:solidFill>
              <w14:schemeClr w14:val="tx1"/>
            </w14:solidFill>
          </w14:textFill>
        </w:rPr>
        <w:t>23</w:t>
      </w:r>
      <w:r>
        <w:rPr>
          <w:rFonts w:hint="eastAsia" w:ascii="仿宋" w:hAnsi="仿宋" w:eastAsia="仿宋"/>
          <w:color w:val="000000" w:themeColor="text1"/>
          <w:sz w:val="32"/>
          <w:szCs w:val="32"/>
          <w14:textFill>
            <w14:solidFill>
              <w14:schemeClr w14:val="tx1"/>
            </w14:solidFill>
          </w14:textFill>
        </w:rPr>
        <w:t>人，在园学生</w:t>
      </w:r>
      <w:r>
        <w:rPr>
          <w:rFonts w:hint="eastAsia" w:ascii="仿宋" w:hAnsi="仿宋" w:eastAsia="仿宋"/>
          <w:color w:val="000000" w:themeColor="text1"/>
          <w:sz w:val="32"/>
          <w:szCs w:val="32"/>
          <w:lang w:val="en-US" w:eastAsia="zh-CN"/>
          <w14:textFill>
            <w14:solidFill>
              <w14:schemeClr w14:val="tx1"/>
            </w14:solidFill>
          </w14:textFill>
        </w:rPr>
        <w:t>404</w:t>
      </w:r>
      <w:r>
        <w:rPr>
          <w:rFonts w:hint="eastAsia" w:ascii="仿宋" w:hAnsi="仿宋" w:eastAsia="仿宋"/>
          <w:color w:val="000000" w:themeColor="text1"/>
          <w:sz w:val="32"/>
          <w:szCs w:val="32"/>
          <w14:textFill>
            <w14:solidFill>
              <w14:schemeClr w14:val="tx1"/>
            </w14:solidFill>
          </w14:textFill>
        </w:rPr>
        <w:t>人。</w:t>
      </w:r>
    </w:p>
    <w:p w14:paraId="0802D792">
      <w:pPr>
        <w:pStyle w:val="3"/>
        <w:bidi w:val="0"/>
        <w:ind w:firstLine="643" w:firstLineChars="200"/>
        <w:rPr>
          <w:rFonts w:hint="eastAsia"/>
          <w:lang w:val="en-US" w:eastAsia="zh-CN"/>
        </w:rPr>
      </w:pPr>
      <w:bookmarkStart w:id="23" w:name="_Toc727"/>
      <w:r>
        <w:rPr>
          <w:rFonts w:hint="eastAsia"/>
          <w:lang w:val="en-US" w:eastAsia="zh-CN"/>
        </w:rPr>
        <w:t>二、机构设置</w:t>
      </w:r>
      <w:bookmarkEnd w:id="23"/>
    </w:p>
    <w:p w14:paraId="77C62203">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大竹县</w:t>
      </w:r>
      <w:r>
        <w:rPr>
          <w:rFonts w:hint="eastAsia" w:ascii="仿宋" w:hAnsi="仿宋" w:eastAsia="仿宋" w:cs="仿宋"/>
          <w:color w:val="auto"/>
          <w:sz w:val="32"/>
          <w:szCs w:val="32"/>
          <w:lang w:val="en-US" w:eastAsia="zh-CN"/>
        </w:rPr>
        <w:t>青年路</w:t>
      </w:r>
      <w:r>
        <w:rPr>
          <w:rFonts w:hint="eastAsia" w:ascii="仿宋" w:hAnsi="仿宋" w:eastAsia="仿宋" w:cs="仿宋"/>
          <w:color w:val="auto"/>
          <w:sz w:val="32"/>
          <w:szCs w:val="32"/>
          <w:lang w:eastAsia="zh-CN"/>
        </w:rPr>
        <w:t>幼儿园</w:t>
      </w:r>
      <w:r>
        <w:rPr>
          <w:rFonts w:hint="eastAsia" w:ascii="仿宋" w:hAnsi="仿宋" w:eastAsia="仿宋" w:cs="仿宋"/>
          <w:color w:val="auto"/>
          <w:sz w:val="32"/>
          <w:szCs w:val="32"/>
        </w:rPr>
        <w:t>下属二级单位0个，其中行政单位0个，参照公务员法管理的事业单位0个，其他事业单位0个。</w:t>
      </w:r>
    </w:p>
    <w:p w14:paraId="4A3E8D83">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color w:val="auto"/>
          <w:sz w:val="32"/>
          <w:szCs w:val="32"/>
          <w:lang w:val="en-US" w:eastAsia="zh-CN"/>
        </w:rPr>
      </w:pPr>
      <w:r>
        <w:rPr>
          <w:rFonts w:hint="eastAsia" w:ascii="仿宋" w:hAnsi="仿宋" w:eastAsia="仿宋" w:cs="仿宋"/>
          <w:color w:val="auto"/>
          <w:sz w:val="32"/>
          <w:szCs w:val="32"/>
        </w:rPr>
        <w:t>纳入大竹县</w:t>
      </w:r>
      <w:r>
        <w:rPr>
          <w:rFonts w:hint="eastAsia" w:ascii="仿宋" w:hAnsi="仿宋" w:eastAsia="仿宋" w:cs="仿宋"/>
          <w:color w:val="auto"/>
          <w:sz w:val="32"/>
          <w:szCs w:val="32"/>
          <w:lang w:val="en-US" w:eastAsia="zh-CN"/>
        </w:rPr>
        <w:t>青年路</w:t>
      </w:r>
      <w:r>
        <w:rPr>
          <w:rFonts w:hint="eastAsia" w:ascii="仿宋" w:hAnsi="仿宋" w:eastAsia="仿宋" w:cs="仿宋"/>
          <w:color w:val="auto"/>
          <w:sz w:val="32"/>
          <w:szCs w:val="32"/>
          <w:lang w:eastAsia="zh-CN"/>
        </w:rPr>
        <w:t>幼儿园202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年度部门决算编制范围的二级预算单位包括：无。</w:t>
      </w:r>
    </w:p>
    <w:p w14:paraId="6FA77760">
      <w:pPr>
        <w:pStyle w:val="2"/>
        <w:pageBreakBefore w:val="0"/>
        <w:tabs>
          <w:tab w:val="left" w:pos="3540"/>
          <w:tab w:val="center" w:pos="4262"/>
        </w:tabs>
        <w:kinsoku/>
        <w:wordWrap/>
        <w:overflowPunct/>
        <w:topLinePunct w:val="0"/>
        <w:autoSpaceDE/>
        <w:autoSpaceDN/>
        <w:bidi w:val="0"/>
        <w:adjustRightInd/>
        <w:snapToGrid/>
        <w:spacing w:line="600" w:lineRule="exact"/>
        <w:ind w:right="440" w:firstLine="883" w:firstLineChars="200"/>
        <w:jc w:val="left"/>
        <w:textAlignment w:val="auto"/>
        <w:outlineLvl w:val="9"/>
        <w:sectPr>
          <w:footerReference r:id="rId4" w:type="default"/>
          <w:pgSz w:w="11906" w:h="16838"/>
          <w:pgMar w:top="2098" w:right="1474" w:bottom="1985" w:left="1588" w:header="851" w:footer="992" w:gutter="0"/>
          <w:pgNumType w:fmt="decimal" w:start="1"/>
          <w:cols w:space="720" w:num="1"/>
          <w:docGrid w:type="lines" w:linePitch="435" w:charSpace="0"/>
        </w:sectPr>
      </w:pPr>
    </w:p>
    <w:bookmarkEnd w:id="21"/>
    <w:bookmarkEnd w:id="22"/>
    <w:p w14:paraId="702B6898">
      <w:pPr>
        <w:widowControl/>
        <w:jc w:val="left"/>
        <w:rPr>
          <w:rFonts w:ascii="仿宋" w:hAnsi="仿宋" w:eastAsia="仿宋"/>
          <w:color w:val="auto"/>
          <w:kern w:val="0"/>
          <w:sz w:val="32"/>
          <w:szCs w:val="32"/>
          <w:highlight w:val="none"/>
        </w:rPr>
      </w:pPr>
    </w:p>
    <w:p w14:paraId="70E30000">
      <w:pPr>
        <w:pStyle w:val="2"/>
        <w:bidi w:val="0"/>
        <w:jc w:val="center"/>
        <w:rPr>
          <w:rStyle w:val="25"/>
          <w:rFonts w:ascii="黑体" w:hAnsi="黑体" w:eastAsia="黑体"/>
          <w:b w:val="0"/>
          <w:bCs/>
          <w:color w:val="auto"/>
          <w:highlight w:val="none"/>
        </w:rPr>
      </w:pPr>
      <w:bookmarkStart w:id="24" w:name="_Toc15377204"/>
      <w:bookmarkStart w:id="25" w:name="_Toc15396602"/>
      <w:bookmarkStart w:id="26" w:name="_Toc24028"/>
      <w:bookmarkStart w:id="27" w:name="_Toc4893"/>
      <w:r>
        <w:rPr>
          <w:rFonts w:hint="eastAsia" w:ascii="黑体" w:hAnsi="黑体" w:eastAsia="黑体" w:cs="黑体"/>
          <w:b/>
          <w:bCs/>
        </w:rPr>
        <w:t xml:space="preserve">第二部分 </w:t>
      </w:r>
      <w:r>
        <w:rPr>
          <w:rFonts w:hint="eastAsia" w:ascii="黑体" w:hAnsi="黑体" w:eastAsia="黑体" w:cs="黑体"/>
          <w:b/>
          <w:bCs/>
          <w:lang w:val="en-US" w:eastAsia="zh-CN"/>
        </w:rPr>
        <w:t>202</w:t>
      </w:r>
      <w:r>
        <w:rPr>
          <w:rFonts w:hint="eastAsia" w:ascii="黑体" w:hAnsi="黑体" w:cs="黑体"/>
          <w:b/>
          <w:bCs/>
          <w:lang w:val="en-US" w:eastAsia="zh-CN"/>
        </w:rPr>
        <w:t>3</w:t>
      </w:r>
      <w:r>
        <w:rPr>
          <w:rFonts w:hint="eastAsia" w:ascii="黑体" w:hAnsi="黑体" w:eastAsia="黑体" w:cs="黑体"/>
          <w:b/>
          <w:bCs/>
          <w:lang w:val="en-US" w:eastAsia="zh-CN"/>
        </w:rPr>
        <w:t>年度</w:t>
      </w:r>
      <w:r>
        <w:rPr>
          <w:rFonts w:hint="eastAsia" w:ascii="黑体" w:hAnsi="黑体" w:eastAsia="黑体" w:cs="黑体"/>
          <w:b/>
          <w:bCs/>
          <w:lang w:eastAsia="zh-CN"/>
        </w:rPr>
        <w:t>单位</w:t>
      </w:r>
      <w:r>
        <w:rPr>
          <w:rFonts w:hint="eastAsia" w:ascii="黑体" w:hAnsi="黑体" w:eastAsia="黑体" w:cs="黑体"/>
          <w:b/>
          <w:bCs/>
        </w:rPr>
        <w:t>决算情况说明</w:t>
      </w:r>
      <w:bookmarkEnd w:id="24"/>
      <w:bookmarkEnd w:id="25"/>
      <w:bookmarkEnd w:id="26"/>
      <w:bookmarkEnd w:id="27"/>
    </w:p>
    <w:p w14:paraId="5CCADD15">
      <w:pPr>
        <w:rPr>
          <w:color w:val="auto"/>
          <w:highlight w:val="none"/>
        </w:rPr>
      </w:pPr>
    </w:p>
    <w:p w14:paraId="0B7B61E3">
      <w:pPr>
        <w:pStyle w:val="3"/>
        <w:numPr>
          <w:ilvl w:val="0"/>
          <w:numId w:val="1"/>
        </w:numPr>
        <w:bidi w:val="0"/>
        <w:ind w:left="1350" w:leftChars="0" w:firstLineChars="0"/>
        <w:rPr>
          <w:rStyle w:val="26"/>
          <w:rFonts w:ascii="黑体" w:hAnsi="黑体" w:eastAsia="黑体"/>
          <w:b w:val="0"/>
          <w:bCs/>
          <w:color w:val="auto"/>
          <w:highlight w:val="none"/>
        </w:rPr>
      </w:pPr>
      <w:bookmarkStart w:id="28" w:name="_Toc15396603"/>
      <w:bookmarkStart w:id="29" w:name="_Toc15377205"/>
      <w:bookmarkStart w:id="30" w:name="_Toc27655"/>
      <w:r>
        <w:rPr>
          <w:rFonts w:hint="eastAsia"/>
        </w:rPr>
        <w:t>收入支出决算总体情况说明</w:t>
      </w:r>
      <w:bookmarkEnd w:id="28"/>
      <w:bookmarkEnd w:id="29"/>
      <w:bookmarkEnd w:id="30"/>
    </w:p>
    <w:p w14:paraId="27A5E27D">
      <w:pPr>
        <w:spacing w:line="600" w:lineRule="exact"/>
        <w:ind w:firstLine="640" w:firstLineChars="200"/>
        <w:rPr>
          <w:rFonts w:hint="eastAsia" w:ascii="仿宋" w:hAnsi="仿宋" w:eastAsia="仿宋"/>
          <w:color w:val="auto"/>
          <w:sz w:val="32"/>
          <w:szCs w:val="32"/>
          <w:highlight w:val="none"/>
          <w:lang w:eastAsia="zh-CN"/>
        </w:rPr>
      </w:pPr>
      <w:r>
        <w:rPr>
          <w:rFonts w:hint="eastAsia" w:ascii="仿宋_GB2312" w:hAnsi="仿宋" w:eastAsia="仿宋_GB2312"/>
          <w:sz w:val="32"/>
          <w:szCs w:val="32"/>
          <w:lang w:val="en-US" w:eastAsia="zh-CN"/>
        </w:rPr>
        <w:t>2023年总收入261.25万元，较2022年总收入220.11万元，增加41.14万元，增加18.69%。2023年总支出261.25万元，较2022年总支出220.11万元，增加41.14万元，增加18.69%。主要原因是公用经费及人员经费增加。</w:t>
      </w:r>
    </w:p>
    <w:p w14:paraId="73257429">
      <w:pPr>
        <w:pStyle w:val="3"/>
        <w:bidi w:val="0"/>
        <w:jc w:val="center"/>
        <w:outlineLvl w:val="9"/>
        <w:rPr>
          <w:rFonts w:hint="eastAsia"/>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1276985</wp:posOffset>
                </wp:positionH>
                <wp:positionV relativeFrom="paragraph">
                  <wp:posOffset>2322195</wp:posOffset>
                </wp:positionV>
                <wp:extent cx="3512185" cy="311150"/>
                <wp:effectExtent l="0" t="0" r="5715" b="6350"/>
                <wp:wrapNone/>
                <wp:docPr id="11" name="文本框 11"/>
                <wp:cNvGraphicFramePr/>
                <a:graphic xmlns:a="http://schemas.openxmlformats.org/drawingml/2006/main">
                  <a:graphicData uri="http://schemas.microsoft.com/office/word/2010/wordprocessingShape">
                    <wps:wsp>
                      <wps:cNvSpPr txBox="1"/>
                      <wps:spPr>
                        <a:xfrm>
                          <a:off x="1809115" y="7687310"/>
                          <a:ext cx="3512185" cy="311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DB337">
                            <w:pPr>
                              <w:rPr>
                                <w:rFonts w:hint="default" w:eastAsia="宋体"/>
                                <w:sz w:val="22"/>
                                <w:szCs w:val="22"/>
                                <w:lang w:val="en-US" w:eastAsia="zh-CN"/>
                              </w:rPr>
                            </w:pPr>
                            <w:r>
                              <w:rPr>
                                <w:rFonts w:hint="eastAsia"/>
                                <w:sz w:val="22"/>
                                <w:szCs w:val="22"/>
                                <w:lang w:val="en-US" w:eastAsia="zh-CN"/>
                              </w:rPr>
                              <w:t>2022年                          2023年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00.55pt;margin-top:182.85pt;height:24.5pt;width:276.55pt;z-index:251661312;v-text-anchor:middle;mso-width-relative:page;mso-height-relative:page;" filled="f" stroked="f" coordsize="21600,21600" o:gfxdata="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Z+WYHcAAAACwEAAA8AAAAAAAAA&#10;AQAgAAAAIgAAAGRycy9kb3ducmV2LnhtbFBLAQIUABQAAAAIAIdO4kD2Sl3aRgIAAHYEAAAOAAAA&#10;AAAAAAEAIAAAACsBAABkcnMvZTJvRG9jLnhtbFBLBQYAAAAABgAGAFkBAADjBQAAAAA=&#10;">
                <v:fill on="f" focussize="0,0"/>
                <v:stroke on="f" weight="0.5pt"/>
                <v:imagedata o:title=""/>
                <o:lock v:ext="edit" aspectratio="f"/>
                <v:textbox>
                  <w:txbxContent>
                    <w:p w14:paraId="27CDB337">
                      <w:pPr>
                        <w:rPr>
                          <w:rFonts w:hint="default" w:eastAsia="宋体"/>
                          <w:sz w:val="22"/>
                          <w:szCs w:val="22"/>
                          <w:lang w:val="en-US" w:eastAsia="zh-CN"/>
                        </w:rPr>
                      </w:pPr>
                      <w:r>
                        <w:rPr>
                          <w:rFonts w:hint="eastAsia"/>
                          <w:sz w:val="22"/>
                          <w:szCs w:val="22"/>
                          <w:lang w:val="en-US" w:eastAsia="zh-CN"/>
                        </w:rPr>
                        <w:t>2022年                          2023年</w:t>
                      </w:r>
                    </w:p>
                  </w:txbxContent>
                </v:textbox>
              </v:shape>
            </w:pict>
          </mc:Fallback>
        </mc:AlternateContent>
      </w:r>
      <w:r>
        <w:rPr>
          <w:rFonts w:hint="eastAsia"/>
          <w:lang w:eastAsia="zh-CN"/>
        </w:rPr>
        <w:drawing>
          <wp:anchor distT="0" distB="0" distL="114935" distR="114935" simplePos="0" relativeHeight="251660288" behindDoc="0" locked="0" layoutInCell="1" allowOverlap="1">
            <wp:simplePos x="0" y="0"/>
            <wp:positionH relativeFrom="column">
              <wp:posOffset>316865</wp:posOffset>
            </wp:positionH>
            <wp:positionV relativeFrom="paragraph">
              <wp:posOffset>191770</wp:posOffset>
            </wp:positionV>
            <wp:extent cx="4978400" cy="2703830"/>
            <wp:effectExtent l="4445" t="4445" r="8255"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16105AE2">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14:paraId="29567D2A">
      <w:pPr>
        <w:spacing w:line="600" w:lineRule="exact"/>
        <w:ind w:firstLine="640" w:firstLineChars="200"/>
        <w:jc w:val="left"/>
        <w:rPr>
          <w:rFonts w:ascii="仿宋_GB2312" w:eastAsia="仿宋_GB2312"/>
          <w:color w:val="auto"/>
          <w:sz w:val="32"/>
          <w:szCs w:val="32"/>
          <w:highlight w:val="none"/>
        </w:rPr>
      </w:pPr>
    </w:p>
    <w:p w14:paraId="4AF0DEEC">
      <w:pPr>
        <w:pStyle w:val="3"/>
        <w:numPr>
          <w:ilvl w:val="0"/>
          <w:numId w:val="1"/>
        </w:numPr>
        <w:bidi w:val="0"/>
        <w:ind w:left="1350" w:leftChars="0" w:firstLineChars="0"/>
      </w:pPr>
      <w:bookmarkStart w:id="31" w:name="_Toc10055"/>
      <w:bookmarkStart w:id="32" w:name="_Toc15396604"/>
      <w:bookmarkStart w:id="33" w:name="_Toc15377206"/>
      <w:r>
        <w:rPr>
          <w:rFonts w:hint="eastAsia"/>
        </w:rPr>
        <w:t>收入决算情况说明</w:t>
      </w:r>
      <w:bookmarkEnd w:id="31"/>
      <w:bookmarkEnd w:id="32"/>
      <w:bookmarkEnd w:id="33"/>
    </w:p>
    <w:p w14:paraId="4D66CEF5">
      <w:pPr>
        <w:spacing w:line="600" w:lineRule="exact"/>
        <w:ind w:firstLine="640" w:firstLineChars="200"/>
        <w:outlineLvl w:val="1"/>
        <w:rPr>
          <w:rFonts w:ascii="仿宋" w:hAnsi="仿宋" w:eastAsia="仿宋"/>
          <w:color w:val="auto"/>
          <w:sz w:val="32"/>
          <w:szCs w:val="32"/>
          <w:highlight w:val="none"/>
        </w:rPr>
      </w:pPr>
      <w:bookmarkStart w:id="34" w:name="_Toc14834"/>
      <w:bookmarkStart w:id="35" w:name="_Toc5543"/>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257.84</w:t>
      </w:r>
      <w:r>
        <w:rPr>
          <w:rFonts w:hint="eastAsia" w:ascii="仿宋" w:hAnsi="仿宋" w:eastAsia="仿宋"/>
          <w:color w:val="auto"/>
          <w:sz w:val="32"/>
          <w:szCs w:val="32"/>
          <w:highlight w:val="none"/>
        </w:rPr>
        <w:t>万元，其中：一般公共预算财政拨款收入</w:t>
      </w:r>
      <w:r>
        <w:rPr>
          <w:rFonts w:hint="eastAsia" w:ascii="仿宋_GB2312" w:hAnsi="仿宋" w:eastAsia="仿宋_GB2312"/>
          <w:sz w:val="32"/>
          <w:szCs w:val="32"/>
          <w:lang w:val="en-US" w:eastAsia="zh-CN"/>
        </w:rPr>
        <w:t>257.84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bookmarkEnd w:id="34"/>
      <w:bookmarkEnd w:id="35"/>
    </w:p>
    <w:p w14:paraId="1B680B84">
      <w:pPr>
        <w:pStyle w:val="6"/>
        <w:jc w:val="center"/>
        <w:rPr>
          <w:rFonts w:hint="eastAsia" w:eastAsia="仿宋"/>
          <w:lang w:eastAsia="zh-CN"/>
        </w:rPr>
      </w:pPr>
      <w:r>
        <w:rPr>
          <w:rFonts w:hint="eastAsia" w:eastAsia="仿宋"/>
          <w:lang w:eastAsia="zh-CN"/>
        </w:rPr>
        <w:drawing>
          <wp:inline distT="0" distB="0" distL="114300" distR="114300">
            <wp:extent cx="5256530" cy="2988310"/>
            <wp:effectExtent l="5080" t="4445" r="8890" b="1714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6F3522">
      <w:pPr>
        <w:spacing w:line="600" w:lineRule="exact"/>
        <w:jc w:val="center"/>
        <w:outlineLvl w:val="2"/>
        <w:rPr>
          <w:rFonts w:hint="eastAsia" w:ascii="仿宋" w:hAnsi="仿宋" w:eastAsia="仿宋"/>
          <w:color w:val="auto"/>
          <w:sz w:val="32"/>
          <w:szCs w:val="32"/>
          <w:highlight w:val="none"/>
          <w:lang w:eastAsia="zh-CN"/>
        </w:rPr>
      </w:pPr>
      <w:bookmarkStart w:id="36" w:name="_Toc2531"/>
      <w:r>
        <w:rPr>
          <w:rFonts w:hint="eastAsia" w:ascii="仿宋" w:hAnsi="仿宋" w:eastAsia="仿宋"/>
          <w:color w:val="auto"/>
          <w:sz w:val="32"/>
          <w:szCs w:val="32"/>
          <w:highlight w:val="none"/>
        </w:rPr>
        <w:t>（图2：收入决算结构图）</w:t>
      </w:r>
      <w:bookmarkEnd w:id="36"/>
    </w:p>
    <w:p w14:paraId="657FC75C">
      <w:pPr>
        <w:spacing w:line="600" w:lineRule="exact"/>
        <w:ind w:firstLine="640" w:firstLineChars="200"/>
        <w:rPr>
          <w:rFonts w:ascii="仿宋_GB2312" w:eastAsia="仿宋_GB2312"/>
          <w:color w:val="auto"/>
          <w:sz w:val="32"/>
          <w:szCs w:val="32"/>
          <w:highlight w:val="none"/>
        </w:rPr>
      </w:pPr>
    </w:p>
    <w:p w14:paraId="08841262">
      <w:pPr>
        <w:pStyle w:val="3"/>
        <w:numPr>
          <w:ilvl w:val="0"/>
          <w:numId w:val="1"/>
        </w:numPr>
        <w:bidi w:val="0"/>
        <w:ind w:left="1350" w:leftChars="0" w:firstLineChars="0"/>
      </w:pPr>
      <w:bookmarkStart w:id="37" w:name="_Toc15377207"/>
      <w:bookmarkStart w:id="38" w:name="_Toc15396605"/>
      <w:bookmarkStart w:id="39" w:name="_Toc5022"/>
      <w:r>
        <w:rPr>
          <w:rFonts w:hint="eastAsia"/>
        </w:rPr>
        <w:t>支出决算情况说明</w:t>
      </w:r>
      <w:bookmarkEnd w:id="37"/>
      <w:bookmarkEnd w:id="38"/>
      <w:bookmarkEnd w:id="39"/>
    </w:p>
    <w:p w14:paraId="1930F9DE">
      <w:pPr>
        <w:spacing w:line="600" w:lineRule="exact"/>
        <w:ind w:firstLine="640" w:firstLineChars="200"/>
        <w:outlineLvl w:val="1"/>
        <w:rPr>
          <w:rFonts w:hint="eastAsia" w:ascii="仿宋" w:hAnsi="仿宋" w:eastAsia="仿宋"/>
          <w:color w:val="auto"/>
          <w:sz w:val="32"/>
          <w:szCs w:val="32"/>
          <w:highlight w:val="none"/>
          <w:lang w:eastAsia="zh-CN"/>
        </w:rPr>
      </w:pPr>
      <w:bookmarkStart w:id="40" w:name="_Toc23969"/>
      <w:bookmarkStart w:id="41" w:name="_Toc29885"/>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s="仿宋"/>
          <w:color w:val="000000"/>
          <w:sz w:val="32"/>
          <w:szCs w:val="32"/>
          <w:lang w:val="en-US" w:eastAsia="zh-CN"/>
        </w:rPr>
        <w:t>261.25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257.94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98.73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3.31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1.27</w:t>
      </w:r>
      <w:r>
        <w:rPr>
          <w:rFonts w:ascii="仿宋" w:hAnsi="仿宋" w:eastAsia="仿宋"/>
          <w:color w:val="auto"/>
          <w:sz w:val="32"/>
          <w:szCs w:val="32"/>
          <w:highlight w:val="none"/>
        </w:rPr>
        <w:t>%</w:t>
      </w:r>
      <w:bookmarkEnd w:id="40"/>
      <w:r>
        <w:rPr>
          <w:rFonts w:hint="eastAsia" w:ascii="仿宋" w:hAnsi="仿宋" w:eastAsia="仿宋"/>
          <w:color w:val="auto"/>
          <w:sz w:val="32"/>
          <w:szCs w:val="32"/>
          <w:highlight w:val="none"/>
          <w:lang w:eastAsia="zh-CN"/>
        </w:rPr>
        <w:t>。</w:t>
      </w:r>
      <w:bookmarkEnd w:id="41"/>
    </w:p>
    <w:p w14:paraId="080EE8BB">
      <w:pPr>
        <w:pStyle w:val="6"/>
        <w:jc w:val="center"/>
        <w:rPr>
          <w:rFonts w:hint="eastAsia" w:eastAsia="仿宋_GB2312"/>
          <w:lang w:eastAsia="zh-CN"/>
        </w:rPr>
      </w:pPr>
      <w:r>
        <w:rPr>
          <w:rFonts w:hint="eastAsia" w:eastAsia="仿宋_GB2312"/>
          <w:lang w:eastAsia="zh-CN"/>
        </w:rPr>
        <w:drawing>
          <wp:inline distT="0" distB="0" distL="114300" distR="114300">
            <wp:extent cx="5256530" cy="2988310"/>
            <wp:effectExtent l="5080" t="4445" r="8890" b="1714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AC56C6">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14:paraId="72BBD5BF">
      <w:pPr>
        <w:spacing w:line="600" w:lineRule="exact"/>
        <w:ind w:firstLine="640" w:firstLineChars="200"/>
        <w:rPr>
          <w:rFonts w:ascii="仿宋_GB2312" w:eastAsia="仿宋_GB2312"/>
          <w:color w:val="auto"/>
          <w:sz w:val="32"/>
          <w:szCs w:val="32"/>
          <w:highlight w:val="none"/>
        </w:rPr>
      </w:pPr>
    </w:p>
    <w:p w14:paraId="2E8DB438">
      <w:pPr>
        <w:pStyle w:val="3"/>
        <w:bidi w:val="0"/>
        <w:ind w:firstLine="643" w:firstLineChars="200"/>
      </w:pPr>
      <w:bookmarkStart w:id="42" w:name="_Toc23912"/>
      <w:bookmarkStart w:id="43" w:name="_Toc15377208"/>
      <w:bookmarkStart w:id="44" w:name="_Toc15396606"/>
      <w:r>
        <w:rPr>
          <w:rFonts w:hint="eastAsia"/>
        </w:rPr>
        <w:t>四、财政拨款收入支出决算总体情况说明</w:t>
      </w:r>
      <w:bookmarkEnd w:id="42"/>
      <w:bookmarkEnd w:id="43"/>
      <w:bookmarkEnd w:id="44"/>
    </w:p>
    <w:p w14:paraId="727C8FF6">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s="仿宋"/>
          <w:sz w:val="32"/>
          <w:szCs w:val="32"/>
          <w:lang w:val="en-US" w:eastAsia="zh-CN"/>
        </w:rPr>
        <w:t>2023年总收入</w:t>
      </w:r>
      <w:r>
        <w:rPr>
          <w:rFonts w:hint="eastAsia" w:ascii="仿宋" w:hAnsi="仿宋" w:eastAsia="仿宋" w:cs="仿宋"/>
          <w:color w:val="000000"/>
          <w:sz w:val="32"/>
          <w:szCs w:val="32"/>
          <w:lang w:val="en-US" w:eastAsia="zh-CN"/>
        </w:rPr>
        <w:t>261.25</w:t>
      </w:r>
      <w:r>
        <w:rPr>
          <w:rFonts w:hint="eastAsia" w:ascii="仿宋" w:hAnsi="仿宋" w:eastAsia="仿宋" w:cs="仿宋"/>
          <w:sz w:val="32"/>
          <w:szCs w:val="32"/>
          <w:lang w:val="en-US" w:eastAsia="zh-CN"/>
        </w:rPr>
        <w:t>万元，较2021年总收入220.11万元，增加</w:t>
      </w:r>
      <w:r>
        <w:rPr>
          <w:rFonts w:hint="eastAsia" w:ascii="仿宋_GB2312" w:hAnsi="仿宋" w:eastAsia="仿宋_GB2312"/>
          <w:sz w:val="32"/>
          <w:szCs w:val="32"/>
          <w:lang w:val="en-US" w:eastAsia="zh-CN"/>
        </w:rPr>
        <w:t>41.14</w:t>
      </w:r>
      <w:r>
        <w:rPr>
          <w:rFonts w:hint="eastAsia" w:ascii="仿宋" w:hAnsi="仿宋" w:eastAsia="仿宋" w:cs="仿宋"/>
          <w:sz w:val="32"/>
          <w:szCs w:val="32"/>
          <w:lang w:val="en-US" w:eastAsia="zh-CN"/>
        </w:rPr>
        <w:t>万元，增加</w:t>
      </w:r>
      <w:r>
        <w:rPr>
          <w:rFonts w:hint="eastAsia" w:ascii="仿宋_GB2312" w:hAnsi="仿宋" w:eastAsia="仿宋_GB2312"/>
          <w:sz w:val="32"/>
          <w:szCs w:val="32"/>
          <w:lang w:val="en-US" w:eastAsia="zh-CN"/>
        </w:rPr>
        <w:t>18.69</w:t>
      </w:r>
      <w:r>
        <w:rPr>
          <w:rFonts w:hint="eastAsia" w:ascii="仿宋" w:hAnsi="仿宋" w:eastAsia="仿宋" w:cs="仿宋"/>
          <w:sz w:val="32"/>
          <w:szCs w:val="32"/>
          <w:lang w:val="en-US" w:eastAsia="zh-CN"/>
        </w:rPr>
        <w:t>%，</w:t>
      </w:r>
      <w:r>
        <w:rPr>
          <w:rFonts w:hint="eastAsia" w:ascii="仿宋_GB2312" w:hAnsi="仿宋" w:eastAsia="仿宋_GB2312"/>
          <w:sz w:val="32"/>
          <w:szCs w:val="32"/>
          <w:lang w:val="en-US" w:eastAsia="zh-CN"/>
        </w:rPr>
        <w:t>主要原因是公用经费及人员经费增加。</w:t>
      </w:r>
    </w:p>
    <w:p w14:paraId="23A68A65">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s="仿宋"/>
          <w:sz w:val="32"/>
          <w:szCs w:val="32"/>
          <w:lang w:val="en-US" w:eastAsia="zh-CN"/>
        </w:rPr>
        <w:t>2023年总支出</w:t>
      </w:r>
      <w:r>
        <w:rPr>
          <w:rFonts w:hint="eastAsia" w:ascii="仿宋" w:hAnsi="仿宋" w:eastAsia="仿宋" w:cs="仿宋"/>
          <w:color w:val="000000"/>
          <w:sz w:val="32"/>
          <w:szCs w:val="32"/>
          <w:lang w:val="en-US" w:eastAsia="zh-CN"/>
        </w:rPr>
        <w:t>261.25</w:t>
      </w:r>
      <w:r>
        <w:rPr>
          <w:rFonts w:hint="eastAsia" w:ascii="仿宋" w:hAnsi="仿宋" w:eastAsia="仿宋" w:cs="仿宋"/>
          <w:sz w:val="32"/>
          <w:szCs w:val="32"/>
          <w:lang w:val="en-US" w:eastAsia="zh-CN"/>
        </w:rPr>
        <w:t>万元，较2022年总支出220.11万元，增加</w:t>
      </w:r>
      <w:r>
        <w:rPr>
          <w:rFonts w:hint="eastAsia" w:ascii="仿宋_GB2312" w:hAnsi="仿宋" w:eastAsia="仿宋_GB2312"/>
          <w:sz w:val="32"/>
          <w:szCs w:val="32"/>
          <w:lang w:val="en-US" w:eastAsia="zh-CN"/>
        </w:rPr>
        <w:t>41.14</w:t>
      </w:r>
      <w:r>
        <w:rPr>
          <w:rFonts w:hint="eastAsia" w:ascii="仿宋" w:hAnsi="仿宋" w:eastAsia="仿宋" w:cs="仿宋"/>
          <w:sz w:val="32"/>
          <w:szCs w:val="32"/>
          <w:lang w:val="en-US" w:eastAsia="zh-CN"/>
        </w:rPr>
        <w:t>万元，增加</w:t>
      </w:r>
      <w:r>
        <w:rPr>
          <w:rFonts w:hint="eastAsia" w:ascii="仿宋_GB2312" w:hAnsi="仿宋" w:eastAsia="仿宋_GB2312"/>
          <w:sz w:val="32"/>
          <w:szCs w:val="32"/>
          <w:lang w:val="en-US" w:eastAsia="zh-CN"/>
        </w:rPr>
        <w:t>18.69</w:t>
      </w:r>
      <w:r>
        <w:rPr>
          <w:rFonts w:hint="eastAsia" w:ascii="仿宋" w:hAnsi="仿宋" w:eastAsia="仿宋" w:cs="仿宋"/>
          <w:sz w:val="32"/>
          <w:szCs w:val="32"/>
          <w:lang w:val="en-US" w:eastAsia="zh-CN"/>
        </w:rPr>
        <w:t>%，</w:t>
      </w:r>
      <w:r>
        <w:rPr>
          <w:rFonts w:hint="eastAsia" w:ascii="仿宋_GB2312" w:hAnsi="仿宋" w:eastAsia="仿宋_GB2312"/>
          <w:sz w:val="32"/>
          <w:szCs w:val="32"/>
          <w:lang w:val="en-US" w:eastAsia="zh-CN"/>
        </w:rPr>
        <w:t>主要原因是公用经费及人员经费增加。</w:t>
      </w:r>
    </w:p>
    <w:p w14:paraId="5AB8557C">
      <w:pPr>
        <w:spacing w:line="600" w:lineRule="exact"/>
        <w:ind w:firstLine="420" w:firstLineChars="200"/>
      </w:pPr>
    </w:p>
    <w:p w14:paraId="51AF506B">
      <w:pPr>
        <w:jc w:val="center"/>
        <w:rPr>
          <w:rFonts w:hint="eastAsia" w:eastAsia="宋体"/>
          <w:lang w:eastAsia="zh-CN"/>
        </w:rPr>
      </w:pPr>
      <w:r>
        <w:rPr>
          <w:rFonts w:hint="eastAsia" w:eastAsia="宋体"/>
          <w:lang w:eastAsia="zh-CN"/>
        </w:rPr>
        <w:drawing>
          <wp:inline distT="0" distB="0" distL="114300" distR="114300">
            <wp:extent cx="5256530" cy="2988310"/>
            <wp:effectExtent l="5080" t="4445" r="8890" b="1714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17A69B">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14:paraId="6D2E87D7">
      <w:pPr>
        <w:spacing w:line="600" w:lineRule="exact"/>
        <w:ind w:firstLine="640"/>
        <w:rPr>
          <w:rFonts w:ascii="仿宋" w:hAnsi="仿宋" w:eastAsia="仿宋"/>
          <w:b/>
          <w:color w:val="auto"/>
          <w:sz w:val="32"/>
          <w:szCs w:val="32"/>
          <w:highlight w:val="none"/>
        </w:rPr>
      </w:pPr>
    </w:p>
    <w:p w14:paraId="58750D0F">
      <w:pPr>
        <w:pStyle w:val="3"/>
        <w:bidi w:val="0"/>
        <w:ind w:firstLine="643" w:firstLineChars="200"/>
      </w:pPr>
      <w:bookmarkStart w:id="45" w:name="_Toc15360"/>
      <w:bookmarkStart w:id="46" w:name="_Toc15377209"/>
      <w:bookmarkStart w:id="47" w:name="_Toc15396607"/>
      <w:r>
        <w:rPr>
          <w:rFonts w:hint="eastAsia"/>
        </w:rPr>
        <w:t>五、一般公共预算财政拨款支出决算情况说明</w:t>
      </w:r>
      <w:bookmarkEnd w:id="45"/>
      <w:bookmarkEnd w:id="46"/>
      <w:bookmarkEnd w:id="47"/>
    </w:p>
    <w:p w14:paraId="4F02714E">
      <w:pPr>
        <w:spacing w:line="600" w:lineRule="exact"/>
        <w:ind w:firstLine="643" w:firstLineChars="200"/>
        <w:outlineLvl w:val="2"/>
        <w:rPr>
          <w:rFonts w:ascii="仿宋" w:hAnsi="仿宋" w:eastAsia="仿宋"/>
          <w:b/>
          <w:color w:val="auto"/>
          <w:sz w:val="32"/>
          <w:szCs w:val="32"/>
          <w:highlight w:val="none"/>
        </w:rPr>
      </w:pPr>
      <w:bookmarkStart w:id="48" w:name="_Toc14263"/>
      <w:bookmarkStart w:id="49" w:name="_Toc15377210"/>
      <w:r>
        <w:rPr>
          <w:rFonts w:hint="eastAsia" w:ascii="仿宋" w:hAnsi="仿宋" w:eastAsia="仿宋"/>
          <w:b/>
          <w:color w:val="auto"/>
          <w:sz w:val="32"/>
          <w:szCs w:val="32"/>
          <w:highlight w:val="none"/>
        </w:rPr>
        <w:t>（一）一般公共预算财政拨款支出决算总体情况</w:t>
      </w:r>
      <w:bookmarkEnd w:id="48"/>
      <w:bookmarkEnd w:id="49"/>
    </w:p>
    <w:p w14:paraId="769985CA">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年一般公共预算财政拨款支出261.25万元，占本年支出合计的</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%。与20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年相比，一般公共预算财政拨款</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增加</w:t>
      </w:r>
      <w:r>
        <w:rPr>
          <w:rFonts w:hint="eastAsia" w:ascii="仿宋_GB2312" w:hAnsi="仿宋" w:eastAsia="仿宋_GB2312"/>
          <w:sz w:val="32"/>
          <w:szCs w:val="32"/>
          <w:lang w:val="en-US" w:eastAsia="zh-CN"/>
        </w:rPr>
        <w:t>41.14</w:t>
      </w:r>
      <w:r>
        <w:rPr>
          <w:rFonts w:hint="eastAsia" w:ascii="仿宋" w:hAnsi="仿宋" w:eastAsia="仿宋" w:cs="仿宋"/>
          <w:color w:val="auto"/>
          <w:sz w:val="32"/>
          <w:szCs w:val="32"/>
          <w:highlight w:val="none"/>
        </w:rPr>
        <w:t>万元，增长</w:t>
      </w:r>
      <w:r>
        <w:rPr>
          <w:rFonts w:hint="eastAsia" w:ascii="仿宋_GB2312" w:hAnsi="仿宋" w:eastAsia="仿宋_GB2312"/>
          <w:sz w:val="32"/>
          <w:szCs w:val="32"/>
          <w:lang w:val="en-US" w:eastAsia="zh-CN"/>
        </w:rPr>
        <w:t>18.69</w:t>
      </w:r>
      <w:r>
        <w:rPr>
          <w:rFonts w:hint="eastAsia" w:ascii="仿宋" w:hAnsi="仿宋" w:eastAsia="仿宋" w:cs="仿宋"/>
          <w:color w:val="auto"/>
          <w:sz w:val="32"/>
          <w:szCs w:val="32"/>
          <w:highlight w:val="none"/>
        </w:rPr>
        <w:t>%。</w:t>
      </w:r>
      <w:r>
        <w:rPr>
          <w:rFonts w:hint="eastAsia" w:ascii="仿宋_GB2312" w:hAnsi="仿宋" w:eastAsia="仿宋_GB2312"/>
          <w:sz w:val="32"/>
          <w:szCs w:val="32"/>
          <w:lang w:val="en-US" w:eastAsia="zh-CN"/>
        </w:rPr>
        <w:t>主要原因是公用经费及人员经费增加。</w:t>
      </w:r>
    </w:p>
    <w:p w14:paraId="695E35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423AB48C">
      <w:pPr>
        <w:pStyle w:val="3"/>
        <w:outlineLvl w:val="9"/>
        <w:rPr>
          <w:rFonts w:hint="eastAsia" w:ascii="仿宋_GB2312" w:hAnsi="仿宋" w:eastAsia="仿宋_GB2312"/>
          <w:sz w:val="32"/>
          <w:szCs w:val="32"/>
          <w:lang w:val="en-US" w:eastAsia="zh-CN"/>
        </w:rPr>
      </w:pPr>
      <w:r>
        <w:rPr>
          <w:rFonts w:hint="eastAsia" w:eastAsiaTheme="majorEastAsia"/>
          <w:lang w:eastAsia="zh-CN"/>
        </w:rPr>
        <w:drawing>
          <wp:inline distT="0" distB="0" distL="114300" distR="114300">
            <wp:extent cx="5256530" cy="2988310"/>
            <wp:effectExtent l="5080" t="4445" r="889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3E0953">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14:paraId="2D1D262D">
      <w:pPr>
        <w:spacing w:line="600" w:lineRule="exact"/>
        <w:ind w:firstLine="640" w:firstLineChars="200"/>
        <w:rPr>
          <w:rFonts w:ascii="仿宋" w:hAnsi="仿宋" w:eastAsia="仿宋"/>
          <w:color w:val="auto"/>
          <w:sz w:val="32"/>
          <w:szCs w:val="32"/>
          <w:highlight w:val="none"/>
        </w:rPr>
      </w:pPr>
    </w:p>
    <w:p w14:paraId="265898F1">
      <w:pPr>
        <w:spacing w:line="600" w:lineRule="exact"/>
        <w:ind w:firstLine="643" w:firstLineChars="200"/>
        <w:outlineLvl w:val="2"/>
        <w:rPr>
          <w:rFonts w:ascii="仿宋" w:hAnsi="仿宋" w:eastAsia="仿宋"/>
          <w:b/>
          <w:color w:val="auto"/>
          <w:sz w:val="32"/>
          <w:szCs w:val="32"/>
          <w:highlight w:val="none"/>
        </w:rPr>
      </w:pPr>
      <w:bookmarkStart w:id="50" w:name="_Toc15377211"/>
      <w:bookmarkStart w:id="51" w:name="_Toc3018"/>
      <w:r>
        <w:rPr>
          <w:rFonts w:hint="eastAsia" w:ascii="仿宋" w:hAnsi="仿宋" w:eastAsia="仿宋"/>
          <w:b/>
          <w:color w:val="auto"/>
          <w:sz w:val="32"/>
          <w:szCs w:val="32"/>
          <w:highlight w:val="none"/>
        </w:rPr>
        <w:t>（二）一般公共预算财政拨款支出决算结构情况</w:t>
      </w:r>
      <w:bookmarkEnd w:id="50"/>
      <w:bookmarkEnd w:id="51"/>
    </w:p>
    <w:p w14:paraId="362C26BD">
      <w:pPr>
        <w:spacing w:line="600" w:lineRule="exact"/>
        <w:ind w:firstLine="640"/>
        <w:rPr>
          <w:rFonts w:hint="eastAsia" w:ascii="仿宋" w:hAnsi="仿宋" w:eastAsia="仿宋"/>
          <w:b w:val="0"/>
          <w:bCs w:val="0"/>
          <w:color w:val="auto"/>
          <w:sz w:val="32"/>
          <w:szCs w:val="32"/>
          <w:highlight w:val="none"/>
        </w:rPr>
      </w:pP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23</w:t>
      </w:r>
      <w:r>
        <w:rPr>
          <w:rFonts w:hint="eastAsia" w:ascii="仿宋" w:hAnsi="仿宋" w:eastAsia="仿宋"/>
          <w:b w:val="0"/>
          <w:bCs w:val="0"/>
          <w:color w:val="auto"/>
          <w:sz w:val="32"/>
          <w:szCs w:val="32"/>
          <w:highlight w:val="none"/>
        </w:rPr>
        <w:t>年一般公共预算财政拨款支出</w:t>
      </w:r>
      <w:r>
        <w:rPr>
          <w:rFonts w:hint="eastAsia" w:ascii="仿宋_GB2312" w:hAnsi="仿宋" w:eastAsia="仿宋_GB2312"/>
          <w:b w:val="0"/>
          <w:bCs w:val="0"/>
          <w:sz w:val="32"/>
          <w:szCs w:val="32"/>
          <w:lang w:val="en-US" w:eastAsia="zh-CN"/>
        </w:rPr>
        <w:t>261.25</w:t>
      </w:r>
      <w:r>
        <w:rPr>
          <w:rFonts w:hint="eastAsia" w:ascii="仿宋" w:hAnsi="仿宋" w:eastAsia="仿宋"/>
          <w:b w:val="0"/>
          <w:bCs w:val="0"/>
          <w:color w:val="auto"/>
          <w:sz w:val="32"/>
          <w:szCs w:val="32"/>
          <w:highlight w:val="none"/>
        </w:rPr>
        <w:t>万元，主要用于以下方面</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教育支出</w:t>
      </w:r>
      <w:r>
        <w:rPr>
          <w:rFonts w:hint="eastAsia" w:ascii="仿宋" w:hAnsi="仿宋" w:eastAsia="仿宋"/>
          <w:b w:val="0"/>
          <w:bCs w:val="0"/>
          <w:color w:val="auto"/>
          <w:sz w:val="32"/>
          <w:szCs w:val="32"/>
          <w:highlight w:val="none"/>
          <w:lang w:val="en-US" w:eastAsia="zh-CN"/>
        </w:rPr>
        <w:t>242.03</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92.64</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；社会保障和就业支出</w:t>
      </w:r>
      <w:r>
        <w:rPr>
          <w:rFonts w:hint="eastAsia" w:ascii="仿宋" w:hAnsi="仿宋" w:eastAsia="仿宋"/>
          <w:b w:val="0"/>
          <w:bCs w:val="0"/>
          <w:color w:val="auto"/>
          <w:sz w:val="32"/>
          <w:szCs w:val="32"/>
          <w:highlight w:val="none"/>
          <w:lang w:val="en-US" w:eastAsia="zh-CN"/>
        </w:rPr>
        <w:t>7.55</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2.89</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；卫生健康支出</w:t>
      </w:r>
      <w:r>
        <w:rPr>
          <w:rFonts w:hint="eastAsia" w:ascii="仿宋" w:hAnsi="仿宋" w:eastAsia="仿宋"/>
          <w:b w:val="0"/>
          <w:bCs w:val="0"/>
          <w:color w:val="auto"/>
          <w:sz w:val="32"/>
          <w:szCs w:val="32"/>
          <w:highlight w:val="none"/>
          <w:lang w:val="en-US" w:eastAsia="zh-CN"/>
        </w:rPr>
        <w:t>3.94</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1.51</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；住房保障支出</w:t>
      </w:r>
      <w:r>
        <w:rPr>
          <w:rFonts w:hint="eastAsia" w:ascii="仿宋" w:hAnsi="仿宋" w:eastAsia="仿宋"/>
          <w:b w:val="0"/>
          <w:bCs w:val="0"/>
          <w:color w:val="auto"/>
          <w:sz w:val="32"/>
          <w:szCs w:val="32"/>
          <w:highlight w:val="none"/>
          <w:lang w:val="en-US" w:eastAsia="zh-CN"/>
        </w:rPr>
        <w:t>7.72</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2.96%</w:t>
      </w:r>
      <w:r>
        <w:rPr>
          <w:rFonts w:hint="eastAsia" w:ascii="仿宋" w:hAnsi="仿宋" w:eastAsia="仿宋"/>
          <w:b w:val="0"/>
          <w:bCs w:val="0"/>
          <w:color w:val="auto"/>
          <w:sz w:val="32"/>
          <w:szCs w:val="32"/>
          <w:highlight w:val="none"/>
        </w:rPr>
        <w:t>。</w:t>
      </w:r>
    </w:p>
    <w:p w14:paraId="71EF6E56">
      <w:pPr>
        <w:pStyle w:val="3"/>
        <w:outlineLvl w:val="9"/>
        <w:rPr>
          <w:rFonts w:hint="eastAsia" w:eastAsia="仿宋"/>
          <w:lang w:eastAsia="zh-CN"/>
        </w:rPr>
      </w:pPr>
      <w:bookmarkStart w:id="52" w:name="_Toc7040"/>
      <w:r>
        <w:rPr>
          <w:rFonts w:hint="eastAsia" w:eastAsia="仿宋"/>
          <w:lang w:eastAsia="zh-CN"/>
        </w:rPr>
        <w:drawing>
          <wp:inline distT="0" distB="0" distL="114300" distR="114300">
            <wp:extent cx="5256530" cy="2988310"/>
            <wp:effectExtent l="5080" t="4445" r="8890" b="1714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End w:id="52"/>
    </w:p>
    <w:p w14:paraId="529CEA83">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14:paraId="793D2AD4">
      <w:pPr>
        <w:spacing w:line="600" w:lineRule="exact"/>
        <w:ind w:firstLine="640" w:firstLineChars="200"/>
        <w:rPr>
          <w:rFonts w:ascii="仿宋" w:hAnsi="仿宋" w:eastAsia="仿宋"/>
          <w:color w:val="auto"/>
          <w:sz w:val="32"/>
          <w:szCs w:val="32"/>
          <w:highlight w:val="none"/>
        </w:rPr>
      </w:pPr>
    </w:p>
    <w:p w14:paraId="0EC6B915">
      <w:pPr>
        <w:spacing w:line="600" w:lineRule="exact"/>
        <w:ind w:firstLine="643" w:firstLineChars="200"/>
        <w:outlineLvl w:val="2"/>
        <w:rPr>
          <w:rFonts w:ascii="仿宋" w:hAnsi="仿宋" w:eastAsia="仿宋"/>
          <w:b/>
          <w:color w:val="auto"/>
          <w:sz w:val="32"/>
          <w:szCs w:val="32"/>
          <w:highlight w:val="none"/>
        </w:rPr>
      </w:pPr>
      <w:bookmarkStart w:id="53" w:name="_Toc15377212"/>
      <w:bookmarkStart w:id="54" w:name="_Toc28700"/>
      <w:r>
        <w:rPr>
          <w:rFonts w:hint="eastAsia" w:ascii="仿宋" w:hAnsi="仿宋" w:eastAsia="仿宋"/>
          <w:b/>
          <w:color w:val="auto"/>
          <w:sz w:val="32"/>
          <w:szCs w:val="32"/>
          <w:highlight w:val="none"/>
        </w:rPr>
        <w:t>（三）一般公共预算财政拨款支出决算具体情况</w:t>
      </w:r>
      <w:bookmarkEnd w:id="53"/>
      <w:bookmarkEnd w:id="54"/>
    </w:p>
    <w:p w14:paraId="65911DF2">
      <w:pPr>
        <w:spacing w:line="600" w:lineRule="exact"/>
        <w:ind w:firstLine="643" w:firstLineChars="200"/>
        <w:outlineLvl w:val="1"/>
        <w:rPr>
          <w:rFonts w:ascii="仿宋" w:hAnsi="仿宋" w:eastAsia="仿宋"/>
          <w:b w:val="0"/>
          <w:bCs/>
          <w:color w:val="auto"/>
          <w:sz w:val="32"/>
          <w:szCs w:val="32"/>
          <w:highlight w:val="none"/>
        </w:rPr>
      </w:pPr>
      <w:bookmarkStart w:id="55" w:name="_Toc15378460"/>
      <w:bookmarkStart w:id="56" w:name="_Toc15377444"/>
      <w:bookmarkStart w:id="57" w:name="_Toc4228"/>
      <w:bookmarkStart w:id="58" w:name="_Toc24669"/>
      <w:bookmarkStart w:id="59" w:name="_Toc15377213"/>
      <w:r>
        <w:rPr>
          <w:rFonts w:hint="eastAsia" w:ascii="仿宋" w:hAnsi="仿宋" w:eastAsia="仿宋" w:cs="仿宋"/>
          <w:b/>
          <w:bCs w:val="0"/>
          <w:color w:val="auto"/>
          <w:sz w:val="32"/>
          <w:szCs w:val="32"/>
          <w:highlight w:val="none"/>
        </w:rPr>
        <w:t>20</w:t>
      </w:r>
      <w:r>
        <w:rPr>
          <w:rFonts w:hint="eastAsia" w:ascii="仿宋" w:hAnsi="仿宋" w:eastAsia="仿宋" w:cs="仿宋"/>
          <w:b/>
          <w:bCs w:val="0"/>
          <w:color w:val="auto"/>
          <w:sz w:val="32"/>
          <w:szCs w:val="32"/>
          <w:highlight w:val="none"/>
          <w:lang w:val="en-US" w:eastAsia="zh-CN"/>
        </w:rPr>
        <w:t>23</w:t>
      </w:r>
      <w:r>
        <w:rPr>
          <w:rFonts w:hint="eastAsia" w:ascii="仿宋" w:hAnsi="仿宋" w:eastAsia="仿宋" w:cs="仿宋"/>
          <w:b/>
          <w:bCs w:val="0"/>
          <w:color w:val="auto"/>
          <w:sz w:val="32"/>
          <w:szCs w:val="32"/>
          <w:highlight w:val="none"/>
        </w:rPr>
        <w:t>年</w:t>
      </w:r>
      <w:r>
        <w:rPr>
          <w:rFonts w:hint="eastAsia" w:ascii="仿宋" w:hAnsi="仿宋" w:eastAsia="仿宋" w:cs="仿宋"/>
          <w:b/>
          <w:bCs w:val="0"/>
          <w:color w:val="auto"/>
          <w:sz w:val="32"/>
          <w:szCs w:val="32"/>
          <w:highlight w:val="none"/>
          <w:lang w:eastAsia="zh-CN"/>
        </w:rPr>
        <w:t>一</w:t>
      </w:r>
      <w:r>
        <w:rPr>
          <w:rFonts w:hint="eastAsia" w:ascii="仿宋" w:hAnsi="仿宋" w:eastAsia="仿宋" w:cs="仿宋"/>
          <w:b/>
          <w:bCs w:val="0"/>
          <w:color w:val="auto"/>
          <w:sz w:val="32"/>
          <w:szCs w:val="32"/>
          <w:highlight w:val="none"/>
        </w:rPr>
        <w:t>般公共预算支出决算数为</w:t>
      </w:r>
      <w:r>
        <w:rPr>
          <w:rFonts w:hint="eastAsia" w:ascii="仿宋" w:hAnsi="仿宋" w:eastAsia="仿宋" w:cs="仿宋"/>
          <w:b/>
          <w:bCs w:val="0"/>
          <w:sz w:val="32"/>
          <w:szCs w:val="32"/>
          <w:lang w:val="en-US" w:eastAsia="zh-CN"/>
        </w:rPr>
        <w:t>261.25万元</w:t>
      </w:r>
      <w:r>
        <w:rPr>
          <w:rFonts w:hint="eastAsia" w:ascii="仿宋" w:hAnsi="仿宋" w:eastAsia="仿宋" w:cs="仿宋"/>
          <w:b/>
          <w:bCs w:val="0"/>
          <w:color w:val="auto"/>
          <w:sz w:val="32"/>
          <w:szCs w:val="32"/>
          <w:highlight w:val="none"/>
        </w:rPr>
        <w:t>，</w:t>
      </w:r>
      <w:r>
        <w:rPr>
          <w:rStyle w:val="15"/>
          <w:rFonts w:hint="eastAsia" w:ascii="仿宋" w:hAnsi="仿宋" w:eastAsia="仿宋" w:cs="仿宋"/>
          <w:b/>
          <w:bCs w:val="0"/>
          <w:color w:val="auto"/>
          <w:sz w:val="32"/>
          <w:szCs w:val="32"/>
          <w:highlight w:val="none"/>
        </w:rPr>
        <w:t>完成预算</w:t>
      </w:r>
      <w:r>
        <w:rPr>
          <w:rStyle w:val="15"/>
          <w:rFonts w:hint="eastAsia" w:ascii="仿宋" w:hAnsi="仿宋" w:eastAsia="仿宋" w:cs="仿宋"/>
          <w:b/>
          <w:bCs w:val="0"/>
          <w:color w:val="auto"/>
          <w:sz w:val="32"/>
          <w:szCs w:val="32"/>
          <w:highlight w:val="none"/>
          <w:lang w:val="en-US" w:eastAsia="zh-CN"/>
        </w:rPr>
        <w:t>100</w:t>
      </w:r>
      <w:r>
        <w:rPr>
          <w:rStyle w:val="15"/>
          <w:rFonts w:hint="eastAsia" w:ascii="仿宋" w:hAnsi="仿宋" w:eastAsia="仿宋" w:cs="仿宋"/>
          <w:b/>
          <w:bCs w:val="0"/>
          <w:color w:val="auto"/>
          <w:sz w:val="32"/>
          <w:szCs w:val="32"/>
          <w:highlight w:val="none"/>
        </w:rPr>
        <w:t>%。其中：</w:t>
      </w:r>
      <w:bookmarkEnd w:id="55"/>
      <w:bookmarkEnd w:id="56"/>
      <w:bookmarkEnd w:id="57"/>
      <w:bookmarkEnd w:id="58"/>
      <w:bookmarkEnd w:id="59"/>
    </w:p>
    <w:p w14:paraId="65D29CCE">
      <w:pPr>
        <w:numPr>
          <w:ilvl w:val="0"/>
          <w:numId w:val="0"/>
        </w:numPr>
        <w:spacing w:line="600" w:lineRule="exact"/>
        <w:ind w:firstLine="643" w:firstLineChars="200"/>
        <w:rPr>
          <w:rStyle w:val="15"/>
          <w:rFonts w:hint="eastAsia" w:ascii="仿宋" w:hAnsi="仿宋" w:eastAsia="仿宋"/>
          <w:b w:val="0"/>
          <w:bCs/>
          <w:color w:val="000000" w:themeColor="text1"/>
          <w:sz w:val="32"/>
          <w:szCs w:val="32"/>
          <w14:textFill>
            <w14:solidFill>
              <w14:schemeClr w14:val="tx1"/>
            </w14:solidFill>
          </w14:textFill>
        </w:rPr>
      </w:pPr>
      <w:r>
        <w:rPr>
          <w:rStyle w:val="15"/>
          <w:rFonts w:hint="eastAsia" w:ascii="仿宋" w:hAnsi="仿宋" w:eastAsia="仿宋"/>
          <w:b/>
          <w:bCs w:val="0"/>
          <w:color w:val="000000" w:themeColor="text1"/>
          <w:sz w:val="32"/>
          <w:szCs w:val="32"/>
          <w:lang w:val="en-US" w:eastAsia="zh-CN"/>
          <w14:textFill>
            <w14:solidFill>
              <w14:schemeClr w14:val="tx1"/>
            </w14:solidFill>
          </w14:textFill>
        </w:rPr>
        <w:t>1.</w:t>
      </w:r>
      <w:r>
        <w:rPr>
          <w:rStyle w:val="15"/>
          <w:rFonts w:hint="eastAsia" w:ascii="仿宋" w:hAnsi="仿宋" w:eastAsia="仿宋"/>
          <w:b/>
          <w:bCs w:val="0"/>
          <w:color w:val="000000" w:themeColor="text1"/>
          <w:sz w:val="32"/>
          <w:szCs w:val="32"/>
          <w14:textFill>
            <w14:solidFill>
              <w14:schemeClr w14:val="tx1"/>
            </w14:solidFill>
          </w14:textFill>
        </w:rPr>
        <w:t>教育支出（205）普通教育（02）学前教育（01）</w:t>
      </w:r>
      <w:r>
        <w:rPr>
          <w:rStyle w:val="15"/>
          <w:rFonts w:ascii="仿宋" w:hAnsi="仿宋" w:eastAsia="仿宋"/>
          <w:b/>
          <w:bCs w:val="0"/>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支出决算为</w:t>
      </w:r>
      <w:r>
        <w:rPr>
          <w:rFonts w:hint="eastAsia" w:ascii="仿宋" w:hAnsi="仿宋" w:eastAsia="仿宋"/>
          <w:b w:val="0"/>
          <w:bCs/>
          <w:color w:val="auto"/>
          <w:sz w:val="32"/>
          <w:szCs w:val="32"/>
          <w:highlight w:val="none"/>
          <w:lang w:val="en-US" w:eastAsia="zh-CN"/>
        </w:rPr>
        <w:t>238.72</w:t>
      </w:r>
      <w:r>
        <w:rPr>
          <w:rStyle w:val="15"/>
          <w:rFonts w:hint="eastAsia" w:ascii="仿宋" w:hAnsi="仿宋" w:eastAsia="仿宋"/>
          <w:b w:val="0"/>
          <w:bCs/>
          <w:color w:val="000000" w:themeColor="text1"/>
          <w:sz w:val="32"/>
          <w:szCs w:val="32"/>
          <w14:textFill>
            <w14:solidFill>
              <w14:schemeClr w14:val="tx1"/>
            </w14:solidFill>
          </w14:textFill>
        </w:rPr>
        <w:t>万元，完成预算100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w:t>
      </w:r>
    </w:p>
    <w:p w14:paraId="45B47160">
      <w:pPr>
        <w:spacing w:line="600" w:lineRule="exact"/>
        <w:ind w:firstLine="643" w:firstLineChars="200"/>
        <w:rPr>
          <w:rStyle w:val="15"/>
          <w:rFonts w:hint="eastAsia" w:ascii="仿宋" w:hAnsi="仿宋" w:eastAsia="仿宋"/>
          <w:b w:val="0"/>
          <w:bCs/>
          <w:color w:val="000000" w:themeColor="text1"/>
          <w:sz w:val="32"/>
          <w:szCs w:val="32"/>
          <w14:textFill>
            <w14:solidFill>
              <w14:schemeClr w14:val="tx1"/>
            </w14:solidFill>
          </w14:textFill>
        </w:rPr>
      </w:pPr>
      <w:r>
        <w:rPr>
          <w:rStyle w:val="15"/>
          <w:rFonts w:hint="eastAsia" w:ascii="仿宋" w:hAnsi="仿宋" w:eastAsia="仿宋"/>
          <w:bCs/>
          <w:color w:val="auto"/>
          <w:sz w:val="32"/>
          <w:szCs w:val="32"/>
          <w:lang w:val="en-US" w:eastAsia="zh-CN"/>
        </w:rPr>
        <w:t>2</w:t>
      </w:r>
      <w:r>
        <w:rPr>
          <w:rStyle w:val="15"/>
          <w:rFonts w:ascii="仿宋" w:hAnsi="仿宋" w:eastAsia="仿宋"/>
          <w:bCs/>
          <w:color w:val="auto"/>
          <w:sz w:val="32"/>
          <w:szCs w:val="32"/>
        </w:rPr>
        <w:t>.</w:t>
      </w:r>
      <w:r>
        <w:rPr>
          <w:rStyle w:val="15"/>
          <w:rFonts w:hint="eastAsia" w:ascii="仿宋" w:hAnsi="仿宋" w:eastAsia="仿宋"/>
          <w:bCs/>
          <w:color w:val="auto"/>
          <w:sz w:val="32"/>
          <w:szCs w:val="32"/>
        </w:rPr>
        <w:t>教育（205）普通教育（02）其他普通教育支出（</w:t>
      </w:r>
      <w:r>
        <w:rPr>
          <w:rStyle w:val="15"/>
          <w:rFonts w:hint="eastAsia" w:ascii="仿宋" w:hAnsi="仿宋" w:eastAsia="仿宋"/>
          <w:bCs/>
          <w:color w:val="auto"/>
          <w:sz w:val="32"/>
          <w:szCs w:val="32"/>
          <w:lang w:val="en-US" w:eastAsia="zh-CN"/>
        </w:rPr>
        <w:t>99</w:t>
      </w:r>
      <w:r>
        <w:rPr>
          <w:rStyle w:val="15"/>
          <w:rFonts w:hint="eastAsia" w:ascii="仿宋" w:hAnsi="仿宋" w:eastAsia="仿宋"/>
          <w:bCs/>
          <w:color w:val="auto"/>
          <w:sz w:val="32"/>
          <w:szCs w:val="32"/>
        </w:rPr>
        <w:t>）</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3.31</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735798E4">
      <w:pPr>
        <w:spacing w:line="600" w:lineRule="exact"/>
        <w:ind w:firstLine="643" w:firstLineChars="200"/>
        <w:rPr>
          <w:rFonts w:ascii="仿宋" w:hAnsi="仿宋" w:eastAsia="仿宋"/>
          <w:b w:val="0"/>
          <w:bCs/>
          <w:color w:val="000000" w:themeColor="text1"/>
          <w:sz w:val="32"/>
          <w:szCs w:val="32"/>
          <w14:textFill>
            <w14:solidFill>
              <w14:schemeClr w14:val="tx1"/>
            </w14:solidFill>
          </w14:textFill>
        </w:rPr>
      </w:pPr>
      <w:r>
        <w:rPr>
          <w:rStyle w:val="15"/>
          <w:rFonts w:hint="eastAsia" w:ascii="仿宋" w:hAnsi="仿宋" w:eastAsia="仿宋"/>
          <w:b/>
          <w:bCs w:val="0"/>
          <w:color w:val="000000" w:themeColor="text1"/>
          <w:sz w:val="32"/>
          <w:szCs w:val="32"/>
          <w:lang w:val="en-US" w:eastAsia="zh-CN"/>
          <w14:textFill>
            <w14:solidFill>
              <w14:schemeClr w14:val="tx1"/>
            </w14:solidFill>
          </w14:textFill>
        </w:rPr>
        <w:t>3</w:t>
      </w:r>
      <w:r>
        <w:rPr>
          <w:rStyle w:val="15"/>
          <w:rFonts w:hint="eastAsia" w:ascii="仿宋" w:hAnsi="仿宋" w:eastAsia="仿宋"/>
          <w:b/>
          <w:bCs w:val="0"/>
          <w:color w:val="000000" w:themeColor="text1"/>
          <w:sz w:val="32"/>
          <w:szCs w:val="32"/>
          <w14:textFill>
            <w14:solidFill>
              <w14:schemeClr w14:val="tx1"/>
            </w14:solidFill>
          </w14:textFill>
        </w:rPr>
        <w:t>.社会保障和就业支出（208）行政事业单位养老支出（05）机关事业单位基本养老保险缴费支出（05）</w:t>
      </w:r>
      <w:r>
        <w:rPr>
          <w:rStyle w:val="15"/>
          <w:rFonts w:ascii="仿宋" w:hAnsi="仿宋" w:eastAsia="仿宋"/>
          <w:b/>
          <w:bCs w:val="0"/>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支出决算为</w:t>
      </w:r>
      <w:r>
        <w:rPr>
          <w:rFonts w:hint="eastAsia" w:ascii="仿宋" w:hAnsi="仿宋" w:eastAsia="仿宋"/>
          <w:b w:val="0"/>
          <w:bCs w:val="0"/>
          <w:color w:val="auto"/>
          <w:sz w:val="32"/>
          <w:szCs w:val="32"/>
          <w:highlight w:val="none"/>
          <w:lang w:val="en-US" w:eastAsia="zh-CN"/>
        </w:rPr>
        <w:t>7.55</w:t>
      </w:r>
      <w:r>
        <w:rPr>
          <w:rStyle w:val="15"/>
          <w:rFonts w:hint="eastAsia" w:ascii="仿宋" w:hAnsi="仿宋" w:eastAsia="仿宋"/>
          <w:b w:val="0"/>
          <w:bCs/>
          <w:color w:val="000000" w:themeColor="text1"/>
          <w:sz w:val="32"/>
          <w:szCs w:val="32"/>
          <w14:textFill>
            <w14:solidFill>
              <w14:schemeClr w14:val="tx1"/>
            </w14:solidFill>
          </w14:textFill>
        </w:rPr>
        <w:t>万元，完成预算100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w:t>
      </w:r>
    </w:p>
    <w:p w14:paraId="1C3128DF">
      <w:pPr>
        <w:spacing w:line="600" w:lineRule="exact"/>
        <w:ind w:firstLine="643" w:firstLineChars="200"/>
        <w:rPr>
          <w:rStyle w:val="15"/>
          <w:rFonts w:ascii="仿宋" w:hAnsi="仿宋" w:eastAsia="仿宋"/>
          <w:b w:val="0"/>
          <w:bCs/>
          <w:color w:val="000000" w:themeColor="text1"/>
          <w:sz w:val="32"/>
          <w:szCs w:val="32"/>
          <w14:textFill>
            <w14:solidFill>
              <w14:schemeClr w14:val="tx1"/>
            </w14:solidFill>
          </w14:textFill>
        </w:rPr>
      </w:pPr>
      <w:r>
        <w:rPr>
          <w:rStyle w:val="15"/>
          <w:rFonts w:hint="eastAsia" w:ascii="仿宋" w:hAnsi="仿宋" w:eastAsia="仿宋"/>
          <w:b/>
          <w:bCs w:val="0"/>
          <w:color w:val="000000" w:themeColor="text1"/>
          <w:sz w:val="32"/>
          <w:szCs w:val="32"/>
          <w:lang w:val="en-US" w:eastAsia="zh-CN"/>
          <w14:textFill>
            <w14:solidFill>
              <w14:schemeClr w14:val="tx1"/>
            </w14:solidFill>
          </w14:textFill>
        </w:rPr>
        <w:t>4</w:t>
      </w:r>
      <w:r>
        <w:rPr>
          <w:rStyle w:val="15"/>
          <w:rFonts w:hint="eastAsia" w:ascii="仿宋" w:hAnsi="仿宋" w:eastAsia="仿宋"/>
          <w:b/>
          <w:bCs w:val="0"/>
          <w:color w:val="000000" w:themeColor="text1"/>
          <w:sz w:val="32"/>
          <w:szCs w:val="32"/>
          <w14:textFill>
            <w14:solidFill>
              <w14:schemeClr w14:val="tx1"/>
            </w14:solidFill>
          </w14:textFill>
        </w:rPr>
        <w:t>.</w:t>
      </w:r>
      <w:r>
        <w:rPr>
          <w:rFonts w:hint="eastAsia" w:ascii="仿宋" w:hAnsi="仿宋" w:eastAsia="仿宋"/>
          <w:b/>
          <w:bCs w:val="0"/>
          <w:color w:val="000000" w:themeColor="text1"/>
          <w:sz w:val="32"/>
          <w:szCs w:val="32"/>
          <w14:textFill>
            <w14:solidFill>
              <w14:schemeClr w14:val="tx1"/>
            </w14:solidFill>
          </w14:textFill>
        </w:rPr>
        <w:t>卫生健康</w:t>
      </w:r>
      <w:r>
        <w:rPr>
          <w:rStyle w:val="15"/>
          <w:rFonts w:hint="eastAsia" w:ascii="仿宋" w:hAnsi="仿宋" w:eastAsia="仿宋"/>
          <w:b/>
          <w:bCs w:val="0"/>
          <w:color w:val="000000" w:themeColor="text1"/>
          <w:sz w:val="32"/>
          <w:szCs w:val="32"/>
          <w14:textFill>
            <w14:solidFill>
              <w14:schemeClr w14:val="tx1"/>
            </w14:solidFill>
          </w14:textFill>
        </w:rPr>
        <w:t>支出</w:t>
      </w:r>
      <w:r>
        <w:rPr>
          <w:rFonts w:hint="eastAsia" w:ascii="仿宋" w:hAnsi="仿宋" w:eastAsia="仿宋"/>
          <w:b/>
          <w:bCs w:val="0"/>
          <w:color w:val="000000" w:themeColor="text1"/>
          <w:sz w:val="32"/>
          <w:szCs w:val="32"/>
          <w14:textFill>
            <w14:solidFill>
              <w14:schemeClr w14:val="tx1"/>
            </w14:solidFill>
          </w14:textFill>
        </w:rPr>
        <w:t>（210）</w:t>
      </w:r>
      <w:r>
        <w:rPr>
          <w:rStyle w:val="15"/>
          <w:rFonts w:hint="eastAsia" w:ascii="仿宋" w:hAnsi="仿宋" w:eastAsia="仿宋"/>
          <w:b/>
          <w:bCs w:val="0"/>
          <w:color w:val="000000" w:themeColor="text1"/>
          <w:sz w:val="32"/>
          <w:szCs w:val="32"/>
          <w14:textFill>
            <w14:solidFill>
              <w14:schemeClr w14:val="tx1"/>
            </w14:solidFill>
          </w14:textFill>
        </w:rPr>
        <w:t>行政事业单位医疗</w:t>
      </w:r>
      <w:r>
        <w:rPr>
          <w:rFonts w:hint="eastAsia" w:ascii="仿宋" w:hAnsi="仿宋" w:eastAsia="仿宋"/>
          <w:b/>
          <w:bCs w:val="0"/>
          <w:color w:val="000000" w:themeColor="text1"/>
          <w:sz w:val="32"/>
          <w:szCs w:val="32"/>
          <w14:textFill>
            <w14:solidFill>
              <w14:schemeClr w14:val="tx1"/>
            </w14:solidFill>
          </w14:textFill>
        </w:rPr>
        <w:t>（11）事业单位医疗（02）</w:t>
      </w:r>
      <w:r>
        <w:rPr>
          <w:rStyle w:val="15"/>
          <w:rFonts w:ascii="仿宋" w:hAnsi="仿宋" w:eastAsia="仿宋"/>
          <w:b/>
          <w:bCs w:val="0"/>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支出决算为</w:t>
      </w:r>
      <w:r>
        <w:rPr>
          <w:rFonts w:hint="eastAsia" w:ascii="仿宋" w:hAnsi="仿宋" w:eastAsia="仿宋"/>
          <w:b w:val="0"/>
          <w:bCs w:val="0"/>
          <w:color w:val="auto"/>
          <w:sz w:val="32"/>
          <w:szCs w:val="32"/>
          <w:highlight w:val="none"/>
          <w:lang w:val="en-US" w:eastAsia="zh-CN"/>
        </w:rPr>
        <w:t>3.94</w:t>
      </w:r>
      <w:r>
        <w:rPr>
          <w:rStyle w:val="15"/>
          <w:rFonts w:hint="eastAsia" w:ascii="仿宋" w:hAnsi="仿宋" w:eastAsia="仿宋"/>
          <w:b w:val="0"/>
          <w:bCs/>
          <w:color w:val="000000" w:themeColor="text1"/>
          <w:sz w:val="32"/>
          <w:szCs w:val="32"/>
          <w14:textFill>
            <w14:solidFill>
              <w14:schemeClr w14:val="tx1"/>
            </w14:solidFill>
          </w14:textFill>
        </w:rPr>
        <w:t>万元，完成预算100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w:t>
      </w:r>
    </w:p>
    <w:p w14:paraId="06DDA42D">
      <w:pPr>
        <w:pStyle w:val="6"/>
        <w:keepNext w:val="0"/>
        <w:keepLines w:val="0"/>
        <w:pageBreakBefore w:val="0"/>
        <w:widowControl w:val="0"/>
        <w:kinsoku/>
        <w:wordWrap/>
        <w:overflowPunct/>
        <w:topLinePunct w:val="0"/>
        <w:autoSpaceDE/>
        <w:autoSpaceDN/>
        <w:bidi w:val="0"/>
        <w:adjustRightInd/>
        <w:snapToGrid/>
        <w:spacing w:before="130" w:line="600" w:lineRule="exact"/>
        <w:ind w:firstLine="643" w:firstLineChars="200"/>
        <w:textAlignment w:val="auto"/>
        <w:rPr>
          <w:rFonts w:ascii="仿宋" w:hAnsi="仿宋" w:eastAsia="仿宋"/>
          <w:b w:val="0"/>
          <w:bCs/>
          <w:color w:val="auto"/>
          <w:sz w:val="32"/>
          <w:szCs w:val="32"/>
          <w:highlight w:val="none"/>
        </w:rPr>
      </w:pPr>
      <w:r>
        <w:rPr>
          <w:rFonts w:hint="eastAsia" w:ascii="仿宋" w:hAnsi="仿宋" w:eastAsia="仿宋"/>
          <w:b/>
          <w:bCs w:val="0"/>
          <w:color w:val="000000" w:themeColor="text1"/>
          <w:kern w:val="2"/>
          <w:sz w:val="32"/>
          <w:szCs w:val="32"/>
          <w:lang w:val="en-US" w:eastAsia="zh-CN"/>
          <w14:textFill>
            <w14:solidFill>
              <w14:schemeClr w14:val="tx1"/>
            </w14:solidFill>
          </w14:textFill>
        </w:rPr>
        <w:t>5</w:t>
      </w:r>
      <w:r>
        <w:rPr>
          <w:rFonts w:hint="eastAsia" w:ascii="仿宋" w:hAnsi="仿宋" w:eastAsia="仿宋"/>
          <w:b/>
          <w:bCs w:val="0"/>
          <w:color w:val="000000" w:themeColor="text1"/>
          <w:kern w:val="2"/>
          <w:sz w:val="32"/>
          <w:szCs w:val="32"/>
          <w14:textFill>
            <w14:solidFill>
              <w14:schemeClr w14:val="tx1"/>
            </w14:solidFill>
          </w14:textFill>
        </w:rPr>
        <w:t>.住房保障支出（221）住房改革支出</w:t>
      </w:r>
      <w:r>
        <w:rPr>
          <w:rFonts w:hint="eastAsia" w:ascii="仿宋" w:hAnsi="仿宋" w:eastAsia="仿宋"/>
          <w:b/>
          <w:bCs w:val="0"/>
          <w:color w:val="000000" w:themeColor="text1"/>
          <w:sz w:val="32"/>
          <w:szCs w:val="32"/>
          <w14:textFill>
            <w14:solidFill>
              <w14:schemeClr w14:val="tx1"/>
            </w14:solidFill>
          </w14:textFill>
        </w:rPr>
        <w:t>（02）</w:t>
      </w:r>
      <w:r>
        <w:rPr>
          <w:rFonts w:hint="eastAsia" w:ascii="仿宋" w:hAnsi="仿宋" w:eastAsia="仿宋"/>
          <w:b/>
          <w:bCs w:val="0"/>
          <w:color w:val="000000" w:themeColor="text1"/>
          <w:kern w:val="2"/>
          <w:sz w:val="32"/>
          <w:szCs w:val="32"/>
          <w14:textFill>
            <w14:solidFill>
              <w14:schemeClr w14:val="tx1"/>
            </w14:solidFill>
          </w14:textFill>
        </w:rPr>
        <w:t>住房公积金</w:t>
      </w:r>
      <w:r>
        <w:rPr>
          <w:rFonts w:hint="eastAsia" w:ascii="仿宋" w:hAnsi="仿宋" w:eastAsia="仿宋"/>
          <w:b/>
          <w:bCs w:val="0"/>
          <w:color w:val="000000" w:themeColor="text1"/>
          <w:sz w:val="32"/>
          <w:szCs w:val="32"/>
          <w14:textFill>
            <w14:solidFill>
              <w14:schemeClr w14:val="tx1"/>
            </w14:solidFill>
          </w14:textFill>
        </w:rPr>
        <w:t>（01）</w:t>
      </w:r>
      <w:r>
        <w:rPr>
          <w:rFonts w:hint="eastAsia" w:ascii="仿宋" w:hAnsi="仿宋" w:eastAsia="仿宋"/>
          <w:b/>
          <w:bCs w:val="0"/>
          <w:color w:val="000000" w:themeColor="text1"/>
          <w:kern w:val="2"/>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支出决算为</w:t>
      </w:r>
      <w:r>
        <w:rPr>
          <w:rFonts w:hint="eastAsia" w:ascii="仿宋" w:hAnsi="仿宋" w:eastAsia="仿宋"/>
          <w:b w:val="0"/>
          <w:bCs/>
          <w:color w:val="auto"/>
          <w:sz w:val="32"/>
          <w:szCs w:val="32"/>
          <w:highlight w:val="none"/>
          <w:lang w:val="en-US" w:eastAsia="zh-CN"/>
        </w:rPr>
        <w:t>7.72</w:t>
      </w:r>
      <w:r>
        <w:rPr>
          <w:rStyle w:val="15"/>
          <w:rFonts w:hint="eastAsia" w:ascii="仿宋" w:hAnsi="仿宋" w:eastAsia="仿宋"/>
          <w:b w:val="0"/>
          <w:bCs/>
          <w:color w:val="000000" w:themeColor="text1"/>
          <w:sz w:val="32"/>
          <w:szCs w:val="32"/>
          <w14:textFill>
            <w14:solidFill>
              <w14:schemeClr w14:val="tx1"/>
            </w14:solidFill>
          </w14:textFill>
        </w:rPr>
        <w:t>万元，完成预算100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w:t>
      </w:r>
    </w:p>
    <w:p w14:paraId="33B37F11">
      <w:pPr>
        <w:tabs>
          <w:tab w:val="right" w:pos="8306"/>
        </w:tabs>
        <w:spacing w:line="600" w:lineRule="exact"/>
        <w:ind w:firstLine="640"/>
        <w:outlineLvl w:val="1"/>
        <w:rPr>
          <w:rStyle w:val="26"/>
          <w:b w:val="0"/>
          <w:bCs/>
          <w:color w:val="auto"/>
          <w:highlight w:val="none"/>
        </w:rPr>
      </w:pPr>
      <w:bookmarkStart w:id="60" w:name="_Toc15377214"/>
      <w:bookmarkStart w:id="61" w:name="_Toc21773"/>
      <w:bookmarkStart w:id="62" w:name="_Toc15396608"/>
      <w:r>
        <w:rPr>
          <w:rStyle w:val="26"/>
          <w:rFonts w:hint="eastAsia"/>
          <w:b/>
          <w:bCs w:val="0"/>
        </w:rPr>
        <w:t>六、一般公共预算财政拨款基本支出决算情况说明</w:t>
      </w:r>
      <w:bookmarkEnd w:id="60"/>
      <w:bookmarkEnd w:id="61"/>
      <w:bookmarkEnd w:id="62"/>
      <w:r>
        <w:rPr>
          <w:rStyle w:val="26"/>
          <w:rFonts w:ascii="黑体" w:hAnsi="黑体" w:eastAsia="黑体"/>
          <w:b w:val="0"/>
          <w:bCs/>
          <w:color w:val="auto"/>
          <w:highlight w:val="none"/>
        </w:rPr>
        <w:tab/>
      </w:r>
    </w:p>
    <w:p w14:paraId="6B941297">
      <w:pPr>
        <w:spacing w:line="600" w:lineRule="exact"/>
        <w:ind w:firstLine="645"/>
        <w:rPr>
          <w:rFonts w:ascii="仿宋" w:hAnsi="仿宋" w:eastAsia="仿宋"/>
          <w:b w:val="0"/>
          <w:bCs/>
          <w:color w:val="auto"/>
          <w:sz w:val="32"/>
          <w:szCs w:val="32"/>
          <w:highlight w:val="none"/>
        </w:rPr>
      </w:pPr>
      <w:r>
        <w:rPr>
          <w:rFonts w:ascii="仿宋" w:hAnsi="仿宋" w:eastAsia="仿宋"/>
          <w:b w:val="0"/>
          <w:bCs/>
          <w:color w:val="auto"/>
          <w:sz w:val="32"/>
          <w:szCs w:val="32"/>
          <w:highlight w:val="none"/>
        </w:rPr>
        <w:t>20</w:t>
      </w:r>
      <w:r>
        <w:rPr>
          <w:rFonts w:hint="eastAsia" w:ascii="仿宋" w:hAnsi="仿宋" w:eastAsia="仿宋"/>
          <w:b w:val="0"/>
          <w:bCs/>
          <w:color w:val="auto"/>
          <w:sz w:val="32"/>
          <w:szCs w:val="32"/>
          <w:highlight w:val="none"/>
          <w:lang w:val="en-US" w:eastAsia="zh-CN"/>
        </w:rPr>
        <w:t>22</w:t>
      </w:r>
      <w:r>
        <w:rPr>
          <w:rFonts w:hint="eastAsia" w:ascii="仿宋" w:hAnsi="仿宋" w:eastAsia="仿宋"/>
          <w:b w:val="0"/>
          <w:bCs/>
          <w:color w:val="auto"/>
          <w:sz w:val="32"/>
          <w:szCs w:val="32"/>
          <w:highlight w:val="none"/>
        </w:rPr>
        <w:t>年一般公共预算财政拨款基本支出</w:t>
      </w:r>
      <w:r>
        <w:rPr>
          <w:rFonts w:hint="eastAsia" w:ascii="仿宋" w:hAnsi="仿宋" w:eastAsia="仿宋" w:cs="仿宋"/>
          <w:b w:val="0"/>
          <w:bCs/>
          <w:color w:val="000000"/>
          <w:sz w:val="32"/>
          <w:szCs w:val="32"/>
          <w:lang w:val="en-US" w:eastAsia="zh-CN"/>
        </w:rPr>
        <w:t>257.94</w:t>
      </w:r>
      <w:r>
        <w:rPr>
          <w:rFonts w:hint="eastAsia" w:ascii="仿宋" w:hAnsi="仿宋" w:eastAsia="仿宋"/>
          <w:b w:val="0"/>
          <w:bCs/>
          <w:color w:val="auto"/>
          <w:sz w:val="32"/>
          <w:szCs w:val="32"/>
          <w:highlight w:val="none"/>
        </w:rPr>
        <w:t>万元，其中：</w:t>
      </w:r>
    </w:p>
    <w:p w14:paraId="08E7F908">
      <w:pPr>
        <w:spacing w:line="600" w:lineRule="exact"/>
        <w:ind w:firstLine="645"/>
        <w:rPr>
          <w:rFonts w:hint="default" w:ascii="仿宋" w:hAnsi="仿宋" w:eastAsia="仿宋"/>
          <w:b w:val="0"/>
          <w:bCs/>
          <w:color w:val="auto"/>
          <w:sz w:val="32"/>
          <w:szCs w:val="32"/>
          <w:highlight w:val="none"/>
          <w:lang w:val="en-US" w:eastAsia="zh-CN"/>
        </w:rPr>
      </w:pPr>
      <w:r>
        <w:rPr>
          <w:rFonts w:hint="eastAsia" w:ascii="仿宋" w:hAnsi="仿宋" w:eastAsia="仿宋"/>
          <w:b w:val="0"/>
          <w:bCs/>
          <w:color w:val="auto"/>
          <w:sz w:val="32"/>
          <w:szCs w:val="32"/>
          <w:highlight w:val="none"/>
        </w:rPr>
        <w:t>人员经费</w:t>
      </w:r>
      <w:r>
        <w:rPr>
          <w:rFonts w:hint="eastAsia" w:ascii="仿宋" w:hAnsi="仿宋" w:eastAsia="仿宋"/>
          <w:b w:val="0"/>
          <w:bCs/>
          <w:color w:val="auto"/>
          <w:sz w:val="32"/>
          <w:szCs w:val="32"/>
          <w:highlight w:val="none"/>
          <w:lang w:val="en-US" w:eastAsia="zh-CN"/>
        </w:rPr>
        <w:t>105.05</w:t>
      </w:r>
      <w:r>
        <w:rPr>
          <w:rFonts w:hint="eastAsia" w:ascii="仿宋" w:hAnsi="仿宋" w:eastAsia="仿宋"/>
          <w:b w:val="0"/>
          <w:bCs/>
          <w:color w:val="auto"/>
          <w:sz w:val="32"/>
          <w:szCs w:val="32"/>
          <w:highlight w:val="none"/>
        </w:rPr>
        <w:t>万元，主要包括：基本工资29.75</w:t>
      </w:r>
      <w:r>
        <w:rPr>
          <w:rFonts w:hint="eastAsia" w:ascii="仿宋" w:hAnsi="仿宋" w:eastAsia="仿宋"/>
          <w:b w:val="0"/>
          <w:bCs/>
          <w:color w:val="auto"/>
          <w:sz w:val="32"/>
          <w:szCs w:val="32"/>
          <w:highlight w:val="none"/>
          <w:lang w:val="en-US" w:eastAsia="zh-CN"/>
        </w:rPr>
        <w:t>万元</w:t>
      </w:r>
      <w:r>
        <w:rPr>
          <w:rFonts w:hint="eastAsia" w:ascii="仿宋" w:hAnsi="仿宋" w:eastAsia="仿宋"/>
          <w:b w:val="0"/>
          <w:bCs/>
          <w:color w:val="auto"/>
          <w:sz w:val="32"/>
          <w:szCs w:val="32"/>
          <w:highlight w:val="none"/>
        </w:rPr>
        <w:t>、津贴补贴0.85</w:t>
      </w:r>
      <w:r>
        <w:rPr>
          <w:rFonts w:hint="eastAsia" w:ascii="仿宋" w:hAnsi="仿宋" w:eastAsia="仿宋"/>
          <w:b w:val="0"/>
          <w:bCs/>
          <w:color w:val="auto"/>
          <w:sz w:val="32"/>
          <w:szCs w:val="32"/>
          <w:highlight w:val="none"/>
          <w:lang w:val="en-US" w:eastAsia="zh-CN"/>
        </w:rPr>
        <w:t>万元</w:t>
      </w:r>
      <w:r>
        <w:rPr>
          <w:rFonts w:hint="eastAsia" w:ascii="仿宋" w:hAnsi="仿宋" w:eastAsia="仿宋"/>
          <w:b w:val="0"/>
          <w:bCs/>
          <w:color w:val="auto"/>
          <w:sz w:val="32"/>
          <w:szCs w:val="32"/>
          <w:highlight w:val="none"/>
        </w:rPr>
        <w:t>、绩效工资55.25</w:t>
      </w:r>
      <w:r>
        <w:rPr>
          <w:rFonts w:hint="eastAsia" w:ascii="仿宋" w:hAnsi="仿宋" w:eastAsia="仿宋"/>
          <w:b w:val="0"/>
          <w:bCs/>
          <w:color w:val="auto"/>
          <w:sz w:val="32"/>
          <w:szCs w:val="32"/>
          <w:highlight w:val="none"/>
          <w:lang w:val="en-US" w:eastAsia="zh-CN"/>
        </w:rPr>
        <w:t>万元</w:t>
      </w:r>
      <w:r>
        <w:rPr>
          <w:rFonts w:hint="eastAsia" w:ascii="仿宋" w:hAnsi="仿宋" w:eastAsia="仿宋"/>
          <w:b w:val="0"/>
          <w:bCs/>
          <w:color w:val="auto"/>
          <w:sz w:val="32"/>
          <w:szCs w:val="32"/>
          <w:highlight w:val="none"/>
        </w:rPr>
        <w:t>、机关事业单位基本养老保险缴费7.31</w:t>
      </w:r>
      <w:r>
        <w:rPr>
          <w:rFonts w:hint="eastAsia" w:ascii="仿宋" w:hAnsi="仿宋" w:eastAsia="仿宋"/>
          <w:b w:val="0"/>
          <w:bCs/>
          <w:color w:val="auto"/>
          <w:sz w:val="32"/>
          <w:szCs w:val="32"/>
          <w:highlight w:val="none"/>
          <w:lang w:val="en-US" w:eastAsia="zh-CN"/>
        </w:rPr>
        <w:t>万元</w:t>
      </w:r>
      <w:r>
        <w:rPr>
          <w:rFonts w:hint="eastAsia" w:ascii="仿宋" w:hAnsi="仿宋" w:eastAsia="仿宋"/>
          <w:b w:val="0"/>
          <w:bCs/>
          <w:color w:val="auto"/>
          <w:sz w:val="32"/>
          <w:szCs w:val="32"/>
          <w:highlight w:val="none"/>
        </w:rPr>
        <w:t>、职工基本医疗保险缴费3.94</w:t>
      </w:r>
      <w:r>
        <w:rPr>
          <w:rFonts w:hint="eastAsia" w:ascii="仿宋" w:hAnsi="仿宋" w:eastAsia="仿宋"/>
          <w:b w:val="0"/>
          <w:bCs/>
          <w:color w:val="auto"/>
          <w:sz w:val="32"/>
          <w:szCs w:val="32"/>
          <w:highlight w:val="none"/>
          <w:lang w:val="en-US" w:eastAsia="zh-CN"/>
        </w:rPr>
        <w:t>万元</w:t>
      </w:r>
      <w:r>
        <w:rPr>
          <w:rFonts w:hint="eastAsia" w:ascii="仿宋" w:hAnsi="仿宋" w:eastAsia="仿宋"/>
          <w:b w:val="0"/>
          <w:bCs/>
          <w:color w:val="auto"/>
          <w:sz w:val="32"/>
          <w:szCs w:val="32"/>
          <w:highlight w:val="none"/>
        </w:rPr>
        <w:t>、其他社会保障缴费0.24</w:t>
      </w:r>
      <w:r>
        <w:rPr>
          <w:rFonts w:hint="eastAsia" w:ascii="仿宋" w:hAnsi="仿宋" w:eastAsia="仿宋"/>
          <w:b w:val="0"/>
          <w:bCs/>
          <w:color w:val="auto"/>
          <w:sz w:val="32"/>
          <w:szCs w:val="32"/>
          <w:highlight w:val="none"/>
          <w:lang w:val="en-US" w:eastAsia="zh-CN"/>
        </w:rPr>
        <w:t>万元、</w:t>
      </w:r>
      <w:r>
        <w:rPr>
          <w:rFonts w:hint="eastAsia" w:ascii="仿宋" w:hAnsi="仿宋" w:eastAsia="仿宋"/>
          <w:b w:val="0"/>
          <w:bCs/>
          <w:color w:val="auto"/>
          <w:sz w:val="32"/>
          <w:szCs w:val="32"/>
          <w:highlight w:val="none"/>
        </w:rPr>
        <w:t>住房公积金</w:t>
      </w:r>
      <w:r>
        <w:rPr>
          <w:rFonts w:hint="eastAsia" w:ascii="仿宋" w:hAnsi="仿宋" w:eastAsia="仿宋"/>
          <w:b w:val="0"/>
          <w:bCs/>
          <w:color w:val="auto"/>
          <w:sz w:val="32"/>
          <w:szCs w:val="32"/>
          <w:highlight w:val="none"/>
          <w:lang w:val="en-US" w:eastAsia="zh-CN"/>
        </w:rPr>
        <w:t>7.72万元。</w:t>
      </w:r>
    </w:p>
    <w:p w14:paraId="1333D853">
      <w:pPr>
        <w:spacing w:line="600" w:lineRule="exact"/>
        <w:ind w:firstLine="645"/>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公用经费152.88万元，主要包括：办公费8.38</w:t>
      </w:r>
      <w:r>
        <w:rPr>
          <w:rFonts w:hint="eastAsia" w:ascii="仿宋" w:hAnsi="仿宋" w:eastAsia="仿宋"/>
          <w:b w:val="0"/>
          <w:bCs/>
          <w:color w:val="auto"/>
          <w:sz w:val="32"/>
          <w:szCs w:val="32"/>
          <w:highlight w:val="none"/>
          <w:lang w:val="en-US" w:eastAsia="zh-CN"/>
        </w:rPr>
        <w:t>万元</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val="en-US" w:eastAsia="zh-CN"/>
        </w:rPr>
        <w:t>印刷费8.28万元、</w:t>
      </w:r>
      <w:r>
        <w:rPr>
          <w:rFonts w:hint="eastAsia" w:ascii="仿宋" w:hAnsi="仿宋" w:eastAsia="仿宋"/>
          <w:b w:val="0"/>
          <w:bCs/>
          <w:color w:val="auto"/>
          <w:sz w:val="32"/>
          <w:szCs w:val="32"/>
          <w:highlight w:val="none"/>
        </w:rPr>
        <w:t>水费</w:t>
      </w:r>
      <w:r>
        <w:rPr>
          <w:rFonts w:hint="eastAsia" w:ascii="仿宋" w:hAnsi="仿宋" w:eastAsia="仿宋"/>
          <w:b w:val="0"/>
          <w:bCs/>
          <w:color w:val="auto"/>
          <w:sz w:val="32"/>
          <w:szCs w:val="32"/>
          <w:highlight w:val="none"/>
          <w:lang w:val="en-US" w:eastAsia="zh-CN"/>
        </w:rPr>
        <w:t>0.73万元</w:t>
      </w:r>
      <w:r>
        <w:rPr>
          <w:rFonts w:hint="eastAsia" w:ascii="仿宋" w:hAnsi="仿宋" w:eastAsia="仿宋"/>
          <w:b w:val="0"/>
          <w:bCs/>
          <w:color w:val="auto"/>
          <w:sz w:val="32"/>
          <w:szCs w:val="32"/>
          <w:highlight w:val="none"/>
        </w:rPr>
        <w:t>、电费</w:t>
      </w:r>
      <w:r>
        <w:rPr>
          <w:rFonts w:hint="eastAsia" w:ascii="仿宋" w:hAnsi="仿宋" w:eastAsia="仿宋"/>
          <w:b w:val="0"/>
          <w:bCs/>
          <w:color w:val="auto"/>
          <w:sz w:val="32"/>
          <w:szCs w:val="32"/>
          <w:highlight w:val="none"/>
          <w:lang w:val="en-US" w:eastAsia="zh-CN"/>
        </w:rPr>
        <w:t>3.65万元</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val="en-US" w:eastAsia="zh-CN"/>
        </w:rPr>
        <w:t>邮电费0.66万元、物业管理费13.50万元、差旅费0.84万元、维修（护）费25.35万元、租赁费2.32万元、培训费0.08万元、劳务费53.60万元、</w:t>
      </w:r>
      <w:r>
        <w:rPr>
          <w:rFonts w:hint="eastAsia" w:ascii="仿宋" w:hAnsi="仿宋" w:eastAsia="仿宋"/>
          <w:b w:val="0"/>
          <w:bCs/>
          <w:color w:val="auto"/>
          <w:sz w:val="32"/>
          <w:szCs w:val="32"/>
          <w:highlight w:val="none"/>
        </w:rPr>
        <w:t>工会经费</w:t>
      </w:r>
      <w:r>
        <w:rPr>
          <w:rFonts w:hint="eastAsia" w:ascii="仿宋" w:hAnsi="仿宋" w:eastAsia="仿宋"/>
          <w:b w:val="0"/>
          <w:bCs/>
          <w:color w:val="auto"/>
          <w:sz w:val="32"/>
          <w:szCs w:val="32"/>
          <w:highlight w:val="none"/>
          <w:lang w:val="en-US" w:eastAsia="zh-CN"/>
        </w:rPr>
        <w:t>1.96万元</w:t>
      </w:r>
      <w:r>
        <w:rPr>
          <w:rFonts w:hint="eastAsia" w:ascii="仿宋" w:hAnsi="仿宋" w:eastAsia="仿宋"/>
          <w:b w:val="0"/>
          <w:bCs/>
          <w:color w:val="auto"/>
          <w:sz w:val="32"/>
          <w:szCs w:val="32"/>
          <w:highlight w:val="none"/>
        </w:rPr>
        <w:t>、福利费</w:t>
      </w:r>
      <w:r>
        <w:rPr>
          <w:rFonts w:hint="eastAsia" w:ascii="仿宋" w:hAnsi="仿宋" w:eastAsia="仿宋"/>
          <w:b w:val="0"/>
          <w:bCs/>
          <w:color w:val="auto"/>
          <w:sz w:val="32"/>
          <w:szCs w:val="32"/>
          <w:highlight w:val="none"/>
          <w:lang w:val="en-US" w:eastAsia="zh-CN"/>
        </w:rPr>
        <w:t>2.29万元</w:t>
      </w:r>
      <w:r>
        <w:rPr>
          <w:rFonts w:hint="eastAsia" w:ascii="仿宋" w:hAnsi="仿宋" w:eastAsia="仿宋"/>
          <w:b w:val="0"/>
          <w:bCs/>
          <w:color w:val="auto"/>
          <w:sz w:val="32"/>
          <w:szCs w:val="32"/>
          <w:highlight w:val="none"/>
        </w:rPr>
        <w:t>、其他商品和服务支出</w:t>
      </w:r>
      <w:r>
        <w:rPr>
          <w:rFonts w:hint="eastAsia" w:ascii="仿宋" w:hAnsi="仿宋" w:eastAsia="仿宋"/>
          <w:b w:val="0"/>
          <w:bCs/>
          <w:color w:val="auto"/>
          <w:sz w:val="32"/>
          <w:szCs w:val="32"/>
          <w:highlight w:val="none"/>
          <w:lang w:val="en-US" w:eastAsia="zh-CN"/>
        </w:rPr>
        <w:t>22.69万元、奖励金0.01万元、办公设备购置8.54万元。</w:t>
      </w:r>
    </w:p>
    <w:p w14:paraId="6B9B9108">
      <w:pPr>
        <w:pStyle w:val="3"/>
        <w:bidi w:val="0"/>
        <w:ind w:firstLine="643" w:firstLineChars="200"/>
      </w:pPr>
      <w:bookmarkStart w:id="63" w:name="_Toc15377215"/>
      <w:bookmarkStart w:id="64" w:name="_Toc15396609"/>
      <w:bookmarkStart w:id="65" w:name="_Toc11030"/>
      <w:r>
        <w:rPr>
          <w:rFonts w:hint="eastAsia"/>
        </w:rPr>
        <w:t>七、财政拨款“三公”经费支出决算情况说明</w:t>
      </w:r>
      <w:bookmarkEnd w:id="63"/>
      <w:bookmarkEnd w:id="64"/>
      <w:bookmarkEnd w:id="65"/>
    </w:p>
    <w:p w14:paraId="446B2615">
      <w:pPr>
        <w:spacing w:line="600" w:lineRule="exact"/>
        <w:ind w:firstLine="640"/>
        <w:outlineLvl w:val="2"/>
        <w:rPr>
          <w:rFonts w:ascii="仿宋" w:hAnsi="仿宋" w:eastAsia="仿宋"/>
          <w:b/>
          <w:color w:val="auto"/>
          <w:sz w:val="32"/>
          <w:szCs w:val="32"/>
          <w:highlight w:val="none"/>
        </w:rPr>
      </w:pPr>
      <w:bookmarkStart w:id="66" w:name="_Toc15377216"/>
      <w:bookmarkStart w:id="67" w:name="_Toc1484"/>
      <w:r>
        <w:rPr>
          <w:rFonts w:hint="eastAsia" w:ascii="仿宋" w:hAnsi="仿宋" w:eastAsia="仿宋"/>
          <w:b/>
          <w:color w:val="auto"/>
          <w:sz w:val="32"/>
          <w:szCs w:val="32"/>
          <w:highlight w:val="none"/>
        </w:rPr>
        <w:t>（一）“三公”经费财政拨款支出决算总体情况说明</w:t>
      </w:r>
      <w:bookmarkEnd w:id="66"/>
      <w:bookmarkEnd w:id="67"/>
    </w:p>
    <w:p w14:paraId="14C55C82">
      <w:pPr>
        <w:spacing w:line="600" w:lineRule="exact"/>
        <w:ind w:firstLine="640"/>
        <w:rPr>
          <w:rFonts w:ascii="仿宋" w:hAnsi="仿宋" w:eastAsia="仿宋"/>
          <w:b/>
          <w:color w:val="auto"/>
          <w:sz w:val="32"/>
          <w:szCs w:val="32"/>
          <w:highlight w:val="none"/>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年“三公”经费财政拨款支出决算为0万元，完成预算100</w:t>
      </w:r>
      <w:r>
        <w:rPr>
          <w:rFonts w:ascii="仿宋" w:hAnsi="仿宋" w:eastAsia="仿宋"/>
          <w:sz w:val="32"/>
          <w:szCs w:val="32"/>
        </w:rPr>
        <w:t>%</w:t>
      </w:r>
      <w:r>
        <w:rPr>
          <w:rFonts w:hint="eastAsia" w:ascii="仿宋" w:hAnsi="仿宋" w:eastAsia="仿宋"/>
          <w:sz w:val="32"/>
          <w:szCs w:val="32"/>
        </w:rPr>
        <w:t>，决算数与预算数持平。</w:t>
      </w:r>
    </w:p>
    <w:p w14:paraId="4DE905D3">
      <w:pPr>
        <w:spacing w:line="600" w:lineRule="exact"/>
        <w:ind w:firstLine="640"/>
        <w:outlineLvl w:val="2"/>
        <w:rPr>
          <w:rFonts w:ascii="仿宋" w:hAnsi="仿宋" w:eastAsia="仿宋"/>
          <w:b/>
          <w:color w:val="auto"/>
          <w:sz w:val="32"/>
          <w:szCs w:val="32"/>
          <w:highlight w:val="none"/>
        </w:rPr>
      </w:pPr>
      <w:bookmarkStart w:id="68" w:name="_Toc10411"/>
      <w:bookmarkStart w:id="69" w:name="_Toc15377217"/>
      <w:r>
        <w:rPr>
          <w:rFonts w:hint="eastAsia" w:ascii="仿宋" w:hAnsi="仿宋" w:eastAsia="仿宋"/>
          <w:b/>
          <w:color w:val="auto"/>
          <w:sz w:val="32"/>
          <w:szCs w:val="32"/>
          <w:highlight w:val="none"/>
        </w:rPr>
        <w:t>（二）“三公”经费财政拨款支出决算具体情况说明</w:t>
      </w:r>
      <w:bookmarkEnd w:id="68"/>
      <w:bookmarkEnd w:id="69"/>
    </w:p>
    <w:p w14:paraId="15953891">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年“三公”经费财政拨款支出决算中，因公出国（境）费支出决算0万元；公务用车购置及运行维护费支出决算0万元；公务接待费支出决算0万元。具体情况如下：</w:t>
      </w:r>
    </w:p>
    <w:p w14:paraId="3F5B20C4">
      <w:pPr>
        <w:pStyle w:val="3"/>
        <w:outlineLvl w:val="9"/>
        <w:rPr>
          <w:rFonts w:hint="eastAsia"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397510</wp:posOffset>
            </wp:positionH>
            <wp:positionV relativeFrom="paragraph">
              <wp:posOffset>603250</wp:posOffset>
            </wp:positionV>
            <wp:extent cx="4640580" cy="2136140"/>
            <wp:effectExtent l="4445" t="4445" r="15875" b="571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196C3B78">
      <w:pPr>
        <w:rPr>
          <w:rFonts w:hint="eastAsia"/>
        </w:rPr>
      </w:pPr>
    </w:p>
    <w:p w14:paraId="3B73EA31">
      <w:pPr>
        <w:pStyle w:val="3"/>
        <w:outlineLvl w:val="9"/>
      </w:pPr>
    </w:p>
    <w:p w14:paraId="60A21DFB">
      <w:pPr>
        <w:spacing w:line="600" w:lineRule="exact"/>
        <w:jc w:val="both"/>
        <w:rPr>
          <w:rFonts w:hint="eastAsia" w:ascii="仿宋" w:hAnsi="仿宋" w:eastAsia="仿宋"/>
          <w:color w:val="auto"/>
          <w:sz w:val="32"/>
          <w:szCs w:val="32"/>
          <w:highlight w:val="none"/>
        </w:rPr>
      </w:pPr>
    </w:p>
    <w:p w14:paraId="7817C6E2">
      <w:pPr>
        <w:spacing w:line="600" w:lineRule="exact"/>
        <w:ind w:firstLine="640"/>
        <w:rPr>
          <w:rFonts w:hint="eastAsia" w:ascii="仿宋" w:hAnsi="仿宋" w:eastAsia="仿宋"/>
          <w:color w:val="auto"/>
          <w:sz w:val="32"/>
          <w:szCs w:val="32"/>
          <w:highlight w:val="none"/>
        </w:rPr>
      </w:pPr>
    </w:p>
    <w:p w14:paraId="3FCD545A">
      <w:pPr>
        <w:spacing w:line="600" w:lineRule="exact"/>
        <w:ind w:firstLine="640"/>
        <w:jc w:val="center"/>
        <w:rPr>
          <w:rFonts w:hint="eastAsia" w:ascii="仿宋" w:hAnsi="仿宋" w:eastAsia="仿宋"/>
          <w:color w:val="auto"/>
          <w:sz w:val="32"/>
          <w:szCs w:val="32"/>
          <w:highlight w:val="none"/>
        </w:rPr>
      </w:pPr>
    </w:p>
    <w:p w14:paraId="74559990">
      <w:pPr>
        <w:spacing w:line="600" w:lineRule="exact"/>
        <w:ind w:firstLine="960" w:firstLineChars="30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14:paraId="330FE61F">
      <w:pPr>
        <w:spacing w:line="600" w:lineRule="exact"/>
        <w:ind w:firstLine="960" w:firstLineChars="300"/>
        <w:jc w:val="center"/>
        <w:rPr>
          <w:rFonts w:hint="eastAsia" w:ascii="仿宋" w:hAnsi="仿宋" w:eastAsia="仿宋"/>
          <w:color w:val="auto"/>
          <w:sz w:val="32"/>
          <w:szCs w:val="32"/>
          <w:highlight w:val="none"/>
        </w:rPr>
      </w:pPr>
    </w:p>
    <w:p w14:paraId="790F30CA">
      <w:pPr>
        <w:spacing w:line="600" w:lineRule="exact"/>
        <w:ind w:firstLine="640"/>
        <w:rPr>
          <w:rFonts w:ascii="仿宋_GB2312" w:eastAsia="仿宋_GB2312"/>
          <w:b/>
          <w:sz w:val="32"/>
          <w:szCs w:val="32"/>
        </w:rPr>
      </w:pPr>
      <w:bookmarkStart w:id="70" w:name="_Toc15396610"/>
      <w:bookmarkStart w:id="71" w:name="_Toc15377218"/>
      <w:r>
        <w:rPr>
          <w:rFonts w:ascii="仿宋_GB2312" w:eastAsia="仿宋_GB2312"/>
          <w:b/>
          <w:sz w:val="32"/>
          <w:szCs w:val="32"/>
        </w:rPr>
        <w:t>1.</w:t>
      </w:r>
      <w:r>
        <w:rPr>
          <w:rFonts w:hint="eastAsia" w:ascii="仿宋_GB2312" w:eastAsia="仿宋_GB2312"/>
          <w:b w:val="0"/>
          <w:bCs/>
          <w:sz w:val="32"/>
          <w:szCs w:val="32"/>
        </w:rPr>
        <w:t>因公出国（境）经费支出0万</w:t>
      </w:r>
      <w:r>
        <w:rPr>
          <w:rFonts w:hint="eastAsia" w:ascii="仿宋_GB2312" w:eastAsia="仿宋_GB2312"/>
          <w:sz w:val="32"/>
          <w:szCs w:val="32"/>
        </w:rPr>
        <w:t>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年持平。</w:t>
      </w:r>
    </w:p>
    <w:p w14:paraId="4CE51F08">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val="0"/>
          <w:bCs/>
          <w:sz w:val="32"/>
          <w:szCs w:val="32"/>
        </w:rPr>
        <w:t>公务用车购置及运行维护费支出0万元</w:t>
      </w:r>
      <w:r>
        <w:rPr>
          <w:rFonts w:hint="eastAsia" w:ascii="仿宋_GB2312" w:eastAsia="仿宋_GB2312"/>
          <w:sz w:val="32"/>
          <w:szCs w:val="32"/>
        </w:rPr>
        <w:t>,</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年持平。</w:t>
      </w:r>
    </w:p>
    <w:p w14:paraId="1C335B4C">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val="0"/>
          <w:bCs/>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40D806AE">
      <w:pPr>
        <w:spacing w:line="600" w:lineRule="exact"/>
        <w:ind w:firstLine="640"/>
        <w:rPr>
          <w:rFonts w:ascii="仿宋_GB2312" w:eastAsia="仿宋_GB2312"/>
          <w:b w:val="0"/>
          <w:bCs/>
          <w:sz w:val="32"/>
          <w:szCs w:val="32"/>
        </w:rPr>
      </w:pPr>
      <w:r>
        <w:rPr>
          <w:rFonts w:hint="eastAsia" w:ascii="仿宋_GB2312" w:eastAsia="仿宋_GB2312"/>
          <w:b w:val="0"/>
          <w:bCs/>
          <w:sz w:val="32"/>
          <w:szCs w:val="32"/>
        </w:rPr>
        <w:t>公务用车运行维护费支出0万元。</w:t>
      </w:r>
    </w:p>
    <w:p w14:paraId="664DF45A">
      <w:pPr>
        <w:spacing w:line="600" w:lineRule="exact"/>
        <w:ind w:firstLine="640"/>
        <w:rPr>
          <w:rFonts w:ascii="仿宋_GB2312" w:eastAsia="仿宋_GB2312"/>
          <w:b w:val="0"/>
          <w:bCs/>
          <w:sz w:val="32"/>
          <w:szCs w:val="32"/>
        </w:rPr>
      </w:pPr>
      <w:r>
        <w:rPr>
          <w:rFonts w:ascii="仿宋_GB2312" w:eastAsia="仿宋_GB2312"/>
          <w:b w:val="0"/>
          <w:bCs/>
          <w:sz w:val="32"/>
          <w:szCs w:val="32"/>
        </w:rPr>
        <w:t>3.</w:t>
      </w:r>
      <w:r>
        <w:rPr>
          <w:rFonts w:hint="eastAsia" w:ascii="仿宋_GB2312" w:eastAsia="仿宋_GB2312"/>
          <w:b w:val="0"/>
          <w:bCs/>
          <w:sz w:val="32"/>
          <w:szCs w:val="32"/>
        </w:rPr>
        <w:t>公务接待费支出0万元</w:t>
      </w:r>
      <w:r>
        <w:rPr>
          <w:rStyle w:val="15"/>
          <w:rFonts w:hint="eastAsia" w:ascii="仿宋" w:hAnsi="仿宋" w:eastAsia="仿宋"/>
          <w:b w:val="0"/>
          <w:bCs/>
          <w:sz w:val="32"/>
          <w:szCs w:val="32"/>
        </w:rPr>
        <w:t>。</w:t>
      </w:r>
      <w:r>
        <w:rPr>
          <w:rFonts w:hint="eastAsia" w:ascii="仿宋_GB2312" w:eastAsia="仿宋_GB2312"/>
          <w:b w:val="0"/>
          <w:bCs/>
          <w:sz w:val="32"/>
          <w:szCs w:val="32"/>
        </w:rPr>
        <w:t>公务接待费支出决算与</w:t>
      </w:r>
      <w:r>
        <w:rPr>
          <w:rFonts w:ascii="仿宋_GB2312" w:eastAsia="仿宋_GB2312"/>
          <w:b w:val="0"/>
          <w:bCs/>
          <w:sz w:val="32"/>
          <w:szCs w:val="32"/>
        </w:rPr>
        <w:t>20</w:t>
      </w:r>
      <w:r>
        <w:rPr>
          <w:rFonts w:hint="eastAsia" w:ascii="仿宋_GB2312" w:eastAsia="仿宋_GB2312"/>
          <w:b w:val="0"/>
          <w:bCs/>
          <w:sz w:val="32"/>
          <w:szCs w:val="32"/>
        </w:rPr>
        <w:t>2</w:t>
      </w:r>
      <w:r>
        <w:rPr>
          <w:rFonts w:hint="eastAsia" w:ascii="仿宋_GB2312" w:eastAsia="仿宋_GB2312"/>
          <w:b w:val="0"/>
          <w:bCs/>
          <w:sz w:val="32"/>
          <w:szCs w:val="32"/>
          <w:lang w:val="en-US" w:eastAsia="zh-CN"/>
        </w:rPr>
        <w:t>1</w:t>
      </w:r>
      <w:r>
        <w:rPr>
          <w:rFonts w:hint="eastAsia" w:ascii="仿宋_GB2312" w:eastAsia="仿宋_GB2312"/>
          <w:b w:val="0"/>
          <w:bCs/>
          <w:sz w:val="32"/>
          <w:szCs w:val="32"/>
        </w:rPr>
        <w:t>年持平。其中：</w:t>
      </w:r>
    </w:p>
    <w:p w14:paraId="6DA791F5">
      <w:pPr>
        <w:spacing w:line="600" w:lineRule="exact"/>
        <w:ind w:firstLine="640"/>
        <w:rPr>
          <w:rFonts w:ascii="仿宋_GB2312" w:eastAsia="仿宋_GB2312"/>
          <w:sz w:val="32"/>
          <w:szCs w:val="32"/>
        </w:rPr>
      </w:pPr>
      <w:r>
        <w:rPr>
          <w:rFonts w:hint="eastAsia" w:ascii="仿宋" w:hAnsi="仿宋" w:eastAsia="仿宋"/>
          <w:b w:val="0"/>
          <w:bCs/>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万元，主要用于执行公务、开展业务活动开支的交通费、住宿费、用餐费等。国内公务接待0批次，0人次（不包括陪同人员），共计支出0万元。</w:t>
      </w:r>
    </w:p>
    <w:p w14:paraId="18F63E12">
      <w:pPr>
        <w:spacing w:line="600" w:lineRule="exact"/>
        <w:ind w:firstLine="640" w:firstLineChars="200"/>
        <w:rPr>
          <w:rFonts w:ascii="仿宋_GB2312" w:eastAsia="仿宋_GB2312"/>
          <w:sz w:val="32"/>
          <w:szCs w:val="32"/>
        </w:rPr>
      </w:pPr>
      <w:r>
        <w:rPr>
          <w:rFonts w:hint="eastAsia" w:ascii="仿宋" w:hAnsi="仿宋" w:eastAsia="仿宋"/>
          <w:b w:val="0"/>
          <w:bCs/>
          <w:sz w:val="32"/>
          <w:szCs w:val="32"/>
        </w:rPr>
        <w:t>外事接待支出0</w:t>
      </w:r>
      <w:r>
        <w:rPr>
          <w:rFonts w:hint="eastAsia" w:ascii="仿宋_GB2312" w:eastAsia="仿宋_GB2312"/>
          <w:sz w:val="32"/>
          <w:szCs w:val="32"/>
        </w:rPr>
        <w:t>万元，外事接待0批次，0人，共计支出0万元。</w:t>
      </w:r>
    </w:p>
    <w:p w14:paraId="0571787D">
      <w:pPr>
        <w:pStyle w:val="3"/>
        <w:bidi w:val="0"/>
        <w:ind w:firstLine="643" w:firstLineChars="200"/>
      </w:pPr>
      <w:bookmarkStart w:id="72" w:name="_Toc16479"/>
      <w:r>
        <w:rPr>
          <w:rFonts w:hint="eastAsia"/>
        </w:rPr>
        <w:t>八、政府性基金预算支出决算情况说明</w:t>
      </w:r>
      <w:bookmarkEnd w:id="70"/>
      <w:bookmarkEnd w:id="71"/>
      <w:bookmarkEnd w:id="72"/>
    </w:p>
    <w:p w14:paraId="1F3FB063">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3123616">
      <w:pPr>
        <w:spacing w:line="600" w:lineRule="exact"/>
        <w:ind w:firstLine="640"/>
        <w:rPr>
          <w:rFonts w:ascii="仿宋_GB2312" w:eastAsia="仿宋_GB2312"/>
          <w:color w:val="auto"/>
          <w:sz w:val="32"/>
          <w:szCs w:val="32"/>
          <w:highlight w:val="none"/>
        </w:rPr>
      </w:pPr>
    </w:p>
    <w:p w14:paraId="76F31DE2">
      <w:pPr>
        <w:pStyle w:val="3"/>
        <w:numPr>
          <w:ilvl w:val="0"/>
          <w:numId w:val="0"/>
        </w:numPr>
        <w:bidi w:val="0"/>
        <w:ind w:firstLine="643" w:firstLineChars="200"/>
      </w:pPr>
      <w:bookmarkStart w:id="73" w:name="_Toc15377219"/>
      <w:bookmarkStart w:id="74" w:name="_Toc15396611"/>
      <w:bookmarkStart w:id="75" w:name="_Toc24391"/>
      <w:r>
        <w:rPr>
          <w:rFonts w:hint="eastAsia"/>
          <w:lang w:val="en-US" w:eastAsia="zh-CN"/>
        </w:rPr>
        <w:t>九、</w:t>
      </w:r>
      <w:r>
        <w:rPr>
          <w:rFonts w:hint="eastAsia"/>
        </w:rPr>
        <w:t>国有资本经营预算支出决算情况说明</w:t>
      </w:r>
      <w:bookmarkEnd w:id="73"/>
      <w:bookmarkEnd w:id="74"/>
      <w:bookmarkEnd w:id="75"/>
    </w:p>
    <w:p w14:paraId="57D18D68">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F2C47C8">
      <w:pPr>
        <w:spacing w:line="580" w:lineRule="exact"/>
        <w:jc w:val="center"/>
        <w:rPr>
          <w:rFonts w:ascii="方正小标宋简体" w:hAnsi="方正小标宋简体" w:eastAsia="方正小标宋简体" w:cs="方正小标宋简体"/>
          <w:color w:val="auto"/>
          <w:sz w:val="44"/>
          <w:szCs w:val="44"/>
          <w:highlight w:val="none"/>
        </w:rPr>
      </w:pPr>
    </w:p>
    <w:p w14:paraId="0AD122FD">
      <w:pPr>
        <w:pStyle w:val="3"/>
        <w:numPr>
          <w:ilvl w:val="0"/>
          <w:numId w:val="0"/>
        </w:numPr>
        <w:bidi w:val="0"/>
        <w:ind w:firstLine="643" w:firstLineChars="200"/>
        <w:rPr>
          <w:rFonts w:hint="eastAsia"/>
        </w:rPr>
      </w:pPr>
      <w:bookmarkStart w:id="76" w:name="_Toc15377221"/>
      <w:bookmarkStart w:id="77" w:name="_Toc14199"/>
      <w:bookmarkStart w:id="78" w:name="_Toc15396612"/>
      <w:r>
        <w:rPr>
          <w:rFonts w:hint="eastAsia"/>
          <w:lang w:val="en-US" w:eastAsia="zh-CN"/>
        </w:rPr>
        <w:t>十、</w:t>
      </w:r>
      <w:r>
        <w:rPr>
          <w:rFonts w:hint="eastAsia"/>
        </w:rPr>
        <w:t>其他重要事项的情况说明</w:t>
      </w:r>
      <w:bookmarkEnd w:id="76"/>
      <w:bookmarkEnd w:id="77"/>
      <w:bookmarkEnd w:id="78"/>
    </w:p>
    <w:p w14:paraId="5430CC7A">
      <w:pPr>
        <w:spacing w:line="600" w:lineRule="exact"/>
        <w:ind w:firstLine="643" w:firstLineChars="200"/>
        <w:outlineLvl w:val="2"/>
        <w:rPr>
          <w:rFonts w:ascii="仿宋" w:hAnsi="仿宋" w:eastAsia="仿宋"/>
          <w:color w:val="auto"/>
          <w:sz w:val="32"/>
          <w:szCs w:val="32"/>
          <w:highlight w:val="none"/>
        </w:rPr>
      </w:pPr>
      <w:bookmarkStart w:id="79" w:name="_Toc24126"/>
      <w:bookmarkStart w:id="80" w:name="_Toc15377222"/>
      <w:r>
        <w:rPr>
          <w:rFonts w:hint="eastAsia" w:ascii="仿宋" w:hAnsi="仿宋" w:eastAsia="仿宋"/>
          <w:b/>
          <w:color w:val="auto"/>
          <w:sz w:val="32"/>
          <w:szCs w:val="32"/>
          <w:highlight w:val="none"/>
        </w:rPr>
        <w:t>（一）机关运行经费支出情况</w:t>
      </w:r>
      <w:bookmarkEnd w:id="79"/>
      <w:bookmarkEnd w:id="80"/>
    </w:p>
    <w:p w14:paraId="7D19603D">
      <w:pPr>
        <w:autoSpaceDE w:val="0"/>
        <w:autoSpaceDN w:val="0"/>
        <w:adjustRightInd w:val="0"/>
        <w:spacing w:line="600" w:lineRule="exact"/>
        <w:ind w:firstLine="640" w:firstLineChars="200"/>
        <w:jc w:val="left"/>
        <w:outlineLvl w:val="2"/>
        <w:rPr>
          <w:rFonts w:hint="eastAsia" w:ascii="仿宋_GB2312" w:eastAsia="仿宋_GB2312"/>
          <w:color w:val="auto"/>
          <w:sz w:val="32"/>
          <w:szCs w:val="32"/>
        </w:rPr>
      </w:pPr>
      <w:bookmarkStart w:id="81" w:name="_Toc15377223"/>
      <w:bookmarkStart w:id="82" w:name="_Toc20912"/>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eastAsia="zh-CN"/>
        </w:rPr>
        <w:t>3</w:t>
      </w:r>
      <w:r>
        <w:rPr>
          <w:rFonts w:hint="eastAsia" w:ascii="仿宋_GB2312" w:eastAsia="仿宋_GB2312"/>
          <w:color w:val="auto"/>
          <w:sz w:val="32"/>
          <w:szCs w:val="32"/>
          <w:highlight w:val="none"/>
        </w:rPr>
        <w:t>年，机关运行经费支出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年决算数持平）。主要原因是</w:t>
      </w:r>
      <w:r>
        <w:rPr>
          <w:rFonts w:hint="eastAsia" w:ascii="仿宋_GB2312" w:eastAsia="仿宋_GB2312"/>
          <w:color w:val="auto"/>
          <w:sz w:val="32"/>
          <w:szCs w:val="32"/>
        </w:rPr>
        <w:t>我单位为事业单位（学校），执行政府会计制度，无机关运行经费。</w:t>
      </w:r>
    </w:p>
    <w:p w14:paraId="545E8DDE">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bookmarkEnd w:id="81"/>
      <w:bookmarkEnd w:id="82"/>
    </w:p>
    <w:p w14:paraId="343F4795">
      <w:pPr>
        <w:spacing w:line="600" w:lineRule="exact"/>
        <w:ind w:firstLine="640" w:firstLineChars="200"/>
        <w:rPr>
          <w:rFonts w:ascii="仿宋_GB2312" w:eastAsia="仿宋_GB2312"/>
          <w:color w:val="auto"/>
          <w:sz w:val="32"/>
          <w:szCs w:val="32"/>
          <w:highlight w:val="none"/>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11A15419">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3" w:name="_Toc15377224"/>
      <w:bookmarkStart w:id="84" w:name="_Toc23213"/>
      <w:r>
        <w:rPr>
          <w:rFonts w:hint="eastAsia" w:ascii="仿宋" w:hAnsi="仿宋" w:eastAsia="仿宋"/>
          <w:b/>
          <w:color w:val="auto"/>
          <w:sz w:val="32"/>
          <w:szCs w:val="32"/>
          <w:highlight w:val="none"/>
        </w:rPr>
        <w:t>（三）国有资产占有使用情况</w:t>
      </w:r>
      <w:bookmarkEnd w:id="83"/>
      <w:bookmarkEnd w:id="84"/>
    </w:p>
    <w:p w14:paraId="37BC7A47">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7A2977EF">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bookmarkStart w:id="85" w:name="_Toc26672"/>
      <w:r>
        <w:rPr>
          <w:rFonts w:hint="eastAsia" w:ascii="仿宋" w:hAnsi="仿宋" w:eastAsia="仿宋"/>
          <w:b/>
          <w:color w:val="auto"/>
          <w:sz w:val="32"/>
          <w:szCs w:val="32"/>
          <w:highlight w:val="none"/>
        </w:rPr>
        <w:t>（四）预算绩效管理情况</w:t>
      </w:r>
      <w:bookmarkEnd w:id="85"/>
    </w:p>
    <w:p w14:paraId="130DF3E1">
      <w:pPr>
        <w:spacing w:line="580" w:lineRule="exact"/>
        <w:ind w:firstLine="640" w:firstLineChars="200"/>
        <w:rPr>
          <w:rFonts w:ascii="仿宋_GB2312" w:eastAsia="仿宋_GB2312"/>
          <w:b/>
          <w:color w:val="auto"/>
          <w:sz w:val="32"/>
          <w:szCs w:val="32"/>
        </w:rPr>
      </w:pPr>
      <w:bookmarkStart w:id="86" w:name="_Toc15377225"/>
      <w:bookmarkStart w:id="87" w:name="_Toc15396613"/>
      <w:r>
        <w:rPr>
          <w:rFonts w:hint="eastAsia" w:ascii="仿宋_GB2312" w:hAnsi="仿宋_GB2312" w:eastAsia="仿宋_GB2312" w:cs="仿宋_GB2312"/>
          <w:color w:val="000000" w:themeColor="text1"/>
          <w:sz w:val="32"/>
          <w:szCs w:val="32"/>
          <w14:textFill>
            <w14:solidFill>
              <w14:schemeClr w14:val="tx1"/>
            </w14:solidFill>
          </w14:textFill>
        </w:rPr>
        <w:t>根据预算绩效管理要求，本单位在年初预算编制阶段，组织对0个项目开展了预算事前绩效评估，对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个项目编制了绩效目标，预算执行过程中，选取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个项目开展绩效监控，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个项目开展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自评，</w:t>
      </w:r>
      <w:r>
        <w:rPr>
          <w:rFonts w:hint="eastAsia" w:ascii="仿宋_GB2312" w:hAnsi="仿宋_GB2312" w:eastAsia="仿宋_GB2312" w:cs="仿宋_GB2312"/>
          <w:color w:val="auto"/>
          <w:sz w:val="32"/>
          <w:szCs w:val="32"/>
        </w:rPr>
        <w:t>绩效自评表详见第四部分附件。</w:t>
      </w:r>
    </w:p>
    <w:p w14:paraId="26D9979A">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14:paraId="6844920B"/>
    <w:p w14:paraId="50FCCDE9"/>
    <w:p w14:paraId="3FE7AEE7"/>
    <w:p w14:paraId="1DB95450"/>
    <w:p w14:paraId="30BA4065"/>
    <w:p w14:paraId="5C444314"/>
    <w:p w14:paraId="7B8823B0"/>
    <w:p w14:paraId="78C03968"/>
    <w:p w14:paraId="63CBE054"/>
    <w:p w14:paraId="6D897859"/>
    <w:p w14:paraId="59468E64">
      <w:pPr>
        <w:pStyle w:val="2"/>
        <w:numPr>
          <w:ilvl w:val="0"/>
          <w:numId w:val="2"/>
        </w:numPr>
        <w:bidi w:val="0"/>
        <w:jc w:val="center"/>
        <w:rPr>
          <w:rFonts w:hint="eastAsia" w:ascii="黑体" w:hAnsi="黑体" w:eastAsia="黑体" w:cs="黑体"/>
          <w:b/>
          <w:bCs/>
        </w:rPr>
      </w:pPr>
      <w:bookmarkStart w:id="88" w:name="_Toc21837"/>
      <w:bookmarkStart w:id="89" w:name="_Toc23709"/>
      <w:r>
        <w:rPr>
          <w:rFonts w:hint="eastAsia" w:ascii="黑体" w:hAnsi="黑体" w:eastAsia="黑体" w:cs="黑体"/>
          <w:b/>
          <w:bCs/>
        </w:rPr>
        <w:t>名词解释</w:t>
      </w:r>
      <w:bookmarkEnd w:id="86"/>
      <w:bookmarkEnd w:id="87"/>
      <w:bookmarkEnd w:id="88"/>
      <w:bookmarkEnd w:id="89"/>
    </w:p>
    <w:p w14:paraId="525EAB0D">
      <w:pPr>
        <w:spacing w:line="600" w:lineRule="exact"/>
        <w:jc w:val="left"/>
        <w:rPr>
          <w:rFonts w:ascii="宋体"/>
          <w:b/>
          <w:color w:val="auto"/>
          <w:sz w:val="44"/>
          <w:szCs w:val="44"/>
          <w:highlight w:val="none"/>
        </w:rPr>
      </w:pPr>
    </w:p>
    <w:p w14:paraId="0C7650FD">
      <w:pPr>
        <w:pStyle w:val="23"/>
        <w:spacing w:line="560" w:lineRule="exact"/>
        <w:ind w:firstLine="640" w:firstLineChars="200"/>
        <w:outlineLvl w:val="1"/>
        <w:rPr>
          <w:rFonts w:ascii="仿宋_GB2312" w:eastAsia="仿宋_GB2312"/>
          <w:color w:val="auto"/>
          <w:sz w:val="32"/>
          <w:szCs w:val="32"/>
          <w:highlight w:val="none"/>
        </w:rPr>
      </w:pPr>
      <w:bookmarkStart w:id="90" w:name="_Toc16054"/>
      <w:bookmarkStart w:id="91" w:name="_Toc484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90"/>
      <w:bookmarkEnd w:id="91"/>
    </w:p>
    <w:p w14:paraId="32F4619D">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3AB3A9D9">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7A9C3A19">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7D8D5DE9">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年末结转和结余：指单位按有关规定结转到下年或以后年度继续使用的资金。</w:t>
      </w:r>
    </w:p>
    <w:p w14:paraId="0DB7F0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14:paraId="67A82221">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6C1C8BE0">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Calibri" w:eastAsia="仿宋_GB2312" w:cs="仿宋"/>
          <w:color w:val="auto"/>
          <w:kern w:val="0"/>
          <w:sz w:val="32"/>
          <w:szCs w:val="32"/>
          <w:lang w:eastAsia="zh-CN"/>
        </w:rPr>
      </w:pPr>
      <w:r>
        <w:rPr>
          <w:rFonts w:hint="eastAsia" w:ascii="仿宋_GB2312"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5454DFBC">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lang w:val="en-US"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14:paraId="57BC22BC">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14:paraId="35BC67CE">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3048B505">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36F658A9">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3</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5F47AEF9">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4</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6B49ECF">
      <w:pPr>
        <w:keepNext w:val="0"/>
        <w:keepLines w:val="0"/>
        <w:pageBreakBefore w:val="0"/>
        <w:widowControl w:val="0"/>
        <w:kinsoku/>
        <w:wordWrap/>
        <w:overflowPunct/>
        <w:topLinePunct w:val="0"/>
        <w:bidi w:val="0"/>
        <w:snapToGrid/>
        <w:spacing w:line="600" w:lineRule="exact"/>
        <w:ind w:firstLine="640"/>
        <w:textAlignment w:val="auto"/>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5</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EC61C49">
      <w:pPr>
        <w:keepNext w:val="0"/>
        <w:keepLines w:val="0"/>
        <w:pageBreakBefore w:val="0"/>
        <w:widowControl w:val="0"/>
        <w:kinsoku/>
        <w:wordWrap/>
        <w:overflowPunct/>
        <w:topLinePunct w:val="0"/>
        <w:bidi w:val="0"/>
        <w:snapToGrid/>
        <w:spacing w:line="600" w:lineRule="exact"/>
        <w:ind w:firstLine="640"/>
        <w:textAlignment w:val="auto"/>
        <w:rPr>
          <w:rFonts w:hint="eastAsia" w:ascii="仿宋_GB2312" w:hAnsi="Calibri" w:eastAsia="仿宋_GB2312" w:cs="仿宋"/>
          <w:color w:val="auto"/>
          <w:kern w:val="0"/>
          <w:sz w:val="32"/>
          <w:szCs w:val="32"/>
        </w:rPr>
      </w:pPr>
    </w:p>
    <w:p w14:paraId="60B288BE">
      <w:pPr>
        <w:keepNext w:val="0"/>
        <w:keepLines w:val="0"/>
        <w:pageBreakBefore w:val="0"/>
        <w:widowControl w:val="0"/>
        <w:kinsoku/>
        <w:wordWrap/>
        <w:overflowPunct/>
        <w:topLinePunct w:val="0"/>
        <w:bidi w:val="0"/>
        <w:snapToGrid/>
        <w:spacing w:line="600" w:lineRule="exact"/>
        <w:textAlignment w:val="auto"/>
        <w:rPr>
          <w:rFonts w:hint="eastAsia" w:ascii="仿宋_GB2312" w:hAnsi="Calibri" w:eastAsia="仿宋_GB2312" w:cs="仿宋"/>
          <w:color w:val="auto"/>
          <w:kern w:val="0"/>
          <w:sz w:val="32"/>
          <w:szCs w:val="32"/>
        </w:rPr>
      </w:pPr>
    </w:p>
    <w:p w14:paraId="41030022">
      <w:pPr>
        <w:rPr>
          <w:rFonts w:hint="eastAsia" w:ascii="仿宋_GB2312" w:hAnsi="Calibri" w:eastAsia="仿宋_GB2312" w:cs="仿宋"/>
          <w:color w:val="auto"/>
          <w:kern w:val="0"/>
          <w:sz w:val="32"/>
          <w:szCs w:val="32"/>
        </w:rPr>
        <w:sectPr>
          <w:footerReference r:id="rId7" w:type="first"/>
          <w:headerReference r:id="rId5" w:type="default"/>
          <w:footerReference r:id="rId6" w:type="default"/>
          <w:pgSz w:w="11906" w:h="16838"/>
          <w:pgMar w:top="1440" w:right="1800" w:bottom="1440" w:left="1800" w:header="851" w:footer="992" w:gutter="0"/>
          <w:pgNumType w:fmt="decimal"/>
          <w:cols w:space="425" w:num="1"/>
          <w:titlePg/>
          <w:docGrid w:type="lines" w:linePitch="312" w:charSpace="0"/>
        </w:sectPr>
      </w:pPr>
    </w:p>
    <w:p w14:paraId="7F3CAE0B">
      <w:pPr>
        <w:numPr>
          <w:ilvl w:val="0"/>
          <w:numId w:val="2"/>
        </w:numPr>
        <w:spacing w:line="600" w:lineRule="exact"/>
        <w:ind w:left="0" w:leftChars="0" w:firstLine="0" w:firstLineChars="0"/>
        <w:jc w:val="center"/>
        <w:outlineLvl w:val="0"/>
        <w:rPr>
          <w:rStyle w:val="25"/>
          <w:rFonts w:hint="eastAsia" w:ascii="黑体" w:hAnsi="黑体" w:eastAsia="黑体"/>
          <w:b w:val="0"/>
          <w:color w:val="auto"/>
          <w:highlight w:val="none"/>
        </w:rPr>
      </w:pPr>
      <w:bookmarkStart w:id="92" w:name="_Toc21434"/>
      <w:r>
        <w:rPr>
          <w:rStyle w:val="25"/>
          <w:rFonts w:hint="eastAsia" w:ascii="黑体" w:hAnsi="黑体" w:eastAsia="黑体"/>
          <w:b w:val="0"/>
          <w:color w:val="auto"/>
          <w:highlight w:val="none"/>
        </w:rPr>
        <w:t>附件</w:t>
      </w:r>
      <w:bookmarkEnd w:id="92"/>
    </w:p>
    <w:p w14:paraId="25BA4021">
      <w:pPr>
        <w:numPr>
          <w:ilvl w:val="0"/>
          <w:numId w:val="0"/>
        </w:numPr>
        <w:spacing w:line="600" w:lineRule="exact"/>
        <w:ind w:leftChars="0"/>
        <w:jc w:val="both"/>
        <w:outlineLvl w:val="0"/>
        <w:rPr>
          <w:rStyle w:val="25"/>
          <w:rFonts w:hint="eastAsia" w:ascii="黑体" w:hAnsi="黑体" w:eastAsia="黑体"/>
          <w:b w:val="0"/>
          <w:color w:val="auto"/>
          <w:highlight w:val="none"/>
        </w:rPr>
      </w:pPr>
    </w:p>
    <w:tbl>
      <w:tblPr>
        <w:tblStyle w:val="13"/>
        <w:tblW w:w="12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877"/>
      </w:tblGrid>
      <w:tr w14:paraId="2F48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2877" w:type="dxa"/>
            <w:shd w:val="clear" w:color="auto" w:fill="auto"/>
            <w:vAlign w:val="center"/>
          </w:tcPr>
          <w:p w14:paraId="24C26DF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方正小标宋简体" w:cs="Times New Roman"/>
                <w:i w:val="0"/>
                <w:color w:val="000000"/>
                <w:kern w:val="0"/>
                <w:sz w:val="44"/>
                <w:szCs w:val="44"/>
                <w:u w:val="none"/>
                <w:lang w:val="en-US" w:eastAsia="zh-CN" w:bidi="ar"/>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7CBF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2877" w:type="dxa"/>
            <w:shd w:val="clear" w:color="auto" w:fill="auto"/>
            <w:vAlign w:val="center"/>
          </w:tcPr>
          <w:p w14:paraId="6FF9C6C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方正小标宋简体" w:cs="Times New Roman"/>
                <w:i w:val="0"/>
                <w:color w:val="000000"/>
                <w:kern w:val="0"/>
                <w:sz w:val="44"/>
                <w:szCs w:val="44"/>
                <w:u w:val="none"/>
                <w:lang w:val="en-US" w:eastAsia="zh-CN" w:bidi="ar"/>
              </w:rPr>
            </w:pPr>
            <w:r>
              <w:rPr>
                <w:rFonts w:hint="default" w:ascii="Times New Roman" w:hAnsi="Times New Roman" w:eastAsia="方正小标宋简体" w:cs="Times New Roman"/>
                <w:i w:val="0"/>
                <w:color w:val="000000"/>
                <w:kern w:val="0"/>
                <w:sz w:val="44"/>
                <w:szCs w:val="44"/>
                <w:u w:val="none"/>
                <w:lang w:val="en-US" w:eastAsia="zh-CN" w:bidi="ar"/>
              </w:rPr>
              <w:t>（2023年度）</w:t>
            </w:r>
          </w:p>
        </w:tc>
      </w:tr>
    </w:tbl>
    <w:p w14:paraId="1D6195B7">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outlineLvl w:val="9"/>
        <w:rPr>
          <w:rFonts w:hint="default" w:ascii="Times New Roman" w:hAnsi="Times New Roman" w:eastAsia="方正小标宋简体" w:cs="Times New Roman"/>
          <w:i w:val="0"/>
          <w:color w:val="000000"/>
          <w:kern w:val="0"/>
          <w:sz w:val="44"/>
          <w:szCs w:val="44"/>
          <w:u w:val="none"/>
          <w:lang w:val="en-US" w:eastAsia="zh-CN" w:bidi="ar"/>
        </w:rPr>
      </w:pPr>
    </w:p>
    <w:tbl>
      <w:tblPr>
        <w:tblStyle w:val="13"/>
        <w:tblW w:w="137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0"/>
        <w:gridCol w:w="1845"/>
        <w:gridCol w:w="1845"/>
        <w:gridCol w:w="3854"/>
        <w:gridCol w:w="868"/>
        <w:gridCol w:w="1120"/>
        <w:gridCol w:w="962"/>
        <w:gridCol w:w="750"/>
        <w:gridCol w:w="1013"/>
      </w:tblGrid>
      <w:tr w14:paraId="3B84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727" w:type="dxa"/>
            <w:gridSpan w:val="9"/>
            <w:tcBorders>
              <w:top w:val="nil"/>
              <w:left w:val="nil"/>
              <w:bottom w:val="single" w:color="000000" w:sz="4" w:space="0"/>
              <w:right w:val="nil"/>
            </w:tcBorders>
            <w:shd w:val="clear" w:color="auto" w:fill="auto"/>
            <w:vAlign w:val="center"/>
          </w:tcPr>
          <w:p w14:paraId="50E5C85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29F2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B8051">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部门名称</w:t>
            </w:r>
          </w:p>
        </w:tc>
        <w:tc>
          <w:tcPr>
            <w:tcW w:w="8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C45B1D">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大竹县青年路幼儿园部门</w:t>
            </w:r>
          </w:p>
        </w:tc>
      </w:tr>
      <w:tr w14:paraId="1160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92F3B">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年度部门整体支出预算</w:t>
            </w:r>
          </w:p>
          <w:p w14:paraId="209A5B13">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5A1C1">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资金总额</w:t>
            </w:r>
          </w:p>
        </w:tc>
        <w:tc>
          <w:tcPr>
            <w:tcW w:w="4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B950D">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财政拨款</w:t>
            </w:r>
          </w:p>
        </w:tc>
        <w:tc>
          <w:tcPr>
            <w:tcW w:w="3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E081FB">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其他资金</w:t>
            </w:r>
          </w:p>
        </w:tc>
      </w:tr>
      <w:tr w14:paraId="3932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40132">
            <w:pPr>
              <w:jc w:val="center"/>
              <w:rPr>
                <w:rFonts w:hint="eastAsia" w:ascii="宋体" w:hAnsi="宋体" w:eastAsia="宋体" w:cs="宋体"/>
                <w:i w:val="0"/>
                <w:iCs w:val="0"/>
                <w:color w:val="000000"/>
                <w:sz w:val="18"/>
                <w:szCs w:val="18"/>
                <w:u w:val="none"/>
              </w:rPr>
            </w:pP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AA0FC">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261.25</w:t>
            </w:r>
          </w:p>
        </w:tc>
        <w:tc>
          <w:tcPr>
            <w:tcW w:w="4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743E4">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261.25</w:t>
            </w:r>
            <w:bookmarkStart w:id="107" w:name="_GoBack"/>
            <w:bookmarkEnd w:id="107"/>
          </w:p>
        </w:tc>
        <w:tc>
          <w:tcPr>
            <w:tcW w:w="38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A942F6">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tr w14:paraId="3153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C4A7">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年度总体目标</w:t>
            </w:r>
          </w:p>
        </w:tc>
        <w:tc>
          <w:tcPr>
            <w:tcW w:w="122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0D4882">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在收支预算内确保完成以下目标：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目标1：加强教师队伍建设，2023年对教师、保育教师进行专业能力提升培训。</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目标2：提升园区品味，改善办学条件，优化校园环境。</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目标3：加强党建工作，争取尽快成立党支部，充分发挥党员先锋模范作用。</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目标4：科学合理安排幼儿一日活动，丰富幼儿学习生活，促进幼儿身心健康发展。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目标5：加强园资产管理，及时添置办公教学设施设备。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目标6：开展家园互动活动，促进家园沟通，办好家长满意的幼儿教育。</w:t>
            </w:r>
          </w:p>
        </w:tc>
      </w:tr>
      <w:tr w14:paraId="66CC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E5893">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年度主要任务</w:t>
            </w:r>
          </w:p>
          <w:p w14:paraId="688C4081">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31516">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任务名称</w:t>
            </w:r>
          </w:p>
        </w:tc>
        <w:tc>
          <w:tcPr>
            <w:tcW w:w="8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489845">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主要内容</w:t>
            </w:r>
          </w:p>
        </w:tc>
      </w:tr>
      <w:tr w14:paraId="1A43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1B9B9">
            <w:pPr>
              <w:jc w:val="center"/>
              <w:rPr>
                <w:rFonts w:hint="eastAsia" w:ascii="宋体" w:hAnsi="宋体" w:eastAsia="宋体" w:cs="宋体"/>
                <w:i w:val="0"/>
                <w:iCs w:val="0"/>
                <w:color w:val="000000"/>
                <w:sz w:val="18"/>
                <w:szCs w:val="18"/>
                <w:u w:val="none"/>
              </w:rPr>
            </w:pP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B0C7E">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1.完成保育和教育任务</w:t>
            </w:r>
          </w:p>
        </w:tc>
        <w:tc>
          <w:tcPr>
            <w:tcW w:w="8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D0F86D">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坚持保育和教育相结合原则，对幼儿实施德、智、体、美诸方面全面发展的教育，培养儿童的良好生活习惯，促进儿童身心健康发展。</w:t>
            </w:r>
          </w:p>
        </w:tc>
      </w:tr>
      <w:tr w14:paraId="22603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BE508">
            <w:pPr>
              <w:jc w:val="center"/>
              <w:rPr>
                <w:rFonts w:hint="eastAsia" w:ascii="宋体" w:hAnsi="宋体" w:eastAsia="宋体" w:cs="宋体"/>
                <w:i w:val="0"/>
                <w:iCs w:val="0"/>
                <w:color w:val="000000"/>
                <w:sz w:val="18"/>
                <w:szCs w:val="18"/>
                <w:u w:val="none"/>
              </w:rPr>
            </w:pP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4BC15">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2，改善办学条件,扩加两个班</w:t>
            </w:r>
          </w:p>
        </w:tc>
        <w:tc>
          <w:tcPr>
            <w:tcW w:w="8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49F034">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对校园教室的改造，活动区域改造及相关设施设备。</w:t>
            </w:r>
          </w:p>
        </w:tc>
      </w:tr>
      <w:tr w14:paraId="6024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5014A">
            <w:pPr>
              <w:jc w:val="center"/>
              <w:rPr>
                <w:rFonts w:hint="eastAsia" w:ascii="宋体" w:hAnsi="宋体" w:eastAsia="宋体" w:cs="宋体"/>
                <w:i w:val="0"/>
                <w:iCs w:val="0"/>
                <w:color w:val="000000"/>
                <w:sz w:val="18"/>
                <w:szCs w:val="18"/>
                <w:u w:val="none"/>
              </w:rPr>
            </w:pP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06790">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3.提高临聘教师的幸福感</w:t>
            </w:r>
          </w:p>
        </w:tc>
        <w:tc>
          <w:tcPr>
            <w:tcW w:w="8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9F0B75">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保障临聘教师的工资，增加社保保障，提高幸福感和获得感。</w:t>
            </w:r>
          </w:p>
        </w:tc>
      </w:tr>
      <w:tr w14:paraId="0FABE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15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D314">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一级指标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DD77">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二级指标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E521">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三级指标</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F081">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绩效指标性质</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978F">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绩效指标值</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35AB">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绩效度量单位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3A1F">
            <w:pPr>
              <w:keepNext w:val="0"/>
              <w:keepLines w:val="0"/>
              <w:widowControl/>
              <w:suppressLineNumbers w:val="0"/>
              <w:jc w:val="both"/>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权重</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84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67C65E22">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指标值</w:t>
            </w:r>
          </w:p>
        </w:tc>
      </w:tr>
      <w:tr w14:paraId="4412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36070">
            <w:pPr>
              <w:jc w:val="center"/>
              <w:rPr>
                <w:rFonts w:hint="eastAsia" w:ascii="宋体" w:hAnsi="宋体" w:eastAsia="宋体" w:cs="宋体"/>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45ADE">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产出指标</w:t>
            </w:r>
          </w:p>
          <w:p w14:paraId="1C55CFBC">
            <w:pPr>
              <w:keepNext w:val="0"/>
              <w:keepLines w:val="0"/>
              <w:widowControl/>
              <w:suppressLineNumbers w:val="0"/>
              <w:jc w:val="left"/>
              <w:textAlignment w:val="center"/>
              <w:rPr>
                <w:rFonts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BF3B">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数量指标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CFF4">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全体教职工培训</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58BC">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5488">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AD7E">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CBBD">
            <w:pPr>
              <w:keepNext w:val="0"/>
              <w:keepLines w:val="0"/>
              <w:widowControl/>
              <w:suppressLineNumbers w:val="0"/>
              <w:jc w:val="both"/>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7D49">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40人</w:t>
            </w:r>
          </w:p>
        </w:tc>
      </w:tr>
      <w:tr w14:paraId="795E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A8906">
            <w:pPr>
              <w:jc w:val="center"/>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A715F">
            <w:pPr>
              <w:jc w:val="left"/>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50D7">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质量指标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A016">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过程性资料的规范积累</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1ABC">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9133">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111C">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0CC5">
            <w:pPr>
              <w:keepNext w:val="0"/>
              <w:keepLines w:val="0"/>
              <w:widowControl/>
              <w:suppressLineNumbers w:val="0"/>
              <w:jc w:val="both"/>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F17A">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98%</w:t>
            </w:r>
          </w:p>
        </w:tc>
      </w:tr>
      <w:tr w14:paraId="6D00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2A928">
            <w:pPr>
              <w:jc w:val="center"/>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25F03">
            <w:pPr>
              <w:jc w:val="left"/>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3E37">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时效指标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DADF">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开展各种常规丰富多彩的活动</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1BC1">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5BC5">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3F52">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9C4B">
            <w:pPr>
              <w:keepNext w:val="0"/>
              <w:keepLines w:val="0"/>
              <w:widowControl/>
              <w:suppressLineNumbers w:val="0"/>
              <w:jc w:val="both"/>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F99F">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11</w:t>
            </w:r>
          </w:p>
        </w:tc>
      </w:tr>
      <w:tr w14:paraId="74460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67B2B">
            <w:pPr>
              <w:jc w:val="center"/>
              <w:rPr>
                <w:rFonts w:hint="eastAsia" w:ascii="宋体" w:hAnsi="宋体" w:eastAsia="宋体" w:cs="宋体"/>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0A453">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效益指标</w:t>
            </w:r>
          </w:p>
          <w:p w14:paraId="6F53C5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7DA6">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社会效益指标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A4DA">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幼儿全面发展、促进幼儿身心健康发展</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FCA3">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597E">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EC35">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AF60">
            <w:pPr>
              <w:keepNext w:val="0"/>
              <w:keepLines w:val="0"/>
              <w:widowControl/>
              <w:suppressLineNumbers w:val="0"/>
              <w:jc w:val="both"/>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0BB4">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98%</w:t>
            </w:r>
          </w:p>
        </w:tc>
      </w:tr>
      <w:tr w14:paraId="718B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8934B">
            <w:pPr>
              <w:jc w:val="center"/>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0E34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4023">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服务对象满意度指标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CAFD">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家长及教职工满意度</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5DA2">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40A6">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D49B">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A784">
            <w:pPr>
              <w:keepNext w:val="0"/>
              <w:keepLines w:val="0"/>
              <w:widowControl/>
              <w:suppressLineNumbers w:val="0"/>
              <w:jc w:val="both"/>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B439">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98%</w:t>
            </w:r>
          </w:p>
        </w:tc>
      </w:tr>
    </w:tbl>
    <w:p w14:paraId="277B6100">
      <w:pPr>
        <w:pStyle w:val="6"/>
        <w:spacing w:before="93"/>
        <w:rPr>
          <w:rFonts w:hAnsi="Calibri" w:cs="仿宋"/>
          <w:sz w:val="32"/>
          <w:szCs w:val="32"/>
        </w:rPr>
      </w:pPr>
    </w:p>
    <w:p w14:paraId="6249B8A0">
      <w:pPr>
        <w:numPr>
          <w:ilvl w:val="0"/>
          <w:numId w:val="0"/>
        </w:numPr>
        <w:spacing w:line="600" w:lineRule="exact"/>
        <w:ind w:leftChars="0"/>
        <w:jc w:val="both"/>
        <w:outlineLvl w:val="0"/>
        <w:rPr>
          <w:rStyle w:val="25"/>
          <w:rFonts w:hint="eastAsia" w:ascii="黑体" w:hAnsi="黑体" w:eastAsia="黑体"/>
          <w:b w:val="0"/>
          <w:color w:val="auto"/>
          <w:highlight w:val="none"/>
        </w:rPr>
      </w:pPr>
    </w:p>
    <w:p w14:paraId="03FC16D1">
      <w:pPr>
        <w:numPr>
          <w:ilvl w:val="0"/>
          <w:numId w:val="0"/>
        </w:numPr>
        <w:spacing w:line="600" w:lineRule="exact"/>
        <w:ind w:leftChars="0"/>
        <w:jc w:val="both"/>
        <w:outlineLvl w:val="0"/>
        <w:rPr>
          <w:rStyle w:val="25"/>
          <w:rFonts w:hint="eastAsia" w:ascii="黑体" w:hAnsi="黑体" w:eastAsia="黑体"/>
          <w:b w:val="0"/>
          <w:color w:val="auto"/>
          <w:highlight w:val="none"/>
        </w:rPr>
      </w:pPr>
    </w:p>
    <w:p w14:paraId="45632FB2">
      <w:pPr>
        <w:numPr>
          <w:ilvl w:val="0"/>
          <w:numId w:val="0"/>
        </w:numPr>
        <w:spacing w:line="600" w:lineRule="exact"/>
        <w:ind w:leftChars="0"/>
        <w:jc w:val="both"/>
        <w:outlineLvl w:val="0"/>
        <w:rPr>
          <w:rStyle w:val="25"/>
          <w:rFonts w:hint="eastAsia" w:ascii="黑体" w:hAnsi="黑体" w:eastAsia="黑体"/>
          <w:b w:val="0"/>
          <w:color w:val="auto"/>
          <w:highlight w:val="none"/>
        </w:rPr>
      </w:pPr>
    </w:p>
    <w:tbl>
      <w:tblPr>
        <w:tblStyle w:val="13"/>
        <w:tblW w:w="1383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1868"/>
        <w:gridCol w:w="1610"/>
        <w:gridCol w:w="2057"/>
        <w:gridCol w:w="480"/>
        <w:gridCol w:w="1526"/>
        <w:gridCol w:w="480"/>
        <w:gridCol w:w="1002"/>
        <w:gridCol w:w="486"/>
        <w:gridCol w:w="486"/>
        <w:gridCol w:w="3208"/>
      </w:tblGrid>
      <w:tr w14:paraId="7827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8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8E96261">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8CFD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B55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6F34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51172423T000008001049-校舍维修改造</w:t>
            </w:r>
          </w:p>
        </w:tc>
      </w:tr>
      <w:tr w14:paraId="7015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D99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DE70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大竹县青年路幼儿园部门</w:t>
            </w:r>
          </w:p>
        </w:tc>
        <w:tc>
          <w:tcPr>
            <w:tcW w:w="1002" w:type="dxa"/>
            <w:tcBorders>
              <w:top w:val="nil"/>
              <w:left w:val="nil"/>
              <w:bottom w:val="nil"/>
              <w:right w:val="nil"/>
            </w:tcBorders>
            <w:shd w:val="clear" w:color="auto" w:fill="auto"/>
            <w:vAlign w:val="center"/>
          </w:tcPr>
          <w:p w14:paraId="3412EC3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8FF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大竹县青年路幼儿园</w:t>
            </w:r>
          </w:p>
        </w:tc>
      </w:tr>
      <w:tr w14:paraId="630B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CE4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172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585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5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9C5BB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111B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92A61">
            <w:pPr>
              <w:rPr>
                <w:rFonts w:hint="eastAsia" w:ascii="宋体" w:hAnsi="宋体" w:eastAsia="宋体" w:cs="宋体"/>
                <w:i w:val="0"/>
                <w:iCs w:val="0"/>
                <w:color w:val="000000"/>
                <w:sz w:val="18"/>
                <w:szCs w:val="18"/>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6CB2F">
            <w:pPr>
              <w:rPr>
                <w:rFonts w:hint="eastAsia" w:ascii="宋体" w:hAnsi="宋体" w:eastAsia="宋体" w:cs="宋体"/>
                <w:i w:val="0"/>
                <w:iCs w:val="0"/>
                <w:color w:val="000000"/>
                <w:sz w:val="18"/>
                <w:szCs w:val="18"/>
                <w:u w:val="none"/>
              </w:rPr>
            </w:pPr>
          </w:p>
        </w:tc>
        <w:tc>
          <w:tcPr>
            <w:tcW w:w="6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0726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解决当前存在的设施设备问题，更好为师生创设环境。</w:t>
            </w:r>
          </w:p>
        </w:tc>
        <w:tc>
          <w:tcPr>
            <w:tcW w:w="5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73C0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解决当前存在的设施设备问题，更好为师生创设环境。</w:t>
            </w:r>
          </w:p>
        </w:tc>
      </w:tr>
      <w:tr w14:paraId="6B369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06EDF">
            <w:pP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12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A25C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校舍维修改造</w:t>
            </w:r>
          </w:p>
        </w:tc>
      </w:tr>
      <w:tr w14:paraId="50B0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21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F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3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5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81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0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5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1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6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9D8D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74A1B">
            <w:pPr>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9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3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A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3.31</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BB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3.31</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E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1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B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1701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项目资金指标追加</w:t>
            </w:r>
          </w:p>
        </w:tc>
      </w:tr>
      <w:tr w14:paraId="6907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84700">
            <w:pPr>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D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6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5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3.31</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B13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3.31</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9B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7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6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871B3">
            <w:pPr>
              <w:rPr>
                <w:rFonts w:hint="eastAsia" w:ascii="黑体" w:hAnsi="黑体" w:eastAsia="黑体" w:cs="黑体"/>
                <w:i w:val="0"/>
                <w:iCs w:val="0"/>
                <w:color w:val="000000"/>
                <w:sz w:val="18"/>
                <w:szCs w:val="18"/>
                <w:u w:val="none"/>
              </w:rPr>
            </w:pPr>
          </w:p>
        </w:tc>
      </w:tr>
      <w:tr w14:paraId="1775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DBC9C">
            <w:pPr>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6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5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0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15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2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7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3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775BF">
            <w:pPr>
              <w:rPr>
                <w:rFonts w:hint="eastAsia" w:ascii="黑体" w:hAnsi="黑体" w:eastAsia="黑体" w:cs="黑体"/>
                <w:i w:val="0"/>
                <w:iCs w:val="0"/>
                <w:color w:val="000000"/>
                <w:sz w:val="18"/>
                <w:szCs w:val="18"/>
                <w:u w:val="none"/>
              </w:rPr>
            </w:pPr>
          </w:p>
        </w:tc>
      </w:tr>
      <w:tr w14:paraId="4E62B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29E50">
            <w:pPr>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9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B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C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DB4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F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D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4C3C8">
            <w:pPr>
              <w:rPr>
                <w:rFonts w:hint="eastAsia" w:ascii="黑体" w:hAnsi="黑体" w:eastAsia="黑体" w:cs="黑体"/>
                <w:i w:val="0"/>
                <w:iCs w:val="0"/>
                <w:color w:val="000000"/>
                <w:sz w:val="18"/>
                <w:szCs w:val="18"/>
                <w:u w:val="none"/>
              </w:rPr>
            </w:pPr>
          </w:p>
        </w:tc>
      </w:tr>
      <w:tr w14:paraId="1FEB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F8798">
            <w:pPr>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A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429E">
            <w:pPr>
              <w:jc w:val="center"/>
              <w:rPr>
                <w:rFonts w:hint="eastAsia" w:ascii="微软雅黑" w:hAnsi="微软雅黑" w:eastAsia="微软雅黑" w:cs="微软雅黑"/>
                <w:i/>
                <w:iCs/>
                <w:color w:val="000000"/>
                <w:sz w:val="16"/>
                <w:szCs w:val="16"/>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78D9">
            <w:pPr>
              <w:jc w:val="center"/>
              <w:rPr>
                <w:rFonts w:hint="eastAsia" w:ascii="微软雅黑" w:hAnsi="微软雅黑" w:eastAsia="微软雅黑" w:cs="微软雅黑"/>
                <w:i/>
                <w:iCs/>
                <w:color w:val="000000"/>
                <w:sz w:val="16"/>
                <w:szCs w:val="16"/>
                <w:u w:val="none"/>
              </w:rPr>
            </w:pP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19B01">
            <w:pPr>
              <w:jc w:val="center"/>
              <w:rPr>
                <w:rFonts w:hint="eastAsia" w:ascii="微软雅黑" w:hAnsi="微软雅黑"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02F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A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9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174A2">
            <w:pPr>
              <w:rPr>
                <w:rFonts w:hint="eastAsia" w:ascii="黑体" w:hAnsi="黑体" w:eastAsia="黑体" w:cs="黑体"/>
                <w:i w:val="0"/>
                <w:iCs w:val="0"/>
                <w:color w:val="000000"/>
                <w:sz w:val="18"/>
                <w:szCs w:val="18"/>
                <w:u w:val="none"/>
              </w:rPr>
            </w:pPr>
          </w:p>
        </w:tc>
      </w:tr>
      <w:tr w14:paraId="0336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8D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6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8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5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D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2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D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1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A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B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5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565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ACC5B">
            <w:pPr>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B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B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4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改造的具体措施</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8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5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7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1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E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8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CEF8">
            <w:pPr>
              <w:jc w:val="center"/>
              <w:rPr>
                <w:rFonts w:hint="eastAsia" w:ascii="微软雅黑" w:hAnsi="微软雅黑" w:eastAsia="微软雅黑" w:cs="微软雅黑"/>
                <w:i/>
                <w:iCs/>
                <w:color w:val="000000"/>
                <w:sz w:val="16"/>
                <w:szCs w:val="16"/>
                <w:u w:val="none"/>
              </w:rPr>
            </w:pPr>
          </w:p>
        </w:tc>
      </w:tr>
      <w:tr w14:paraId="18C13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CBD88">
            <w:pPr>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4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F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B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解决存在的问题</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9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5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0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4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9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B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1896">
            <w:pPr>
              <w:jc w:val="center"/>
              <w:rPr>
                <w:rFonts w:hint="eastAsia" w:ascii="微软雅黑" w:hAnsi="微软雅黑" w:eastAsia="微软雅黑" w:cs="微软雅黑"/>
                <w:i/>
                <w:iCs/>
                <w:color w:val="000000"/>
                <w:sz w:val="16"/>
                <w:szCs w:val="16"/>
                <w:u w:val="none"/>
              </w:rPr>
            </w:pPr>
          </w:p>
        </w:tc>
      </w:tr>
      <w:tr w14:paraId="5BD39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3E13A">
            <w:pPr>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8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7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2C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师生的满意度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6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2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3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A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6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F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33C1">
            <w:pPr>
              <w:jc w:val="center"/>
              <w:rPr>
                <w:rFonts w:hint="eastAsia" w:ascii="微软雅黑" w:hAnsi="微软雅黑" w:eastAsia="微软雅黑" w:cs="微软雅黑"/>
                <w:i/>
                <w:iCs/>
                <w:color w:val="000000"/>
                <w:sz w:val="16"/>
                <w:szCs w:val="16"/>
                <w:u w:val="none"/>
              </w:rPr>
            </w:pPr>
          </w:p>
        </w:tc>
      </w:tr>
      <w:tr w14:paraId="2018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3CC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C7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0D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9427">
            <w:pPr>
              <w:rPr>
                <w:rFonts w:hint="eastAsia" w:ascii="宋体" w:hAnsi="宋体" w:eastAsia="宋体" w:cs="宋体"/>
                <w:i w:val="0"/>
                <w:iCs w:val="0"/>
                <w:color w:val="000000"/>
                <w:sz w:val="18"/>
                <w:szCs w:val="18"/>
                <w:u w:val="none"/>
              </w:rPr>
            </w:pPr>
          </w:p>
        </w:tc>
      </w:tr>
      <w:tr w14:paraId="2286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5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20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E97604">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4103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0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20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A1C59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245A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F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20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C3C3A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6A91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56FE1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项目负责人：唐天香</w:t>
            </w:r>
          </w:p>
        </w:tc>
        <w:tc>
          <w:tcPr>
            <w:tcW w:w="71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C7235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财务负责人：王庆曜</w:t>
            </w:r>
          </w:p>
        </w:tc>
      </w:tr>
    </w:tbl>
    <w:p w14:paraId="27DBD55F">
      <w:pPr>
        <w:numPr>
          <w:ilvl w:val="0"/>
          <w:numId w:val="0"/>
        </w:numPr>
        <w:spacing w:line="600" w:lineRule="exact"/>
        <w:ind w:leftChars="0"/>
        <w:jc w:val="both"/>
        <w:outlineLvl w:val="0"/>
        <w:rPr>
          <w:rStyle w:val="25"/>
          <w:rFonts w:hint="eastAsia" w:ascii="黑体" w:hAnsi="黑体" w:eastAsia="黑体"/>
          <w:b w:val="0"/>
          <w:color w:val="auto"/>
          <w:highlight w:val="none"/>
        </w:rPr>
        <w:sectPr>
          <w:footerReference r:id="rId9" w:type="first"/>
          <w:footerReference r:id="rId8" w:type="default"/>
          <w:pgSz w:w="16838" w:h="11906" w:orient="landscape"/>
          <w:pgMar w:top="1800" w:right="1440" w:bottom="1800" w:left="1440" w:header="851" w:footer="992" w:gutter="0"/>
          <w:pgNumType w:fmt="decimal"/>
          <w:cols w:space="425" w:num="1"/>
          <w:titlePg/>
          <w:docGrid w:type="lines" w:linePitch="312" w:charSpace="0"/>
        </w:sectPr>
      </w:pPr>
    </w:p>
    <w:p w14:paraId="5AD97AA7">
      <w:pPr>
        <w:numPr>
          <w:ilvl w:val="0"/>
          <w:numId w:val="0"/>
        </w:numPr>
        <w:spacing w:line="600" w:lineRule="exact"/>
        <w:ind w:leftChars="0"/>
        <w:jc w:val="both"/>
        <w:outlineLvl w:val="0"/>
        <w:rPr>
          <w:rStyle w:val="25"/>
          <w:rFonts w:hint="eastAsia" w:ascii="黑体" w:hAnsi="黑体" w:eastAsia="黑体"/>
          <w:b w:val="0"/>
          <w:color w:val="auto"/>
          <w:highlight w:val="none"/>
        </w:rPr>
      </w:pPr>
    </w:p>
    <w:p w14:paraId="4ECFFFF2">
      <w:pPr>
        <w:pStyle w:val="2"/>
        <w:bidi w:val="0"/>
        <w:jc w:val="center"/>
        <w:rPr>
          <w:rFonts w:hint="eastAsia" w:ascii="黑体" w:hAnsi="黑体" w:eastAsia="黑体" w:cs="黑体"/>
        </w:rPr>
      </w:pPr>
      <w:r>
        <w:rPr>
          <w:rFonts w:hint="eastAsia" w:ascii="仿宋_GB2312" w:hAnsi="Calibri" w:eastAsia="仿宋_GB2312" w:cs="仿宋"/>
          <w:color w:val="auto"/>
          <w:kern w:val="0"/>
          <w:sz w:val="32"/>
          <w:szCs w:val="32"/>
          <w:lang w:val="en-US" w:eastAsia="zh-CN"/>
        </w:rPr>
        <w:t xml:space="preserve">     </w:t>
      </w:r>
      <w:bookmarkStart w:id="93" w:name="_Toc4853"/>
      <w:r>
        <w:rPr>
          <w:rFonts w:hint="eastAsia" w:ascii="黑体" w:hAnsi="黑体" w:eastAsia="黑体" w:cs="黑体"/>
        </w:rPr>
        <w:t>第五部分 附表</w:t>
      </w:r>
      <w:bookmarkEnd w:id="93"/>
    </w:p>
    <w:p w14:paraId="6C81A30F">
      <w:pPr>
        <w:pStyle w:val="3"/>
        <w:bidi w:val="0"/>
        <w:rPr>
          <w:b w:val="0"/>
          <w:bCs w:val="0"/>
        </w:rPr>
      </w:pPr>
      <w:bookmarkStart w:id="94" w:name="_Toc14566"/>
      <w:r>
        <w:rPr>
          <w:rFonts w:hint="eastAsia"/>
          <w:b w:val="0"/>
          <w:bCs w:val="0"/>
        </w:rPr>
        <w:t>一、收入支出决算总表</w:t>
      </w:r>
      <w:bookmarkEnd w:id="94"/>
    </w:p>
    <w:p w14:paraId="7992DFB3">
      <w:pPr>
        <w:pStyle w:val="3"/>
        <w:bidi w:val="0"/>
        <w:rPr>
          <w:b w:val="0"/>
          <w:bCs w:val="0"/>
        </w:rPr>
      </w:pPr>
      <w:bookmarkStart w:id="95" w:name="_Toc7011"/>
      <w:r>
        <w:rPr>
          <w:rFonts w:hint="eastAsia"/>
          <w:b w:val="0"/>
          <w:bCs w:val="0"/>
        </w:rPr>
        <w:t>二、收入决算表</w:t>
      </w:r>
      <w:bookmarkEnd w:id="95"/>
    </w:p>
    <w:p w14:paraId="3C9A995A">
      <w:pPr>
        <w:pStyle w:val="3"/>
        <w:bidi w:val="0"/>
        <w:rPr>
          <w:b w:val="0"/>
          <w:bCs w:val="0"/>
        </w:rPr>
      </w:pPr>
      <w:bookmarkStart w:id="96" w:name="_Toc25739"/>
      <w:r>
        <w:rPr>
          <w:rFonts w:hint="eastAsia"/>
          <w:b w:val="0"/>
          <w:bCs w:val="0"/>
        </w:rPr>
        <w:t>三、支出决算表</w:t>
      </w:r>
      <w:bookmarkEnd w:id="96"/>
    </w:p>
    <w:p w14:paraId="0B5CA112">
      <w:pPr>
        <w:pStyle w:val="3"/>
        <w:bidi w:val="0"/>
        <w:rPr>
          <w:b w:val="0"/>
          <w:bCs w:val="0"/>
        </w:rPr>
      </w:pPr>
      <w:bookmarkStart w:id="97" w:name="_Toc14760"/>
      <w:r>
        <w:rPr>
          <w:rFonts w:hint="eastAsia"/>
          <w:b w:val="0"/>
          <w:bCs w:val="0"/>
        </w:rPr>
        <w:t>四、财政拨款收入支出决算总表</w:t>
      </w:r>
      <w:bookmarkEnd w:id="97"/>
    </w:p>
    <w:p w14:paraId="74567E8A">
      <w:pPr>
        <w:pStyle w:val="3"/>
        <w:bidi w:val="0"/>
        <w:rPr>
          <w:b w:val="0"/>
          <w:bCs w:val="0"/>
        </w:rPr>
      </w:pPr>
      <w:bookmarkStart w:id="98" w:name="_Toc24894"/>
      <w:r>
        <w:rPr>
          <w:rFonts w:hint="eastAsia"/>
          <w:b w:val="0"/>
          <w:bCs w:val="0"/>
        </w:rPr>
        <w:t>五、财政拨款支出决算明细表</w:t>
      </w:r>
      <w:bookmarkEnd w:id="98"/>
    </w:p>
    <w:p w14:paraId="3666343A">
      <w:pPr>
        <w:pStyle w:val="3"/>
        <w:bidi w:val="0"/>
        <w:rPr>
          <w:b w:val="0"/>
          <w:bCs w:val="0"/>
        </w:rPr>
      </w:pPr>
      <w:bookmarkStart w:id="99" w:name="_Toc2983"/>
      <w:r>
        <w:rPr>
          <w:rFonts w:hint="eastAsia"/>
          <w:b w:val="0"/>
          <w:bCs w:val="0"/>
        </w:rPr>
        <w:t>六、一般公共预算财政拨款支出决算表</w:t>
      </w:r>
      <w:bookmarkEnd w:id="99"/>
    </w:p>
    <w:p w14:paraId="43594D70">
      <w:pPr>
        <w:pStyle w:val="3"/>
        <w:bidi w:val="0"/>
        <w:rPr>
          <w:b w:val="0"/>
          <w:bCs w:val="0"/>
        </w:rPr>
      </w:pPr>
      <w:bookmarkStart w:id="100" w:name="_Toc10016"/>
      <w:r>
        <w:rPr>
          <w:rFonts w:hint="eastAsia"/>
          <w:b w:val="0"/>
          <w:bCs w:val="0"/>
        </w:rPr>
        <w:t>七、一般公共预算财政拨款支出决算明细表</w:t>
      </w:r>
      <w:bookmarkEnd w:id="100"/>
    </w:p>
    <w:p w14:paraId="6B9E5DE4">
      <w:pPr>
        <w:pStyle w:val="3"/>
        <w:bidi w:val="0"/>
        <w:rPr>
          <w:b w:val="0"/>
          <w:bCs w:val="0"/>
        </w:rPr>
      </w:pPr>
      <w:bookmarkStart w:id="101" w:name="_Toc18956"/>
      <w:r>
        <w:rPr>
          <w:rFonts w:hint="eastAsia"/>
          <w:b w:val="0"/>
          <w:bCs w:val="0"/>
        </w:rPr>
        <w:t>八、一般公共预算财政拨款基本支出决算表</w:t>
      </w:r>
      <w:bookmarkEnd w:id="101"/>
    </w:p>
    <w:p w14:paraId="22B4E02E">
      <w:pPr>
        <w:pStyle w:val="3"/>
        <w:bidi w:val="0"/>
        <w:rPr>
          <w:rFonts w:ascii="仿宋" w:hAnsi="仿宋" w:eastAsia="仿宋"/>
          <w:b w:val="0"/>
          <w:bCs w:val="0"/>
          <w:color w:val="auto"/>
          <w:highlight w:val="none"/>
        </w:rPr>
      </w:pPr>
      <w:bookmarkStart w:id="102" w:name="_Toc28911"/>
      <w:r>
        <w:rPr>
          <w:rFonts w:hint="eastAsia"/>
          <w:b w:val="0"/>
          <w:bCs w:val="0"/>
        </w:rPr>
        <w:t>九、一般公共预算财政拨款项目支出决算表</w:t>
      </w:r>
      <w:bookmarkEnd w:id="102"/>
    </w:p>
    <w:p w14:paraId="6E37D006">
      <w:pPr>
        <w:pStyle w:val="3"/>
        <w:bidi w:val="0"/>
        <w:rPr>
          <w:b w:val="0"/>
          <w:bCs w:val="0"/>
        </w:rPr>
      </w:pPr>
      <w:bookmarkStart w:id="103" w:name="_Toc15937"/>
      <w:r>
        <w:rPr>
          <w:rFonts w:hint="eastAsia"/>
          <w:b w:val="0"/>
          <w:bCs w:val="0"/>
        </w:rPr>
        <w:t>十、政府性基金预算财政拨款收入支出决算表</w:t>
      </w:r>
      <w:bookmarkEnd w:id="103"/>
    </w:p>
    <w:p w14:paraId="1F14B306">
      <w:pPr>
        <w:pStyle w:val="3"/>
        <w:bidi w:val="0"/>
        <w:rPr>
          <w:b w:val="0"/>
          <w:bCs w:val="0"/>
        </w:rPr>
      </w:pPr>
      <w:bookmarkStart w:id="104" w:name="_Toc32140"/>
      <w:r>
        <w:rPr>
          <w:rFonts w:hint="eastAsia"/>
          <w:b w:val="0"/>
          <w:bCs w:val="0"/>
        </w:rPr>
        <w:t>十一、国有资本经营预算</w:t>
      </w:r>
      <w:r>
        <w:rPr>
          <w:rFonts w:hint="eastAsia"/>
          <w:b w:val="0"/>
          <w:bCs w:val="0"/>
          <w:lang w:eastAsia="zh-CN"/>
        </w:rPr>
        <w:t>财政拨款收入</w:t>
      </w:r>
      <w:r>
        <w:rPr>
          <w:rFonts w:hint="eastAsia"/>
          <w:b w:val="0"/>
          <w:bCs w:val="0"/>
        </w:rPr>
        <w:t>支出决算表</w:t>
      </w:r>
      <w:bookmarkEnd w:id="104"/>
    </w:p>
    <w:p w14:paraId="782B514A">
      <w:pPr>
        <w:pStyle w:val="3"/>
        <w:bidi w:val="0"/>
        <w:rPr>
          <w:b w:val="0"/>
          <w:bCs w:val="0"/>
        </w:rPr>
      </w:pPr>
      <w:bookmarkStart w:id="105" w:name="_Toc16978"/>
      <w:r>
        <w:rPr>
          <w:rFonts w:hint="eastAsia"/>
          <w:b w:val="0"/>
          <w:bCs w:val="0"/>
        </w:rPr>
        <w:t>十二、</w:t>
      </w:r>
      <w:r>
        <w:rPr>
          <w:rFonts w:hint="eastAsia"/>
          <w:b w:val="0"/>
          <w:bCs w:val="0"/>
          <w:lang w:eastAsia="zh-CN"/>
        </w:rPr>
        <w:t>国有资本经营预算财政拨款支出决算表</w:t>
      </w:r>
      <w:bookmarkEnd w:id="105"/>
    </w:p>
    <w:p w14:paraId="52AD02C8">
      <w:pPr>
        <w:pStyle w:val="3"/>
        <w:bidi w:val="0"/>
        <w:rPr>
          <w:rFonts w:hint="default" w:eastAsia="仿宋"/>
          <w:b w:val="0"/>
          <w:bCs w:val="0"/>
          <w:color w:val="auto"/>
          <w:highlight w:val="none"/>
          <w:lang w:val="en-US" w:eastAsia="zh-CN"/>
        </w:rPr>
      </w:pPr>
      <w:bookmarkStart w:id="106" w:name="_Toc17087"/>
      <w:r>
        <w:rPr>
          <w:rFonts w:hint="eastAsia"/>
          <w:b w:val="0"/>
          <w:bCs w:val="0"/>
        </w:rPr>
        <w:t>十三、</w:t>
      </w:r>
      <w:r>
        <w:rPr>
          <w:rFonts w:hint="eastAsia"/>
          <w:b w:val="0"/>
          <w:bCs w:val="0"/>
          <w:lang w:eastAsia="zh-CN"/>
        </w:rPr>
        <w:t>财政拨款“三公”经费支出决算</w:t>
      </w:r>
      <w:bookmarkEnd w:id="106"/>
    </w:p>
    <w:sectPr>
      <w:footerReference r:id="rId11" w:type="first"/>
      <w:footerReference r:id="rId10"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3F6AD">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480B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81480B3">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4B635901">
    <w:pPr>
      <w:pStyle w:val="9"/>
    </w:pPr>
  </w:p>
  <w:p w14:paraId="3E1EEF1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5C742">
    <w:pPr>
      <w:pStyle w:val="9"/>
    </w:pPr>
  </w:p>
  <w:p w14:paraId="28531669">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9C8BD69">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cYWAzdIBAACkAwAADgAAAAAAAAABACAAAAAfAQAA&#10;ZHJzL2Uyb0RvYy54bWxQSwUGAAAAAAYABgBZAQAAYwUAAAAA&#10;">
              <v:fill on="f" focussize="0,0"/>
              <v:stroke on="f" weight="0.5pt"/>
              <v:imagedata o:title=""/>
              <o:lock v:ext="edit" aspectratio="f"/>
              <v:textbox inset="0mm,0mm,0mm,0mm" style="mso-fit-shape-to-text:t;">
                <w:txbxContent>
                  <w:p w14:paraId="79C8BD6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B55D6">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313B5C6D">
                              <w:pPr>
                                <w:pStyle w:val="9"/>
                                <w:jc w:val="center"/>
                              </w:pPr>
                              <w:r>
                                <w:fldChar w:fldCharType="begin"/>
                              </w:r>
                              <w:r>
                                <w:instrText xml:space="preserve">PAGE   \* MERGEFORMAT</w:instrText>
                              </w:r>
                              <w:r>
                                <w:fldChar w:fldCharType="separate"/>
                              </w:r>
                              <w:r>
                                <w:rPr>
                                  <w:lang w:val="zh-CN"/>
                                </w:rPr>
                                <w:t>8</w:t>
                              </w:r>
                              <w:r>
                                <w:fldChar w:fldCharType="end"/>
                              </w:r>
                            </w:p>
                          </w:sdtContent>
                        </w:sdt>
                        <w:p w14:paraId="1AAE2070">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14:paraId="313B5C6D">
                        <w:pPr>
                          <w:pStyle w:val="9"/>
                          <w:jc w:val="center"/>
                        </w:pPr>
                        <w:r>
                          <w:fldChar w:fldCharType="begin"/>
                        </w:r>
                        <w:r>
                          <w:instrText xml:space="preserve">PAGE   \* MERGEFORMAT</w:instrText>
                        </w:r>
                        <w:r>
                          <w:fldChar w:fldCharType="separate"/>
                        </w:r>
                        <w:r>
                          <w:rPr>
                            <w:lang w:val="zh-CN"/>
                          </w:rPr>
                          <w:t>8</w:t>
                        </w:r>
                        <w:r>
                          <w:fldChar w:fldCharType="end"/>
                        </w:r>
                      </w:p>
                    </w:sdtContent>
                  </w:sdt>
                  <w:p w14:paraId="1AAE2070">
                    <w:pPr>
                      <w:pStyle w:val="3"/>
                    </w:pPr>
                  </w:p>
                </w:txbxContent>
              </v:textbox>
            </v:shape>
          </w:pict>
        </mc:Fallback>
      </mc:AlternateContent>
    </w:r>
  </w:p>
  <w:p w14:paraId="6C781562">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A0209">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D933FD1">
                          <w:pPr>
                            <w:pStyle w:val="9"/>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EhVao9IBAACkAwAADgAAAAAAAAABACAAAAAfAQAA&#10;ZHJzL2Uyb0RvYy54bWxQSwUGAAAAAAYABgBZAQAAYwUAAAAA&#10;">
              <v:fill on="f" focussize="0,0"/>
              <v:stroke on="f" weight="0.5pt"/>
              <v:imagedata o:title=""/>
              <o:lock v:ext="edit" aspectratio="f"/>
              <v:textbox inset="0mm,0mm,0mm,0mm" style="mso-fit-shape-to-text:t;">
                <w:txbxContent>
                  <w:p w14:paraId="7D933FD1">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E3FA6">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1D599">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E1D599">
                    <w:pPr>
                      <w:pStyle w:val="9"/>
                    </w:pPr>
                    <w:r>
                      <w:fldChar w:fldCharType="begin"/>
                    </w:r>
                    <w:r>
                      <w:instrText xml:space="preserve"> PAGE  \* MERGEFORMAT </w:instrText>
                    </w:r>
                    <w:r>
                      <w:fldChar w:fldCharType="separate"/>
                    </w:r>
                    <w:r>
                      <w:t>16</w:t>
                    </w:r>
                    <w:r>
                      <w:fldChar w:fldCharType="end"/>
                    </w:r>
                  </w:p>
                </w:txbxContent>
              </v:textbox>
            </v:shape>
          </w:pict>
        </mc:Fallback>
      </mc:AlternateContent>
    </w:r>
  </w:p>
  <w:p w14:paraId="7715DBA0">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1F7BD">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0B057">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530B057">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9E222">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82BE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1782BEF">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3C8F3D10">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EC4C3">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64C64">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7D64C64">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7536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1272550B"/>
    <w:multiLevelType w:val="multilevel"/>
    <w:tmpl w:val="1272550B"/>
    <w:lvl w:ilvl="0" w:tentative="0">
      <w:start w:val="1"/>
      <w:numFmt w:val="japaneseCounting"/>
      <w:lvlText w:val="%1、"/>
      <w:lvlJc w:val="left"/>
      <w:pPr>
        <w:ind w:left="135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jY1MzgxMTkzZTMxM2FjZTgyNWZhNTFhN2UwOGI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755E"/>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E63874"/>
    <w:rsid w:val="01F12408"/>
    <w:rsid w:val="03701033"/>
    <w:rsid w:val="038732E2"/>
    <w:rsid w:val="038934DC"/>
    <w:rsid w:val="03DD01DF"/>
    <w:rsid w:val="053A62B5"/>
    <w:rsid w:val="098976B2"/>
    <w:rsid w:val="0A2032A3"/>
    <w:rsid w:val="0B8A37D8"/>
    <w:rsid w:val="0D9229D2"/>
    <w:rsid w:val="0DA60287"/>
    <w:rsid w:val="0EE2576A"/>
    <w:rsid w:val="10A875A6"/>
    <w:rsid w:val="10C055FF"/>
    <w:rsid w:val="10C20BDE"/>
    <w:rsid w:val="10C73010"/>
    <w:rsid w:val="118107EC"/>
    <w:rsid w:val="11DD6519"/>
    <w:rsid w:val="122819FE"/>
    <w:rsid w:val="12BD44C1"/>
    <w:rsid w:val="150060C3"/>
    <w:rsid w:val="15617D73"/>
    <w:rsid w:val="16BB723D"/>
    <w:rsid w:val="18015F3F"/>
    <w:rsid w:val="1AA74485"/>
    <w:rsid w:val="1AF8515B"/>
    <w:rsid w:val="1BE8440E"/>
    <w:rsid w:val="1D155CEE"/>
    <w:rsid w:val="1E474E95"/>
    <w:rsid w:val="206F5C5C"/>
    <w:rsid w:val="20BA367F"/>
    <w:rsid w:val="20F57F95"/>
    <w:rsid w:val="214B7908"/>
    <w:rsid w:val="21780EAA"/>
    <w:rsid w:val="23A873C5"/>
    <w:rsid w:val="240371BF"/>
    <w:rsid w:val="24BD2542"/>
    <w:rsid w:val="24EB07E0"/>
    <w:rsid w:val="25711CC6"/>
    <w:rsid w:val="25C741E6"/>
    <w:rsid w:val="26094F01"/>
    <w:rsid w:val="26365800"/>
    <w:rsid w:val="275F3C63"/>
    <w:rsid w:val="27842671"/>
    <w:rsid w:val="29FD04D3"/>
    <w:rsid w:val="2A3E027D"/>
    <w:rsid w:val="2A7A6C9B"/>
    <w:rsid w:val="2ABE7A3E"/>
    <w:rsid w:val="2BB30B26"/>
    <w:rsid w:val="2CA234A8"/>
    <w:rsid w:val="2CF5496A"/>
    <w:rsid w:val="2D90148A"/>
    <w:rsid w:val="2EFA178C"/>
    <w:rsid w:val="30B46D73"/>
    <w:rsid w:val="312A3017"/>
    <w:rsid w:val="319F7F4E"/>
    <w:rsid w:val="32C43CD3"/>
    <w:rsid w:val="330B7D6A"/>
    <w:rsid w:val="35971C6B"/>
    <w:rsid w:val="35C4416B"/>
    <w:rsid w:val="360E4D44"/>
    <w:rsid w:val="383D272C"/>
    <w:rsid w:val="397D0DF5"/>
    <w:rsid w:val="39AE70AB"/>
    <w:rsid w:val="3A420970"/>
    <w:rsid w:val="3AFA0DF0"/>
    <w:rsid w:val="3C0C0783"/>
    <w:rsid w:val="3F1E04A2"/>
    <w:rsid w:val="3F9F3A96"/>
    <w:rsid w:val="43C86A72"/>
    <w:rsid w:val="449A02C1"/>
    <w:rsid w:val="44F1020C"/>
    <w:rsid w:val="45496B33"/>
    <w:rsid w:val="47341AA2"/>
    <w:rsid w:val="476C7567"/>
    <w:rsid w:val="47810F55"/>
    <w:rsid w:val="48541F74"/>
    <w:rsid w:val="48BF60AB"/>
    <w:rsid w:val="48F5028E"/>
    <w:rsid w:val="493C27E9"/>
    <w:rsid w:val="496F39ED"/>
    <w:rsid w:val="49FF41D3"/>
    <w:rsid w:val="4B9E044E"/>
    <w:rsid w:val="4BA821F9"/>
    <w:rsid w:val="4BE068DB"/>
    <w:rsid w:val="4BF6002B"/>
    <w:rsid w:val="4D1E0E32"/>
    <w:rsid w:val="4D8E0711"/>
    <w:rsid w:val="4ECE2238"/>
    <w:rsid w:val="510C31D4"/>
    <w:rsid w:val="51C139AF"/>
    <w:rsid w:val="51DB4B86"/>
    <w:rsid w:val="51E95BE2"/>
    <w:rsid w:val="52424260"/>
    <w:rsid w:val="544705DF"/>
    <w:rsid w:val="55333C3E"/>
    <w:rsid w:val="57887D2F"/>
    <w:rsid w:val="596516D3"/>
    <w:rsid w:val="5A595311"/>
    <w:rsid w:val="5B4524D0"/>
    <w:rsid w:val="5D5A2373"/>
    <w:rsid w:val="5DB036C4"/>
    <w:rsid w:val="5DF77D84"/>
    <w:rsid w:val="5E5035ED"/>
    <w:rsid w:val="5EC23124"/>
    <w:rsid w:val="613408A1"/>
    <w:rsid w:val="616E30EF"/>
    <w:rsid w:val="64C56B94"/>
    <w:rsid w:val="64CA39A1"/>
    <w:rsid w:val="66021926"/>
    <w:rsid w:val="69630ADE"/>
    <w:rsid w:val="6A6D72B9"/>
    <w:rsid w:val="6B0D3978"/>
    <w:rsid w:val="6BAF11D1"/>
    <w:rsid w:val="6C4A05C8"/>
    <w:rsid w:val="6CCA0098"/>
    <w:rsid w:val="6D3B1A89"/>
    <w:rsid w:val="6E843F52"/>
    <w:rsid w:val="6F8248A3"/>
    <w:rsid w:val="6FC22C3B"/>
    <w:rsid w:val="70153ED5"/>
    <w:rsid w:val="71BF4EC2"/>
    <w:rsid w:val="72734D90"/>
    <w:rsid w:val="72D81796"/>
    <w:rsid w:val="730C568B"/>
    <w:rsid w:val="73B06FFE"/>
    <w:rsid w:val="73FA57E7"/>
    <w:rsid w:val="7412278C"/>
    <w:rsid w:val="74341702"/>
    <w:rsid w:val="76243ADA"/>
    <w:rsid w:val="76AA313B"/>
    <w:rsid w:val="78EB6839"/>
    <w:rsid w:val="79E7B28D"/>
    <w:rsid w:val="7A1403B0"/>
    <w:rsid w:val="7C8B28DF"/>
    <w:rsid w:val="7D3A0B7E"/>
    <w:rsid w:val="7E546F93"/>
    <w:rsid w:val="7E582E4A"/>
    <w:rsid w:val="7F1B620C"/>
    <w:rsid w:val="7F502128"/>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ascii="Times New Roman" w:hAnsi="Times New Roman" w:eastAsia="黑体"/>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eastAsia="黑体"/>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2023</a:t>
            </a:r>
            <a:r>
              <a:rPr altLang="en-US"/>
              <a:t>年收、支决算变动表</a:t>
            </a:r>
            <a:r>
              <a:rPr lang="en-US" altLang="zh-CN"/>
              <a:t>                        </a:t>
            </a:r>
            <a:r>
              <a:rPr altLang="en-US"/>
              <a:t>单位：万元</a:t>
            </a:r>
            <a:endParaRPr lang="en-US" altLang="zh-CN"/>
          </a:p>
        </c:rich>
      </c:tx>
      <c:layout>
        <c:manualLayout>
          <c:xMode val="edge"/>
          <c:yMode val="edge"/>
          <c:x val="0.213698961101715"/>
          <c:y val="0.0212494687632809"/>
        </c:manualLayout>
      </c:layout>
      <c:overlay val="0"/>
      <c:spPr>
        <a:noFill/>
        <a:ln>
          <a:noFill/>
        </a:ln>
        <a:effectLst/>
      </c:spPr>
    </c:title>
    <c:autoTitleDeleted val="0"/>
    <c:plotArea>
      <c:layout>
        <c:manualLayout>
          <c:layoutTarget val="inner"/>
          <c:xMode val="edge"/>
          <c:yMode val="edge"/>
          <c:x val="0.0442860594346461"/>
          <c:y val="0.161920951976201"/>
          <c:w val="0.930345494080696"/>
          <c:h val="0.638631534211645"/>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220.11</c:v>
                </c:pt>
                <c:pt idx="1">
                  <c:v>261.25</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220.11</c:v>
                </c:pt>
                <c:pt idx="1">
                  <c:v>261.25</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2022年</c:v>
                </c:pt>
                <c:pt idx="1">
                  <c:v>2023年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731199423"/>
        <c:axId val="301568602"/>
      </c:barChart>
      <c:catAx>
        <c:axId val="731199423"/>
        <c:scaling>
          <c:orientation val="minMax"/>
        </c:scaling>
        <c:delete val="1"/>
        <c:axPos val="b"/>
        <c:majorTickMark val="cross"/>
        <c:minorTickMark val="none"/>
        <c:tickLblPos val="nextTo"/>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1568602"/>
        <c:crosses val="autoZero"/>
        <c:auto val="1"/>
        <c:lblAlgn val="ctr"/>
        <c:lblOffset val="100"/>
        <c:noMultiLvlLbl val="0"/>
      </c:catAx>
      <c:valAx>
        <c:axId val="30156860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199423"/>
        <c:crosses val="autoZero"/>
        <c:crossBetween val="between"/>
      </c:valAx>
      <c:spPr>
        <a:noFill/>
        <a:ln>
          <a:noFill/>
        </a:ln>
        <a:effectLst/>
      </c:spPr>
    </c:plotArea>
    <c:legend>
      <c:legendPos val="b"/>
      <c:legendEntry>
        <c:idx val="2"/>
        <c:delete val="1"/>
      </c:legendEntry>
      <c:layout>
        <c:manualLayout>
          <c:xMode val="edge"/>
          <c:yMode val="edge"/>
          <c:x val="0.407405170330998"/>
          <c:y val="0.90118997025074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d63c564-c3c5-42f5-b0b9-498ff270f67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年预算收入</a:t>
            </a:r>
          </a:p>
        </c:rich>
      </c:tx>
      <c:layout/>
      <c:overlay val="0"/>
      <c:spPr>
        <a:noFill/>
        <a:ln>
          <a:noFill/>
        </a:ln>
        <a:effectLst/>
      </c:spPr>
    </c:title>
    <c:autoTitleDeleted val="0"/>
    <c:plotArea>
      <c:layout/>
      <c:pieChart>
        <c:varyColors val="1"/>
        <c:ser>
          <c:idx val="0"/>
          <c:order val="0"/>
          <c:tx>
            <c:strRef>
              <c:f>Sheet1!$B$1</c:f>
              <c:strCache>
                <c:ptCount val="1"/>
                <c:pt idx="0">
                  <c:v>2023年预算收入</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财政拨款收入</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ad36214-bd6e-4dbe-89eb-c43f0bf7989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年全年支出饼状图</a:t>
            </a:r>
          </a:p>
        </c:rich>
      </c:tx>
      <c:layout/>
      <c:overlay val="0"/>
      <c:spPr>
        <a:noFill/>
        <a:ln>
          <a:noFill/>
        </a:ln>
        <a:effectLst/>
      </c:spPr>
    </c:title>
    <c:autoTitleDeleted val="0"/>
    <c:plotArea>
      <c:layout/>
      <c:pieChart>
        <c:varyColors val="1"/>
        <c:ser>
          <c:idx val="0"/>
          <c:order val="0"/>
          <c:tx>
            <c:strRef>
              <c:f>Sheet1!$B$1</c:f>
              <c:strCache>
                <c:ptCount val="1"/>
                <c:pt idx="0">
                  <c:v>2023年全年支出饼状图（按支出性质）</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0.9873</c:v>
                </c:pt>
                <c:pt idx="1">
                  <c:v>0.0127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b11eba0-e803-48b8-9232-5947b90d6c5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年至</a:t>
            </a:r>
            <a:r>
              <a:rPr lang="en-US" altLang="zh-CN"/>
              <a:t>2023</a:t>
            </a:r>
            <a:r>
              <a:rPr altLang="en-US"/>
              <a:t>年收入支出对比图</a:t>
            </a:r>
            <a:r>
              <a:rPr lang="en-US" altLang="zh-CN"/>
              <a:t>             </a:t>
            </a:r>
            <a:r>
              <a:rPr altLang="en-US"/>
              <a:t>单位：万元</a:t>
            </a:r>
            <a:endParaRPr lang="en-US" altLang="zh-CN"/>
          </a:p>
        </c:rich>
      </c:tx>
      <c:layout/>
      <c:overlay val="0"/>
      <c:spPr>
        <a:noFill/>
        <a:ln>
          <a:noFill/>
        </a:ln>
        <a:effectLst/>
      </c:spPr>
    </c:title>
    <c:autoTitleDeleted val="0"/>
    <c:plotArea>
      <c:layout>
        <c:manualLayout>
          <c:layoutTarget val="inner"/>
          <c:xMode val="edge"/>
          <c:yMode val="edge"/>
          <c:x val="0.0650640251268422"/>
          <c:y val="0.160433489162771"/>
          <c:w val="0.908359507127325"/>
          <c:h val="0.734679133021674"/>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Pt>
            <c:idx val="1"/>
            <c:invertIfNegative val="0"/>
            <c:bubble3D val="0"/>
            <c:spPr>
              <a:solidFill>
                <a:srgbClr val="FFFF00"/>
              </a:solidFill>
              <a:ln>
                <a:noFill/>
              </a:ln>
              <a:effectLst/>
            </c:spPr>
          </c:dPt>
          <c:dPt>
            <c:idx val="3"/>
            <c:invertIfNegative val="0"/>
            <c:bubble3D val="0"/>
            <c:spPr>
              <a:solidFill>
                <a:srgbClr val="FFFF00"/>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2022年收入</c:v>
                </c:pt>
                <c:pt idx="1">
                  <c:v>2023年收入</c:v>
                </c:pt>
                <c:pt idx="2">
                  <c:v>2022年支出</c:v>
                </c:pt>
                <c:pt idx="3">
                  <c:v>2023年支出</c:v>
                </c:pt>
              </c:strCache>
            </c:strRef>
          </c:cat>
          <c:val>
            <c:numRef>
              <c:f>Sheet1!$B$2:$B$5</c:f>
              <c:numCache>
                <c:formatCode>General</c:formatCode>
                <c:ptCount val="4"/>
                <c:pt idx="0">
                  <c:v>220.11</c:v>
                </c:pt>
                <c:pt idx="1">
                  <c:v>261.25</c:v>
                </c:pt>
                <c:pt idx="2">
                  <c:v>220.11</c:v>
                </c:pt>
                <c:pt idx="3">
                  <c:v>261.25</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2022年收入</c:v>
                </c:pt>
                <c:pt idx="1">
                  <c:v>2023年收入</c:v>
                </c:pt>
                <c:pt idx="2">
                  <c:v>2022年支出</c:v>
                </c:pt>
                <c:pt idx="3">
                  <c:v>2023年支出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2022年收入</c:v>
                </c:pt>
                <c:pt idx="1">
                  <c:v>2023年收入</c:v>
                </c:pt>
                <c:pt idx="2">
                  <c:v>2022年支出</c:v>
                </c:pt>
                <c:pt idx="3">
                  <c:v>2023年支出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598778204"/>
        <c:axId val="308710826"/>
      </c:barChart>
      <c:catAx>
        <c:axId val="5987782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8710826"/>
        <c:crosses val="autoZero"/>
        <c:auto val="1"/>
        <c:lblAlgn val="ctr"/>
        <c:lblOffset val="100"/>
        <c:noMultiLvlLbl val="0"/>
      </c:catAx>
      <c:valAx>
        <c:axId val="30871082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8778204"/>
        <c:crosses val="autoZero"/>
        <c:crossBetween val="between"/>
      </c:valAx>
      <c:spPr>
        <a:noFill/>
        <a:ln>
          <a:noFill/>
        </a:ln>
        <a:effectLst/>
      </c:spPr>
    </c:plotArea>
    <c:plotVisOnly val="1"/>
    <c:dispBlanksAs val="gap"/>
    <c:showDLblsOverMax val="0"/>
    <c:extLst>
      <c:ext uri="{0b15fc19-7d7d-44ad-8c2d-2c3a37ce22c3}">
        <chartProps xmlns="https://web.wps.cn/et/2018/main" chartId="{cee40474-c1a5-42ad-afa8-12b888b5e62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一般公共财政拨款支出</a:t>
            </a:r>
          </a:p>
        </c:rich>
      </c:tx>
      <c:layout/>
      <c:overlay val="0"/>
      <c:spPr>
        <a:noFill/>
        <a:ln>
          <a:noFill/>
        </a:ln>
        <a:effectLst/>
      </c:spPr>
    </c:title>
    <c:autoTitleDeleted val="0"/>
    <c:plotArea>
      <c:layout>
        <c:manualLayout>
          <c:layoutTarget val="inner"/>
          <c:xMode val="edge"/>
          <c:yMode val="edge"/>
          <c:x val="0.194080695820246"/>
          <c:y val="0.159371015724607"/>
          <c:w val="0.707707175646291"/>
          <c:h val="0.638631534211645"/>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220.11</c:v>
                </c:pt>
                <c:pt idx="1">
                  <c:v>261.25</c:v>
                </c:pt>
              </c:numCache>
            </c:numRef>
          </c:val>
        </c:ser>
        <c:dLbls>
          <c:showLegendKey val="0"/>
          <c:showVal val="0"/>
          <c:showCatName val="0"/>
          <c:showSerName val="0"/>
          <c:showPercent val="0"/>
          <c:showBubbleSize val="0"/>
        </c:dLbls>
        <c:gapWidth val="246"/>
        <c:overlap val="-28"/>
        <c:axId val="78463957"/>
        <c:axId val="687856023"/>
      </c:barChart>
      <c:catAx>
        <c:axId val="784639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7856023"/>
        <c:crosses val="autoZero"/>
        <c:auto val="1"/>
        <c:lblAlgn val="ctr"/>
        <c:lblOffset val="100"/>
        <c:noMultiLvlLbl val="0"/>
      </c:catAx>
      <c:valAx>
        <c:axId val="68785602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463957"/>
        <c:crosses val="autoZero"/>
        <c:crossBetween val="between"/>
      </c:valAx>
      <c:spPr>
        <a:noFill/>
        <a:ln>
          <a:noFill/>
        </a:ln>
        <a:effectLst/>
      </c:spPr>
    </c:plotArea>
    <c:plotVisOnly val="1"/>
    <c:dispBlanksAs val="gap"/>
    <c:showDLblsOverMax val="0"/>
    <c:extLst>
      <c:ext uri="{0b15fc19-7d7d-44ad-8c2d-2c3a37ce22c3}">
        <chartProps xmlns="https://web.wps.cn/et/2018/main" chartId="{c1fc1ba6-ce0f-4310-8e56-216f2004c64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年财政拨款支出饼状图</a:t>
            </a:r>
          </a:p>
        </c:rich>
      </c:tx>
      <c:layout/>
      <c:overlay val="0"/>
      <c:spPr>
        <a:noFill/>
        <a:ln>
          <a:noFill/>
        </a:ln>
        <a:effectLst/>
      </c:spPr>
    </c:title>
    <c:autoTitleDeleted val="0"/>
    <c:plotArea>
      <c:layout>
        <c:manualLayout>
          <c:layoutTarget val="inner"/>
          <c:xMode val="edge"/>
          <c:yMode val="edge"/>
          <c:x val="0.327504228074414"/>
          <c:y val="0.300484487887803"/>
          <c:w val="0.34740758637352"/>
          <c:h val="0.611100722481938"/>
        </c:manualLayout>
      </c:layout>
      <c:pieChart>
        <c:varyColors val="1"/>
        <c:ser>
          <c:idx val="0"/>
          <c:order val="0"/>
          <c:tx>
            <c:strRef>
              <c:f>Sheet1!$B$1</c:f>
              <c:strCache>
                <c:ptCount val="1"/>
                <c:pt idx="0">
                  <c:v>2023年财政拨款支出饼状图（按经济分类）</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1"/>
              <c:layout>
                <c:manualLayout>
                  <c:x val="-0.0847567503247658"/>
                  <c:y val="0.021872223820143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23765400597824"/>
                  <c:y val="0.00065955207711112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16072965866709"/>
                  <c:y val="-0.0014452850910727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0.00%</c:formatCode>
                <c:ptCount val="4"/>
                <c:pt idx="0">
                  <c:v>0.9264</c:v>
                </c:pt>
                <c:pt idx="1">
                  <c:v>0.0289</c:v>
                </c:pt>
                <c:pt idx="2">
                  <c:v>0.0151</c:v>
                </c:pt>
                <c:pt idx="3">
                  <c:v>0.0296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1768e43-6bdd-4633-bb40-528d81a562c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333041848844472"/>
          <c:y val="0.37090813093981"/>
          <c:w val="0.293941286695815"/>
          <c:h val="0.62117212249208"/>
        </c:manualLayout>
      </c:layout>
      <c:pieChart>
        <c:varyColors val="1"/>
        <c:ser>
          <c:idx val="0"/>
          <c:order val="0"/>
          <c:tx>
            <c:strRef>
              <c:f>Sheet1!$B$1</c:f>
              <c:strCache>
                <c:ptCount val="1"/>
                <c:pt idx="0">
                  <c:v>“三公”经费财政拨款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a9fa2310-4702-4dae-9a8d-7efb37aedca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3959</Words>
  <Characters>4464</Characters>
  <Lines>61</Lines>
  <Paragraphs>17</Paragraphs>
  <TotalTime>2</TotalTime>
  <ScaleCrop>false</ScaleCrop>
  <LinksUpToDate>false</LinksUpToDate>
  <CharactersWithSpaces>4572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qingyao_w</cp:lastModifiedBy>
  <cp:lastPrinted>2023-07-31T02:35:00Z</cp:lastPrinted>
  <dcterms:modified xsi:type="dcterms:W3CDTF">2024-10-25T13:00:58Z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8046B051596A4C38A96C48664A2199FE_13</vt:lpwstr>
  </property>
</Properties>
</file>