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C26B4">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7425"/>
      <w:bookmarkStart w:id="3" w:name="_Toc15396597"/>
      <w:bookmarkStart w:id="4" w:name="_Toc15378441"/>
      <w:bookmarkStart w:id="5" w:name="_Toc15306267"/>
    </w:p>
    <w:p w14:paraId="53036EDB">
      <w:pPr>
        <w:pStyle w:val="5"/>
        <w:spacing w:before="93"/>
      </w:pPr>
    </w:p>
    <w:p w14:paraId="6575E518">
      <w:pPr>
        <w:spacing w:line="600" w:lineRule="exact"/>
        <w:jc w:val="center"/>
        <w:outlineLvl w:val="0"/>
        <w:rPr>
          <w:rFonts w:ascii="方正小标宋简体" w:hAnsi="宋体" w:eastAsia="方正小标宋简体"/>
          <w:sz w:val="72"/>
          <w:szCs w:val="72"/>
        </w:rPr>
      </w:pPr>
    </w:p>
    <w:p w14:paraId="7950C404">
      <w:pPr>
        <w:spacing w:line="600" w:lineRule="exact"/>
        <w:jc w:val="center"/>
        <w:outlineLvl w:val="0"/>
        <w:rPr>
          <w:rFonts w:ascii="方正小标宋简体" w:hAnsi="宋体" w:eastAsia="方正小标宋简体"/>
          <w:sz w:val="72"/>
          <w:szCs w:val="72"/>
        </w:rPr>
      </w:pPr>
    </w:p>
    <w:p w14:paraId="1E250BE2">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p w14:paraId="18BAE21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96476"/>
      <w:bookmarkStart w:id="9" w:name="_Toc15396598"/>
      <w:bookmarkStart w:id="10" w:name="_Toc15378442"/>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val="en-US" w:eastAsia="zh-CN"/>
        </w:rPr>
        <w:t>大竹县农民工服务中心</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62FABAEB">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CBA96E5">
      <w:pPr>
        <w:widowControl/>
        <w:jc w:val="center"/>
        <w:rPr>
          <w:rFonts w:ascii="黑体" w:hAnsi="黑体" w:eastAsia="黑体" w:cstheme="minorBidi"/>
          <w:sz w:val="28"/>
          <w:szCs w:val="28"/>
        </w:rPr>
      </w:pPr>
    </w:p>
    <w:p w14:paraId="7AAD5A6B">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35D1E4FB"/>
    <w:p w14:paraId="54DE4EBF">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w:t>
      </w:r>
      <w:r>
        <w:rPr>
          <w:rFonts w:hint="default" w:ascii="Times New Roman" w:hAnsi="Times New Roman" w:cs="Times New Roman"/>
          <w:sz w:val="24"/>
          <w:lang w:val="en-US" w:eastAsia="zh-CN"/>
        </w:rPr>
        <w:t>1</w:t>
      </w:r>
      <w:r>
        <w:rPr>
          <w:rFonts w:hint="eastAsia"/>
          <w:sz w:val="24"/>
          <w:lang w:val="en-US" w:eastAsia="zh-CN"/>
        </w:rPr>
        <w:t xml:space="preserve">         </w:t>
      </w:r>
    </w:p>
    <w:p w14:paraId="11099A0B">
      <w:pPr>
        <w:pStyle w:val="12"/>
        <w:adjustRightInd w:val="0"/>
        <w:snapToGrid w:val="0"/>
        <w:spacing w:line="440" w:lineRule="exact"/>
        <w:jc w:val="left"/>
        <w:rPr>
          <w:rFonts w:ascii="仿宋" w:hAnsi="仿宋" w:eastAsia="仿宋"/>
          <w:sz w:val="24"/>
        </w:rPr>
      </w:pPr>
      <w:r>
        <w:rPr>
          <w:rFonts w:hint="eastAsia"/>
          <w:sz w:val="24"/>
        </w:rPr>
        <w:t>一、部门职责</w:t>
      </w:r>
      <w:r>
        <w:rPr>
          <w:rFonts w:hint="eastAsia" w:ascii="仿宋" w:hAnsi="仿宋" w:eastAsia="仿宋" w:cs="Times New Roman"/>
          <w:kern w:val="2"/>
          <w:sz w:val="24"/>
          <w:szCs w:val="28"/>
          <w:lang w:val="en-US" w:eastAsia="zh-CN" w:bidi="ar-SA"/>
        </w:rPr>
        <w:t>...................................................</w:t>
      </w:r>
      <w:r>
        <w:rPr>
          <w:rFonts w:hint="eastAsia" w:ascii="Times New Roman" w:hAnsi="Times New Roman" w:eastAsia="仿宋" w:cs="Times New Roman"/>
          <w:kern w:val="2"/>
          <w:sz w:val="24"/>
          <w:szCs w:val="28"/>
          <w:lang w:val="en-US" w:eastAsia="zh-CN" w:bidi="ar-SA"/>
        </w:rPr>
        <w:t xml:space="preserve">.1 </w:t>
      </w:r>
    </w:p>
    <w:p w14:paraId="5DE3D212">
      <w:pPr>
        <w:pStyle w:val="12"/>
        <w:adjustRightInd w:val="0"/>
        <w:snapToGrid w:val="0"/>
        <w:spacing w:line="440" w:lineRule="exact"/>
        <w:jc w:val="left"/>
        <w:rPr>
          <w:rFonts w:ascii="仿宋" w:hAnsi="仿宋" w:eastAsia="仿宋" w:cstheme="minorBidi"/>
          <w:sz w:val="24"/>
        </w:rPr>
      </w:pPr>
      <w:r>
        <w:rPr>
          <w:rFonts w:hint="eastAsia"/>
          <w:sz w:val="24"/>
        </w:rPr>
        <w:t>二、机构设置</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1</w:t>
      </w:r>
      <w:r>
        <w:rPr>
          <w:rFonts w:hint="eastAsia" w:ascii="仿宋" w:hAnsi="仿宋" w:eastAsia="仿宋" w:cs="Times New Roman"/>
          <w:kern w:val="2"/>
          <w:sz w:val="24"/>
          <w:szCs w:val="28"/>
          <w:lang w:val="en-US" w:eastAsia="zh-CN" w:bidi="ar-SA"/>
        </w:rPr>
        <w:t xml:space="preserve"> </w:t>
      </w:r>
    </w:p>
    <w:p w14:paraId="481CD996">
      <w:pPr>
        <w:pStyle w:val="11"/>
        <w:adjustRightInd w:val="0"/>
        <w:snapToGrid w:val="0"/>
        <w:spacing w:before="0" w:line="440" w:lineRule="exact"/>
        <w:jc w:val="left"/>
        <w:rPr>
          <w:rFonts w:hint="default"/>
          <w:sz w:val="24"/>
          <w:szCs w:val="24"/>
          <w:lang w:val="en-US"/>
        </w:rPr>
      </w:pPr>
      <w:r>
        <w:rPr>
          <w:rFonts w:hint="eastAsia"/>
          <w:sz w:val="24"/>
        </w:rPr>
        <w:t>第二部分 2023年度部门决算情况说明</w:t>
      </w:r>
      <w:r>
        <w:rPr>
          <w:rFonts w:hint="eastAsia" w:ascii="仿宋" w:hAnsi="仿宋" w:eastAsia="仿宋" w:cs="Times New Roman"/>
          <w:kern w:val="2"/>
          <w:sz w:val="24"/>
          <w:szCs w:val="28"/>
          <w:lang w:val="en-US" w:eastAsia="zh-CN" w:bidi="ar-SA"/>
        </w:rPr>
        <w:t>..................................</w:t>
      </w:r>
      <w:r>
        <w:rPr>
          <w:rFonts w:hint="default" w:ascii="Times New Roman" w:hAnsi="Times New Roman" w:cs="Times New Roman"/>
          <w:kern w:val="2"/>
          <w:sz w:val="24"/>
          <w:szCs w:val="28"/>
          <w:lang w:val="en-US" w:eastAsia="zh-CN" w:bidi="ar-SA"/>
        </w:rPr>
        <w:t>2</w:t>
      </w:r>
    </w:p>
    <w:p w14:paraId="6DD80969">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 xml:space="preserve">..2 </w:t>
      </w:r>
    </w:p>
    <w:p w14:paraId="3FB3A945">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2</w:t>
      </w:r>
      <w:r>
        <w:rPr>
          <w:rFonts w:hint="eastAsia" w:ascii="仿宋" w:hAnsi="仿宋" w:eastAsia="仿宋" w:cs="Times New Roman"/>
          <w:kern w:val="2"/>
          <w:sz w:val="24"/>
          <w:szCs w:val="28"/>
          <w:lang w:val="en-US" w:eastAsia="zh-CN" w:bidi="ar-SA"/>
        </w:rPr>
        <w:t xml:space="preserve"> </w:t>
      </w:r>
    </w:p>
    <w:p w14:paraId="061DCDCF">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3</w:t>
      </w:r>
    </w:p>
    <w:p w14:paraId="10B9A19A">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4</w:t>
      </w:r>
    </w:p>
    <w:p w14:paraId="3040BFE6">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4</w:t>
      </w:r>
      <w:r>
        <w:rPr>
          <w:rFonts w:hint="eastAsia" w:ascii="仿宋" w:hAnsi="仿宋" w:eastAsia="仿宋" w:cs="Times New Roman"/>
          <w:kern w:val="2"/>
          <w:sz w:val="24"/>
          <w:szCs w:val="28"/>
          <w:lang w:val="en-US" w:eastAsia="zh-CN" w:bidi="ar-SA"/>
        </w:rPr>
        <w:t xml:space="preserve"> </w:t>
      </w:r>
    </w:p>
    <w:p w14:paraId="601B5320">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hint="eastAsia" w:ascii="仿宋" w:hAnsi="仿宋" w:eastAsia="仿宋" w:cs="Times New Roman"/>
          <w:kern w:val="2"/>
          <w:sz w:val="24"/>
          <w:szCs w:val="28"/>
          <w:lang w:val="en-US" w:eastAsia="zh-CN" w:bidi="ar-SA"/>
        </w:rPr>
        <w:t>....................</w:t>
      </w:r>
      <w:r>
        <w:rPr>
          <w:rFonts w:hint="eastAsia" w:eastAsia="仿宋" w:cs="Times New Roman"/>
          <w:kern w:val="2"/>
          <w:sz w:val="24"/>
          <w:szCs w:val="28"/>
          <w:lang w:val="en-US" w:eastAsia="zh-CN" w:bidi="ar-SA"/>
        </w:rPr>
        <w:t>6</w:t>
      </w:r>
    </w:p>
    <w:p w14:paraId="6124D671">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7</w:t>
      </w:r>
      <w:r>
        <w:rPr>
          <w:rFonts w:hint="eastAsia" w:ascii="仿宋" w:hAnsi="仿宋" w:eastAsia="仿宋" w:cs="Times New Roman"/>
          <w:kern w:val="2"/>
          <w:sz w:val="24"/>
          <w:szCs w:val="28"/>
          <w:lang w:val="en-US" w:eastAsia="zh-CN" w:bidi="ar-SA"/>
        </w:rPr>
        <w:t xml:space="preserve"> </w:t>
      </w:r>
    </w:p>
    <w:p w14:paraId="26BB8EA4">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ascii="仿宋" w:hAnsi="仿宋" w:eastAsia="仿宋" w:cs="Times New Roman"/>
          <w:kern w:val="2"/>
          <w:sz w:val="24"/>
          <w:szCs w:val="28"/>
          <w:lang w:val="en-US" w:eastAsia="zh-CN" w:bidi="ar-SA"/>
        </w:rPr>
        <w:t>..............................</w:t>
      </w:r>
      <w:r>
        <w:rPr>
          <w:rFonts w:hint="eastAsia" w:eastAsia="仿宋" w:cs="Times New Roman"/>
          <w:kern w:val="2"/>
          <w:sz w:val="24"/>
          <w:szCs w:val="28"/>
          <w:lang w:val="en-US" w:eastAsia="zh-CN" w:bidi="ar-SA"/>
        </w:rPr>
        <w:t>8</w:t>
      </w:r>
    </w:p>
    <w:p w14:paraId="2CBCD099">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hint="eastAsia" w:ascii="仿宋" w:hAnsi="仿宋" w:eastAsia="仿宋" w:cs="Times New Roman"/>
          <w:kern w:val="2"/>
          <w:sz w:val="24"/>
          <w:szCs w:val="28"/>
          <w:lang w:val="en-US" w:eastAsia="zh-CN" w:bidi="ar-SA"/>
        </w:rPr>
        <w:t>............................</w:t>
      </w:r>
      <w:r>
        <w:rPr>
          <w:rFonts w:hint="eastAsia" w:eastAsia="仿宋" w:cs="Times New Roman"/>
          <w:kern w:val="2"/>
          <w:sz w:val="24"/>
          <w:szCs w:val="28"/>
          <w:lang w:val="en-US" w:eastAsia="zh-CN" w:bidi="ar-SA"/>
        </w:rPr>
        <w:t>8</w:t>
      </w:r>
      <w:r>
        <w:rPr>
          <w:rFonts w:hint="default" w:ascii="Times New Roman" w:hAnsi="Times New Roman" w:eastAsia="仿宋" w:cs="Times New Roman"/>
          <w:kern w:val="2"/>
          <w:sz w:val="24"/>
          <w:szCs w:val="28"/>
          <w:lang w:val="en-US" w:eastAsia="zh-CN" w:bidi="ar-SA"/>
        </w:rPr>
        <w:t xml:space="preserve"> </w:t>
      </w:r>
    </w:p>
    <w:p w14:paraId="78D6908C">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仿宋" w:hAnsi="仿宋" w:eastAsia="仿宋" w:cs="Times New Roman"/>
          <w:kern w:val="2"/>
          <w:sz w:val="24"/>
          <w:szCs w:val="28"/>
          <w:lang w:val="en-US" w:eastAsia="zh-CN" w:bidi="ar-SA"/>
        </w:rPr>
        <w:t>......................................</w:t>
      </w:r>
      <w:r>
        <w:rPr>
          <w:rFonts w:hint="eastAsia" w:eastAsia="仿宋" w:cs="Times New Roman"/>
          <w:kern w:val="2"/>
          <w:sz w:val="24"/>
          <w:szCs w:val="28"/>
          <w:lang w:val="en-US" w:eastAsia="zh-CN" w:bidi="ar-SA"/>
        </w:rPr>
        <w:t>8</w:t>
      </w:r>
    </w:p>
    <w:p w14:paraId="71A3A5E2">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1</w:t>
      </w:r>
      <w:r>
        <w:rPr>
          <w:rFonts w:hint="default" w:ascii="Times New Roman" w:hAnsi="Times New Roman" w:cs="Times New Roman"/>
          <w:kern w:val="2"/>
          <w:sz w:val="24"/>
          <w:szCs w:val="28"/>
          <w:lang w:val="en-US" w:eastAsia="zh-CN" w:bidi="ar-SA"/>
        </w:rPr>
        <w:t>1</w:t>
      </w:r>
      <w:r>
        <w:rPr>
          <w:rFonts w:hint="default" w:ascii="Times New Roman" w:hAnsi="Times New Roman" w:eastAsia="仿宋" w:cs="Times New Roman"/>
          <w:kern w:val="2"/>
          <w:sz w:val="24"/>
          <w:szCs w:val="28"/>
          <w:lang w:val="en-US" w:eastAsia="zh-CN" w:bidi="ar-SA"/>
        </w:rPr>
        <w:t xml:space="preserve"> </w:t>
      </w:r>
    </w:p>
    <w:p w14:paraId="0EEC4BB3">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w:t>
      </w:r>
      <w:r>
        <w:rPr>
          <w:rFonts w:hint="default" w:ascii="Times New Roman" w:hAnsi="Times New Roman" w:eastAsia="仿宋" w:cs="Times New Roman"/>
          <w:kern w:val="2"/>
          <w:sz w:val="24"/>
          <w:szCs w:val="28"/>
          <w:lang w:val="en-US" w:eastAsia="zh-CN" w:bidi="ar-SA"/>
        </w:rPr>
        <w:t>1</w:t>
      </w:r>
      <w:r>
        <w:rPr>
          <w:rFonts w:hint="default" w:ascii="Times New Roman" w:hAnsi="Times New Roman" w:cs="Times New Roman"/>
          <w:kern w:val="2"/>
          <w:sz w:val="24"/>
          <w:szCs w:val="28"/>
          <w:lang w:val="en-US" w:eastAsia="zh-CN" w:bidi="ar-SA"/>
        </w:rPr>
        <w:t>4</w:t>
      </w:r>
    </w:p>
    <w:p w14:paraId="6874FCAC">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w:t>
      </w:r>
      <w:r>
        <w:rPr>
          <w:rFonts w:hint="default" w:ascii="Times New Roman" w:hAnsi="Times New Roman" w:cs="Times New Roman"/>
          <w:kern w:val="2"/>
          <w:sz w:val="24"/>
          <w:szCs w:val="28"/>
          <w:lang w:val="en-US" w:eastAsia="zh-CN" w:bidi="ar-SA"/>
        </w:rPr>
        <w:t>34</w:t>
      </w:r>
    </w:p>
    <w:p w14:paraId="50A15262">
      <w:pPr>
        <w:pStyle w:val="12"/>
        <w:adjustRightInd w:val="0"/>
        <w:snapToGrid w:val="0"/>
        <w:spacing w:line="440" w:lineRule="exact"/>
        <w:jc w:val="left"/>
        <w:rPr>
          <w:sz w:val="24"/>
        </w:rPr>
      </w:pPr>
      <w:r>
        <w:rPr>
          <w:rFonts w:hint="eastAsia"/>
          <w:sz w:val="24"/>
        </w:rPr>
        <w:t>一、收入支出决算总表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4B4006DE">
      <w:pPr>
        <w:pStyle w:val="12"/>
        <w:adjustRightInd w:val="0"/>
        <w:snapToGrid w:val="0"/>
        <w:spacing w:line="440" w:lineRule="exact"/>
        <w:jc w:val="left"/>
        <w:rPr>
          <w:sz w:val="24"/>
        </w:rPr>
      </w:pPr>
      <w:r>
        <w:rPr>
          <w:rFonts w:hint="eastAsia"/>
          <w:sz w:val="24"/>
        </w:rPr>
        <w:t>二、收入决算表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2CE7985E">
      <w:pPr>
        <w:pStyle w:val="12"/>
        <w:adjustRightInd w:val="0"/>
        <w:snapToGrid w:val="0"/>
        <w:spacing w:line="440" w:lineRule="exact"/>
        <w:jc w:val="left"/>
        <w:rPr>
          <w:sz w:val="24"/>
        </w:rPr>
      </w:pPr>
      <w:r>
        <w:rPr>
          <w:rFonts w:hint="eastAsia"/>
          <w:sz w:val="24"/>
        </w:rPr>
        <w:t>三、支出决算表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r>
        <w:rPr>
          <w:rFonts w:hint="eastAsia" w:ascii="仿宋" w:hAnsi="仿宋" w:eastAsia="仿宋" w:cs="Times New Roman"/>
          <w:kern w:val="2"/>
          <w:sz w:val="24"/>
          <w:szCs w:val="28"/>
          <w:lang w:val="en-US" w:eastAsia="zh-CN" w:bidi="ar-SA"/>
        </w:rPr>
        <w:t xml:space="preserve"> </w:t>
      </w:r>
    </w:p>
    <w:p w14:paraId="7FD78A81">
      <w:pPr>
        <w:pStyle w:val="12"/>
        <w:adjustRightInd w:val="0"/>
        <w:snapToGrid w:val="0"/>
        <w:spacing w:line="440" w:lineRule="exact"/>
        <w:jc w:val="left"/>
        <w:rPr>
          <w:sz w:val="24"/>
        </w:rPr>
      </w:pPr>
      <w:r>
        <w:rPr>
          <w:rFonts w:hint="eastAsia"/>
          <w:sz w:val="24"/>
        </w:rPr>
        <w:t>四、财政拨款收入支出决算总表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7FB0044E">
      <w:pPr>
        <w:pStyle w:val="12"/>
        <w:adjustRightInd w:val="0"/>
        <w:snapToGrid w:val="0"/>
        <w:spacing w:line="440" w:lineRule="exact"/>
        <w:jc w:val="left"/>
        <w:rPr>
          <w:sz w:val="24"/>
        </w:rPr>
      </w:pPr>
      <w:r>
        <w:rPr>
          <w:rFonts w:hint="eastAsia"/>
          <w:sz w:val="24"/>
        </w:rPr>
        <w:t>五、财政拨款支出决算明细表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361B285E">
      <w:pPr>
        <w:pStyle w:val="12"/>
        <w:adjustRightInd w:val="0"/>
        <w:snapToGrid w:val="0"/>
        <w:spacing w:line="440" w:lineRule="exact"/>
        <w:jc w:val="left"/>
        <w:rPr>
          <w:sz w:val="24"/>
        </w:rPr>
      </w:pPr>
      <w:r>
        <w:rPr>
          <w:rFonts w:hint="eastAsia"/>
          <w:sz w:val="24"/>
        </w:rPr>
        <w:t>六、一般公共预算财政拨款支出决算表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39B514A5">
      <w:pPr>
        <w:pStyle w:val="12"/>
        <w:adjustRightInd w:val="0"/>
        <w:snapToGrid w:val="0"/>
        <w:spacing w:line="440" w:lineRule="exact"/>
        <w:jc w:val="left"/>
        <w:rPr>
          <w:sz w:val="24"/>
        </w:rPr>
      </w:pPr>
      <w:r>
        <w:rPr>
          <w:rFonts w:hint="eastAsia"/>
          <w:sz w:val="24"/>
        </w:rPr>
        <w:t>七、一般公共预算财政拨款支出决算明细表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75ECF75E">
      <w:pPr>
        <w:pStyle w:val="12"/>
        <w:adjustRightInd w:val="0"/>
        <w:snapToGrid w:val="0"/>
        <w:spacing w:line="440" w:lineRule="exact"/>
        <w:jc w:val="left"/>
        <w:rPr>
          <w:sz w:val="24"/>
        </w:rPr>
      </w:pPr>
      <w:r>
        <w:rPr>
          <w:rFonts w:hint="eastAsia"/>
          <w:sz w:val="24"/>
        </w:rPr>
        <w:t>八、一般公共预算财政拨款基本支出决算明细表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26DAE529">
      <w:pPr>
        <w:pStyle w:val="12"/>
        <w:adjustRightInd w:val="0"/>
        <w:snapToGrid w:val="0"/>
        <w:spacing w:line="440" w:lineRule="exact"/>
        <w:jc w:val="left"/>
        <w:rPr>
          <w:rFonts w:hint="eastAsia" w:ascii="仿宋" w:hAnsi="仿宋" w:eastAsia="仿宋" w:cs="Times New Roman"/>
          <w:kern w:val="2"/>
          <w:sz w:val="24"/>
          <w:szCs w:val="28"/>
          <w:lang w:val="en-US" w:eastAsia="zh-CN" w:bidi="ar-SA"/>
        </w:rPr>
      </w:pPr>
      <w:r>
        <w:rPr>
          <w:rFonts w:hint="eastAsia"/>
          <w:sz w:val="24"/>
        </w:rPr>
        <w:t>九、一般公共预算财政拨款项目支出决算表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396E7919">
      <w:pPr>
        <w:pStyle w:val="12"/>
        <w:adjustRightInd w:val="0"/>
        <w:snapToGrid w:val="0"/>
        <w:spacing w:line="440" w:lineRule="exact"/>
        <w:ind w:left="0" w:leftChars="0" w:firstLine="480" w:firstLineChars="200"/>
        <w:jc w:val="left"/>
        <w:rPr>
          <w:sz w:val="24"/>
        </w:rPr>
      </w:pPr>
      <w:r>
        <w:rPr>
          <w:rFonts w:hint="eastAsia"/>
          <w:sz w:val="24"/>
        </w:rPr>
        <w:t>十、政府性基金预算财政拨款收入支出决算表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5C3A500F">
      <w:pPr>
        <w:pStyle w:val="12"/>
        <w:adjustRightInd w:val="0"/>
        <w:snapToGrid w:val="0"/>
        <w:spacing w:line="440" w:lineRule="exact"/>
        <w:jc w:val="left"/>
        <w:rPr>
          <w:sz w:val="24"/>
        </w:rPr>
      </w:pPr>
      <w:r>
        <w:rPr>
          <w:rFonts w:hint="eastAsia"/>
          <w:sz w:val="24"/>
        </w:rPr>
        <w:t>十一、国有资本经营预算财政拨款收入支出决算表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44D8E62E">
      <w:pPr>
        <w:pStyle w:val="12"/>
        <w:adjustRightInd w:val="0"/>
        <w:snapToGrid w:val="0"/>
        <w:spacing w:line="440" w:lineRule="exact"/>
        <w:jc w:val="left"/>
        <w:rPr>
          <w:sz w:val="24"/>
        </w:rPr>
      </w:pPr>
      <w:r>
        <w:rPr>
          <w:rFonts w:hint="eastAsia"/>
          <w:sz w:val="24"/>
        </w:rPr>
        <w:t>十二、国有资本经营预算财政拨款支出决算表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5712720E">
      <w:pPr>
        <w:pStyle w:val="12"/>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34</w:t>
      </w:r>
    </w:p>
    <w:p w14:paraId="73AAA690">
      <w:pPr>
        <w:rPr>
          <w:rFonts w:hint="eastAsia" w:ascii="仿宋" w:hAnsi="仿宋" w:eastAsia="仿宋" w:cs="Times New Roman"/>
          <w:kern w:val="2"/>
          <w:sz w:val="24"/>
          <w:szCs w:val="28"/>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647DB777">
      <w:pPr>
        <w:widowControl/>
        <w:numPr>
          <w:ilvl w:val="0"/>
          <w:numId w:val="1"/>
        </w:numPr>
        <w:spacing w:line="440" w:lineRule="exact"/>
        <w:jc w:val="center"/>
        <w:rPr>
          <w:rStyle w:val="27"/>
          <w:rFonts w:hint="eastAsia" w:ascii="黑体" w:hAnsi="黑体" w:eastAsia="黑体"/>
          <w:b w:val="0"/>
          <w:bCs w:val="0"/>
        </w:rPr>
      </w:pPr>
      <w:bookmarkStart w:id="12" w:name="_Toc15377196"/>
      <w:bookmarkStart w:id="13" w:name="_Toc15396599"/>
      <w:r>
        <w:rPr>
          <w:rStyle w:val="27"/>
          <w:rFonts w:hint="eastAsia" w:ascii="黑体" w:hAnsi="黑体" w:eastAsia="黑体"/>
          <w:b w:val="0"/>
          <w:bCs w:val="0"/>
        </w:rPr>
        <w:t>部门概况</w:t>
      </w:r>
      <w:bookmarkEnd w:id="12"/>
      <w:bookmarkEnd w:id="13"/>
    </w:p>
    <w:p w14:paraId="40E1E4FD">
      <w:pPr>
        <w:widowControl/>
        <w:numPr>
          <w:ilvl w:val="0"/>
          <w:numId w:val="0"/>
        </w:numPr>
        <w:spacing w:line="440" w:lineRule="exact"/>
        <w:jc w:val="both"/>
        <w:rPr>
          <w:rStyle w:val="27"/>
          <w:rFonts w:hint="eastAsia" w:ascii="黑体" w:hAnsi="黑体" w:eastAsia="黑体"/>
          <w:b w:val="0"/>
          <w:bCs w:val="0"/>
        </w:rPr>
      </w:pPr>
    </w:p>
    <w:p w14:paraId="65D86A2A">
      <w:pPr>
        <w:pStyle w:val="3"/>
        <w:pageBreakBefore w:val="0"/>
        <w:widowControl w:val="0"/>
        <w:numPr>
          <w:ilvl w:val="0"/>
          <w:numId w:val="2"/>
        </w:numPr>
        <w:kinsoku/>
        <w:wordWrap/>
        <w:overflowPunct/>
        <w:topLinePunct w:val="0"/>
        <w:autoSpaceDE/>
        <w:autoSpaceDN/>
        <w:bidi w:val="0"/>
        <w:adjustRightInd/>
        <w:spacing w:before="0" w:after="0" w:line="578" w:lineRule="exact"/>
        <w:textAlignment w:val="auto"/>
        <w:rPr>
          <w:rFonts w:hint="eastAsia" w:ascii="黑体" w:hAnsi="黑体" w:eastAsia="黑体"/>
          <w:b w:val="0"/>
        </w:rPr>
      </w:pPr>
      <w:r>
        <w:rPr>
          <w:rFonts w:hint="eastAsia" w:ascii="黑体" w:hAnsi="黑体" w:eastAsia="黑体"/>
          <w:b w:val="0"/>
        </w:rPr>
        <w:t>部门职责</w:t>
      </w:r>
    </w:p>
    <w:p w14:paraId="32C2F296">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pPr>
      <w:r>
        <w:rPr>
          <w:rFonts w:hint="eastAsia" w:ascii="仿宋_GB2312" w:hAnsi="仿宋" w:eastAsia="仿宋_GB2312"/>
          <w:bCs/>
          <w:color w:val="000000"/>
          <w:kern w:val="0"/>
          <w:sz w:val="32"/>
          <w:szCs w:val="32"/>
          <w:lang w:val="en-US" w:eastAsia="zh-CN"/>
        </w:rPr>
        <w:t>大竹县农民工服务中心主要职责为</w:t>
      </w:r>
      <w:r>
        <w:rPr>
          <w:rFonts w:hint="eastAsia" w:ascii="仿宋_GB2312" w:hAnsi="Times New Roman" w:eastAsia="仿宋_GB2312" w:cs="Times New Roman"/>
          <w:color w:val="000000"/>
          <w:sz w:val="32"/>
          <w:szCs w:val="32"/>
        </w:rPr>
        <w:t>贯彻落实</w:t>
      </w:r>
      <w:r>
        <w:rPr>
          <w:rFonts w:hint="eastAsia" w:ascii="仿宋_GB2312" w:eastAsia="仿宋_GB2312" w:cs="Times New Roman"/>
          <w:color w:val="000000"/>
          <w:sz w:val="32"/>
          <w:szCs w:val="32"/>
          <w:lang w:val="en-US" w:eastAsia="zh-CN"/>
        </w:rPr>
        <w:t>各项</w:t>
      </w:r>
      <w:r>
        <w:rPr>
          <w:rFonts w:hint="eastAsia" w:ascii="仿宋_GB2312" w:hAnsi="Times New Roman" w:eastAsia="仿宋_GB2312" w:cs="Times New Roman"/>
          <w:color w:val="000000"/>
          <w:sz w:val="32"/>
          <w:szCs w:val="32"/>
        </w:rPr>
        <w:t>农民工服务工作的方针政策，落实省市县的</w:t>
      </w:r>
      <w:r>
        <w:rPr>
          <w:rFonts w:hint="eastAsia" w:ascii="仿宋_GB2312" w:eastAsia="仿宋_GB2312" w:cs="Times New Roman"/>
          <w:color w:val="000000"/>
          <w:sz w:val="32"/>
          <w:szCs w:val="32"/>
          <w:lang w:val="en-US" w:eastAsia="zh-CN"/>
        </w:rPr>
        <w:t>各项</w:t>
      </w:r>
      <w:r>
        <w:rPr>
          <w:rFonts w:hint="eastAsia" w:ascii="仿宋_GB2312" w:hAnsi="Times New Roman" w:eastAsia="仿宋_GB2312" w:cs="Times New Roman"/>
          <w:color w:val="000000"/>
          <w:sz w:val="32"/>
          <w:szCs w:val="32"/>
        </w:rPr>
        <w:t>决策部署。主要职责体现在为农民工就业、创业、培训、维权服务及农民工党团组织建设等方面。</w:t>
      </w:r>
    </w:p>
    <w:p w14:paraId="3D73F8CC">
      <w:pPr>
        <w:pStyle w:val="3"/>
        <w:pageBreakBefore w:val="0"/>
        <w:widowControl w:val="0"/>
        <w:kinsoku/>
        <w:wordWrap/>
        <w:overflowPunct/>
        <w:topLinePunct w:val="0"/>
        <w:autoSpaceDE/>
        <w:autoSpaceDN/>
        <w:bidi w:val="0"/>
        <w:adjustRightInd/>
        <w:spacing w:before="0" w:after="0" w:line="578" w:lineRule="exact"/>
        <w:textAlignment w:val="auto"/>
        <w:rPr>
          <w:rStyle w:val="28"/>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4"/>
      <w:bookmarkEnd w:id="15"/>
    </w:p>
    <w:p w14:paraId="612FD2E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bCs/>
          <w:color w:val="000000"/>
          <w:kern w:val="0"/>
          <w:sz w:val="32"/>
          <w:szCs w:val="32"/>
          <w:lang w:eastAsia="zh-CN"/>
        </w:rPr>
      </w:pPr>
      <w:r>
        <w:rPr>
          <w:rFonts w:hint="eastAsia" w:ascii="仿宋_GB2312" w:hAnsi="仿宋" w:eastAsia="仿宋_GB2312"/>
          <w:bCs/>
          <w:color w:val="000000"/>
          <w:kern w:val="0"/>
          <w:sz w:val="32"/>
          <w:szCs w:val="32"/>
        </w:rPr>
        <w:t>我</w:t>
      </w:r>
      <w:r>
        <w:rPr>
          <w:rFonts w:hint="eastAsia" w:ascii="仿宋_GB2312" w:hAnsi="仿宋" w:eastAsia="仿宋_GB2312"/>
          <w:bCs/>
          <w:color w:val="000000"/>
          <w:kern w:val="0"/>
          <w:sz w:val="32"/>
          <w:szCs w:val="32"/>
          <w:lang w:val="en-US" w:eastAsia="zh-CN"/>
        </w:rPr>
        <w:t>中心</w:t>
      </w:r>
      <w:r>
        <w:rPr>
          <w:rFonts w:hint="eastAsia" w:ascii="仿宋_GB2312" w:hAnsi="仿宋" w:eastAsia="仿宋_GB2312"/>
          <w:bCs/>
          <w:color w:val="000000"/>
          <w:kern w:val="0"/>
          <w:sz w:val="32"/>
          <w:szCs w:val="32"/>
        </w:rPr>
        <w:t>为一级预算单位</w:t>
      </w:r>
      <w:r>
        <w:rPr>
          <w:rFonts w:hint="eastAsia" w:ascii="仿宋_GB2312" w:hAnsi="仿宋" w:eastAsia="仿宋_GB2312"/>
          <w:bCs/>
          <w:color w:val="000000"/>
          <w:kern w:val="0"/>
          <w:sz w:val="32"/>
          <w:szCs w:val="32"/>
          <w:lang w:eastAsia="zh-CN"/>
        </w:rPr>
        <w:t>，是</w:t>
      </w:r>
      <w:r>
        <w:rPr>
          <w:rFonts w:hint="eastAsia" w:ascii="仿宋_GB2312" w:hAnsi="仿宋_GB2312" w:eastAsia="仿宋_GB2312" w:cs="仿宋_GB2312"/>
          <w:sz w:val="32"/>
          <w:szCs w:val="32"/>
          <w:lang w:val="en-US" w:eastAsia="zh-CN"/>
        </w:rPr>
        <w:t>县政府直属公益一类事业单位，为正科级单位。</w:t>
      </w:r>
      <w:r>
        <w:rPr>
          <w:rFonts w:hint="eastAsia" w:ascii="仿宋_GB2312" w:hAnsi="仿宋" w:eastAsia="仿宋_GB2312"/>
          <w:bCs/>
          <w:color w:val="000000"/>
          <w:kern w:val="0"/>
          <w:sz w:val="32"/>
          <w:szCs w:val="32"/>
        </w:rPr>
        <w:t>下属二级预算单位0个</w:t>
      </w:r>
      <w:r>
        <w:rPr>
          <w:rFonts w:hint="eastAsia" w:ascii="仿宋_GB2312" w:hAnsi="仿宋" w:eastAsia="仿宋_GB2312"/>
          <w:bCs/>
          <w:color w:val="000000"/>
          <w:kern w:val="0"/>
          <w:sz w:val="32"/>
          <w:szCs w:val="32"/>
          <w:lang w:eastAsia="zh-CN"/>
        </w:rPr>
        <w:t>。</w:t>
      </w:r>
    </w:p>
    <w:p w14:paraId="780D5A6B">
      <w:pPr>
        <w:pageBreakBefore w:val="0"/>
        <w:widowControl/>
        <w:kinsoku/>
        <w:wordWrap/>
        <w:overflowPunct/>
        <w:topLinePunct w:val="0"/>
        <w:autoSpaceDE/>
        <w:autoSpaceDN/>
        <w:bidi w:val="0"/>
        <w:adjustRightInd/>
        <w:spacing w:line="578" w:lineRule="exact"/>
        <w:jc w:val="left"/>
        <w:textAlignment w:val="auto"/>
        <w:rPr>
          <w:rFonts w:ascii="仿宋" w:hAnsi="仿宋" w:eastAsia="仿宋"/>
          <w:kern w:val="0"/>
          <w:sz w:val="32"/>
          <w:szCs w:val="32"/>
        </w:rPr>
      </w:pPr>
      <w:r>
        <w:rPr>
          <w:rFonts w:ascii="仿宋" w:hAnsi="仿宋" w:eastAsia="仿宋"/>
          <w:sz w:val="32"/>
          <w:szCs w:val="32"/>
        </w:rPr>
        <w:br w:type="page"/>
      </w:r>
    </w:p>
    <w:p w14:paraId="75225086">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部门决算情况说明</w:t>
      </w:r>
      <w:bookmarkEnd w:id="16"/>
      <w:bookmarkEnd w:id="17"/>
    </w:p>
    <w:p w14:paraId="5A35817A"/>
    <w:p w14:paraId="6A18285C">
      <w:pPr>
        <w:pStyle w:val="26"/>
        <w:numPr>
          <w:ilvl w:val="0"/>
          <w:numId w:val="3"/>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D8B85CD">
      <w:pPr>
        <w:spacing w:line="570" w:lineRule="exact"/>
        <w:ind w:firstLine="640" w:firstLineChars="200"/>
        <w:rPr>
          <w:rFonts w:hint="eastAsia" w:ascii="仿宋_GB2312" w:hAnsi="仿宋" w:eastAsia="仿宋_GB2312"/>
          <w:bCs/>
          <w:color w:val="000000"/>
          <w:kern w:val="0"/>
          <w:sz w:val="32"/>
          <w:szCs w:val="32"/>
          <w:lang w:eastAsia="zh-CN"/>
        </w:rPr>
      </w:pPr>
      <w:r>
        <w:rPr>
          <w:rFonts w:hint="eastAsia" w:ascii="仿宋_GB2312" w:hAnsi="仿宋" w:eastAsia="仿宋_GB2312"/>
          <w:bCs/>
          <w:color w:val="000000"/>
          <w:kern w:val="0"/>
          <w:sz w:val="32"/>
          <w:szCs w:val="32"/>
          <w:lang w:eastAsia="zh-CN"/>
        </w:rPr>
        <w:drawing>
          <wp:anchor distT="0" distB="0" distL="114300" distR="114300" simplePos="0" relativeHeight="251660288" behindDoc="0" locked="0" layoutInCell="1" allowOverlap="1">
            <wp:simplePos x="0" y="0"/>
            <wp:positionH relativeFrom="column">
              <wp:posOffset>-85725</wp:posOffset>
            </wp:positionH>
            <wp:positionV relativeFrom="paragraph">
              <wp:posOffset>1269365</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 w:eastAsia="仿宋_GB2312"/>
          <w:bCs/>
          <w:color w:val="000000"/>
          <w:kern w:val="0"/>
          <w:sz w:val="32"/>
          <w:szCs w:val="32"/>
        </w:rPr>
        <w:t>202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年度收、支总计</w:t>
      </w:r>
      <w:r>
        <w:rPr>
          <w:rFonts w:hint="eastAsia" w:ascii="仿宋_GB2312" w:hAnsi="仿宋" w:eastAsia="仿宋_GB2312" w:cs="仿宋"/>
          <w:color w:val="000000"/>
          <w:sz w:val="32"/>
          <w:szCs w:val="32"/>
          <w:lang w:val="en-US" w:eastAsia="zh-CN"/>
        </w:rPr>
        <w:t>307.30</w:t>
      </w:r>
      <w:r>
        <w:rPr>
          <w:rFonts w:hint="eastAsia" w:ascii="仿宋_GB2312" w:hAnsi="仿宋" w:eastAsia="仿宋_GB2312"/>
          <w:bCs/>
          <w:color w:val="000000"/>
          <w:kern w:val="0"/>
          <w:sz w:val="32"/>
          <w:szCs w:val="32"/>
        </w:rPr>
        <w:t>万元。与202</w:t>
      </w:r>
      <w:r>
        <w:rPr>
          <w:rFonts w:hint="eastAsia" w:ascii="仿宋_GB2312" w:hAnsi="仿宋" w:eastAsia="仿宋_GB2312"/>
          <w:bCs/>
          <w:color w:val="000000"/>
          <w:kern w:val="0"/>
          <w:sz w:val="32"/>
          <w:szCs w:val="32"/>
          <w:lang w:val="en-US" w:eastAsia="zh-CN"/>
        </w:rPr>
        <w:t>2</w:t>
      </w:r>
      <w:r>
        <w:rPr>
          <w:rFonts w:hint="eastAsia" w:ascii="仿宋_GB2312" w:hAnsi="仿宋" w:eastAsia="仿宋_GB2312"/>
          <w:bCs/>
          <w:color w:val="000000"/>
          <w:kern w:val="0"/>
          <w:sz w:val="32"/>
          <w:szCs w:val="32"/>
        </w:rPr>
        <w:t>年相比，收、支总计</w:t>
      </w:r>
      <w:r>
        <w:rPr>
          <w:rFonts w:hint="eastAsia" w:ascii="仿宋_GB2312" w:hAnsi="仿宋" w:eastAsia="仿宋_GB2312"/>
          <w:bCs/>
          <w:color w:val="000000"/>
          <w:kern w:val="0"/>
          <w:sz w:val="32"/>
          <w:szCs w:val="32"/>
          <w:lang w:val="en-US" w:eastAsia="zh-CN"/>
        </w:rPr>
        <w:t>各增加111.51</w:t>
      </w:r>
      <w:r>
        <w:rPr>
          <w:rFonts w:hint="eastAsia" w:ascii="仿宋_GB2312" w:hAnsi="仿宋" w:eastAsia="仿宋_GB2312"/>
          <w:bCs/>
          <w:color w:val="000000"/>
          <w:kern w:val="0"/>
          <w:sz w:val="32"/>
          <w:szCs w:val="32"/>
        </w:rPr>
        <w:t>万元，</w:t>
      </w:r>
      <w:r>
        <w:rPr>
          <w:rFonts w:hint="eastAsia" w:ascii="仿宋_GB2312" w:hAnsi="仿宋" w:eastAsia="仿宋_GB2312"/>
          <w:bCs/>
          <w:color w:val="000000"/>
          <w:kern w:val="0"/>
          <w:sz w:val="32"/>
          <w:szCs w:val="32"/>
          <w:lang w:val="en-US" w:eastAsia="zh-CN"/>
        </w:rPr>
        <w:t>上升56.95</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。主要变动原因是</w:t>
      </w:r>
      <w:r>
        <w:rPr>
          <w:rFonts w:hint="eastAsia" w:ascii="仿宋_GB2312" w:hAnsi="仿宋" w:eastAsia="仿宋_GB2312"/>
          <w:bCs/>
          <w:color w:val="000000"/>
          <w:kern w:val="0"/>
          <w:sz w:val="32"/>
          <w:szCs w:val="32"/>
          <w:lang w:val="en-US" w:eastAsia="zh-CN"/>
        </w:rPr>
        <w:t>新增人员基本支出增加</w:t>
      </w:r>
      <w:r>
        <w:rPr>
          <w:rFonts w:hint="eastAsia" w:ascii="仿宋_GB2312" w:hAnsi="仿宋" w:eastAsia="仿宋_GB2312"/>
          <w:bCs/>
          <w:color w:val="000000"/>
          <w:kern w:val="0"/>
          <w:sz w:val="32"/>
          <w:szCs w:val="32"/>
        </w:rPr>
        <w:t>。</w:t>
      </w:r>
    </w:p>
    <w:p w14:paraId="09053AEE">
      <w:pPr>
        <w:spacing w:line="600" w:lineRule="exact"/>
        <w:ind w:firstLine="640" w:firstLineChars="200"/>
        <w:rPr>
          <w:rFonts w:ascii="仿宋_GB2312" w:eastAsia="仿宋_GB2312"/>
          <w:sz w:val="32"/>
          <w:szCs w:val="32"/>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5C43ADA2">
      <w:pPr>
        <w:pStyle w:val="26"/>
        <w:numPr>
          <w:ilvl w:val="0"/>
          <w:numId w:val="3"/>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4A9C161B">
      <w:pPr>
        <w:spacing w:line="570" w:lineRule="exact"/>
        <w:ind w:firstLine="640" w:firstLineChars="200"/>
        <w:rPr>
          <w:rFonts w:ascii="仿宋" w:hAnsi="仿宋" w:eastAsia="仿宋"/>
          <w:sz w:val="32"/>
          <w:szCs w:val="32"/>
        </w:rPr>
      </w:pP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年本年收入合计</w:t>
      </w:r>
      <w:r>
        <w:rPr>
          <w:rFonts w:hint="eastAsia" w:ascii="仿宋_GB2312" w:hAnsi="仿宋" w:eastAsia="仿宋_GB2312" w:cs="仿宋"/>
          <w:color w:val="000000"/>
          <w:sz w:val="32"/>
          <w:szCs w:val="32"/>
          <w:lang w:val="en-US" w:eastAsia="zh-CN"/>
        </w:rPr>
        <w:t>307.30</w:t>
      </w:r>
      <w:r>
        <w:rPr>
          <w:rFonts w:hint="eastAsia" w:ascii="仿宋_GB2312" w:hAnsi="仿宋" w:eastAsia="仿宋_GB2312"/>
          <w:bCs/>
          <w:color w:val="000000"/>
          <w:kern w:val="0"/>
          <w:sz w:val="32"/>
          <w:szCs w:val="32"/>
        </w:rPr>
        <w:t>万元，其中：一般公共预算财政拨款收入</w:t>
      </w:r>
      <w:r>
        <w:rPr>
          <w:rFonts w:hint="eastAsia" w:ascii="仿宋_GB2312" w:hAnsi="仿宋" w:eastAsia="仿宋_GB2312" w:cs="仿宋"/>
          <w:color w:val="000000"/>
          <w:sz w:val="32"/>
          <w:szCs w:val="32"/>
          <w:lang w:val="en-US" w:eastAsia="zh-CN"/>
        </w:rPr>
        <w:t>307.30</w:t>
      </w:r>
      <w:r>
        <w:rPr>
          <w:rFonts w:hint="eastAsia" w:ascii="仿宋_GB2312" w:hAnsi="仿宋" w:eastAsia="仿宋_GB2312"/>
          <w:bCs/>
          <w:color w:val="000000"/>
          <w:kern w:val="0"/>
          <w:sz w:val="32"/>
          <w:szCs w:val="32"/>
        </w:rPr>
        <w:t>万元，占</w:t>
      </w:r>
      <w:r>
        <w:rPr>
          <w:rFonts w:hint="eastAsia" w:ascii="仿宋_GB2312" w:hAnsi="仿宋" w:eastAsia="仿宋_GB2312"/>
          <w:bCs/>
          <w:color w:val="000000"/>
          <w:kern w:val="0"/>
          <w:sz w:val="32"/>
          <w:szCs w:val="32"/>
          <w:lang w:val="en-US" w:eastAsia="zh-CN"/>
        </w:rPr>
        <w:t>100</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w:t>
      </w:r>
    </w:p>
    <w:p w14:paraId="075C400E">
      <w:pPr>
        <w:spacing w:line="600" w:lineRule="exact"/>
        <w:ind w:firstLine="640" w:firstLineChars="200"/>
        <w:jc w:val="center"/>
        <w:rPr>
          <w:rFonts w:ascii="仿宋_GB2312" w:eastAsia="仿宋_GB2312"/>
          <w:sz w:val="32"/>
          <w:szCs w:val="32"/>
          <w:highlight w:val="none"/>
        </w:rPr>
      </w:pPr>
      <w:r>
        <w:rPr>
          <w:rFonts w:hint="eastAsia" w:ascii="仿宋" w:hAnsi="仿宋" w:eastAsia="仿宋"/>
          <w:sz w:val="32"/>
          <w:szCs w:val="32"/>
          <w:highlight w:val="none"/>
          <w:lang w:eastAsia="zh-CN"/>
        </w:rPr>
        <w:drawing>
          <wp:anchor distT="0" distB="0" distL="114300" distR="114300" simplePos="0" relativeHeight="251661312" behindDoc="0" locked="0" layoutInCell="1" allowOverlap="1">
            <wp:simplePos x="0" y="0"/>
            <wp:positionH relativeFrom="column">
              <wp:posOffset>-64135</wp:posOffset>
            </wp:positionH>
            <wp:positionV relativeFrom="paragraph">
              <wp:posOffset>108585</wp:posOffset>
            </wp:positionV>
            <wp:extent cx="5256530" cy="2988310"/>
            <wp:effectExtent l="5080" t="4445" r="15240" b="171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highlight w:val="none"/>
        </w:rPr>
        <w:t>（图2：收入决算结构图）（饼状图）</w:t>
      </w:r>
    </w:p>
    <w:p w14:paraId="173B5767">
      <w:pPr>
        <w:pStyle w:val="26"/>
        <w:numPr>
          <w:ilvl w:val="0"/>
          <w:numId w:val="3"/>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61DD32B5">
      <w:pPr>
        <w:spacing w:line="570" w:lineRule="exact"/>
        <w:ind w:firstLine="640" w:firstLineChars="200"/>
        <w:rPr>
          <w:rFonts w:ascii="仿宋" w:hAnsi="仿宋" w:eastAsia="仿宋"/>
          <w:sz w:val="32"/>
          <w:szCs w:val="32"/>
          <w:shd w:val="pct10" w:color="auto" w:fill="FFFFFF"/>
        </w:rPr>
      </w:pPr>
      <w:r>
        <w:rPr>
          <w:rFonts w:hint="eastAsia" w:ascii="仿宋" w:hAnsi="仿宋" w:eastAsia="仿宋"/>
          <w:sz w:val="32"/>
          <w:szCs w:val="32"/>
          <w:shd w:val="pct10" w:color="auto" w:fill="FFFFFF"/>
          <w:lang w:eastAsia="zh-CN"/>
        </w:rPr>
        <w:drawing>
          <wp:anchor distT="0" distB="0" distL="114300" distR="114300" simplePos="0" relativeHeight="251662336" behindDoc="0" locked="0" layoutInCell="1" allowOverlap="1">
            <wp:simplePos x="0" y="0"/>
            <wp:positionH relativeFrom="column">
              <wp:posOffset>326390</wp:posOffset>
            </wp:positionH>
            <wp:positionV relativeFrom="paragraph">
              <wp:posOffset>1022985</wp:posOffset>
            </wp:positionV>
            <wp:extent cx="5256530" cy="2988310"/>
            <wp:effectExtent l="5080" t="4445" r="15240" b="1714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年本年支出合计</w:t>
      </w:r>
      <w:r>
        <w:rPr>
          <w:rFonts w:hint="eastAsia" w:ascii="仿宋_GB2312" w:hAnsi="仿宋" w:eastAsia="仿宋_GB2312" w:cs="仿宋"/>
          <w:color w:val="000000"/>
          <w:sz w:val="32"/>
          <w:szCs w:val="32"/>
          <w:lang w:val="en-US" w:eastAsia="zh-CN"/>
        </w:rPr>
        <w:t>307.30</w:t>
      </w:r>
      <w:r>
        <w:rPr>
          <w:rFonts w:hint="eastAsia" w:ascii="仿宋_GB2312" w:hAnsi="仿宋" w:eastAsia="仿宋_GB2312"/>
          <w:bCs/>
          <w:color w:val="000000"/>
          <w:kern w:val="0"/>
          <w:sz w:val="32"/>
          <w:szCs w:val="32"/>
        </w:rPr>
        <w:t>万元，其中：基本支出</w:t>
      </w:r>
      <w:r>
        <w:rPr>
          <w:rFonts w:hint="eastAsia" w:ascii="仿宋_GB2312" w:hAnsi="仿宋" w:eastAsia="仿宋_GB2312"/>
          <w:bCs/>
          <w:color w:val="000000"/>
          <w:kern w:val="0"/>
          <w:sz w:val="32"/>
          <w:szCs w:val="32"/>
          <w:lang w:val="en-US" w:eastAsia="zh-CN"/>
        </w:rPr>
        <w:t>241.10</w:t>
      </w:r>
      <w:r>
        <w:rPr>
          <w:rFonts w:hint="eastAsia" w:ascii="仿宋_GB2312" w:hAnsi="仿宋" w:eastAsia="仿宋_GB2312"/>
          <w:bCs/>
          <w:color w:val="000000"/>
          <w:kern w:val="0"/>
          <w:sz w:val="32"/>
          <w:szCs w:val="32"/>
        </w:rPr>
        <w:t>万元，占</w:t>
      </w:r>
      <w:r>
        <w:rPr>
          <w:rFonts w:hint="eastAsia" w:ascii="仿宋_GB2312" w:hAnsi="仿宋" w:eastAsia="仿宋_GB2312"/>
          <w:bCs/>
          <w:color w:val="000000"/>
          <w:kern w:val="0"/>
          <w:sz w:val="32"/>
          <w:szCs w:val="32"/>
          <w:lang w:val="en-US" w:eastAsia="zh-CN"/>
        </w:rPr>
        <w:t>78.46</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；项目支出</w:t>
      </w:r>
      <w:r>
        <w:rPr>
          <w:rFonts w:hint="eastAsia" w:ascii="仿宋_GB2312" w:hAnsi="仿宋" w:eastAsia="仿宋_GB2312"/>
          <w:bCs/>
          <w:color w:val="000000"/>
          <w:kern w:val="0"/>
          <w:sz w:val="32"/>
          <w:szCs w:val="32"/>
          <w:lang w:val="en-US" w:eastAsia="zh-CN"/>
        </w:rPr>
        <w:t>66.20</w:t>
      </w:r>
      <w:r>
        <w:rPr>
          <w:rFonts w:hint="eastAsia" w:ascii="仿宋_GB2312" w:hAnsi="仿宋" w:eastAsia="仿宋_GB2312"/>
          <w:bCs/>
          <w:color w:val="000000"/>
          <w:kern w:val="0"/>
          <w:sz w:val="32"/>
          <w:szCs w:val="32"/>
        </w:rPr>
        <w:t>万元，占</w:t>
      </w:r>
      <w:r>
        <w:rPr>
          <w:rFonts w:hint="eastAsia" w:ascii="仿宋_GB2312" w:hAnsi="仿宋" w:eastAsia="仿宋_GB2312"/>
          <w:bCs/>
          <w:color w:val="000000"/>
          <w:kern w:val="0"/>
          <w:sz w:val="32"/>
          <w:szCs w:val="32"/>
          <w:lang w:val="en-US" w:eastAsia="zh-CN"/>
        </w:rPr>
        <w:t>21.54</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w:t>
      </w:r>
    </w:p>
    <w:p w14:paraId="45952296">
      <w:pPr>
        <w:spacing w:line="600" w:lineRule="exact"/>
        <w:ind w:firstLine="640" w:firstLineChars="200"/>
        <w:jc w:val="center"/>
        <w:rPr>
          <w:rFonts w:ascii="仿宋" w:hAnsi="仿宋" w:eastAsia="仿宋"/>
          <w:sz w:val="32"/>
          <w:szCs w:val="32"/>
          <w:highlight w:val="none"/>
        </w:rPr>
      </w:pPr>
      <w:r>
        <w:rPr>
          <w:rFonts w:hint="eastAsia" w:ascii="仿宋" w:hAnsi="仿宋" w:eastAsia="仿宋"/>
          <w:sz w:val="32"/>
          <w:szCs w:val="32"/>
          <w:highlight w:val="none"/>
        </w:rPr>
        <w:t>（图3：支出决算结构图）（饼状图）</w:t>
      </w:r>
    </w:p>
    <w:p w14:paraId="5EB474EF">
      <w:pPr>
        <w:spacing w:line="600" w:lineRule="exact"/>
        <w:ind w:firstLine="640" w:firstLineChars="200"/>
        <w:rPr>
          <w:rFonts w:ascii="仿宋_GB2312" w:eastAsia="仿宋_GB2312"/>
          <w:sz w:val="32"/>
          <w:szCs w:val="32"/>
        </w:rPr>
      </w:pPr>
    </w:p>
    <w:p w14:paraId="7E5D3082">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16A6F05E">
      <w:pPr>
        <w:spacing w:line="570" w:lineRule="exact"/>
        <w:ind w:firstLine="640" w:firstLineChars="200"/>
        <w:rPr>
          <w:rFonts w:hint="eastAsia" w:ascii="仿宋" w:hAnsi="仿宋" w:eastAsia="仿宋"/>
          <w:sz w:val="32"/>
          <w:szCs w:val="32"/>
          <w:lang w:eastAsia="zh-CN"/>
        </w:rPr>
      </w:pP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3年度</w:t>
      </w:r>
      <w:r>
        <w:rPr>
          <w:rFonts w:hint="eastAsia" w:ascii="仿宋_GB2312" w:hAnsi="仿宋" w:eastAsia="仿宋_GB2312"/>
          <w:bCs/>
          <w:color w:val="000000"/>
          <w:kern w:val="0"/>
          <w:sz w:val="32"/>
          <w:szCs w:val="32"/>
        </w:rPr>
        <w:t>财政拨款收、支总计</w:t>
      </w:r>
      <w:r>
        <w:rPr>
          <w:rFonts w:hint="eastAsia" w:ascii="仿宋_GB2312" w:hAnsi="仿宋" w:eastAsia="仿宋_GB2312" w:cs="仿宋"/>
          <w:color w:val="000000"/>
          <w:sz w:val="32"/>
          <w:szCs w:val="32"/>
          <w:lang w:val="en-US" w:eastAsia="zh-CN"/>
        </w:rPr>
        <w:t>307.30</w:t>
      </w:r>
      <w:r>
        <w:rPr>
          <w:rFonts w:hint="eastAsia" w:ascii="仿宋_GB2312" w:hAnsi="仿宋" w:eastAsia="仿宋_GB2312"/>
          <w:bCs/>
          <w:color w:val="000000"/>
          <w:kern w:val="0"/>
          <w:sz w:val="32"/>
          <w:szCs w:val="32"/>
        </w:rPr>
        <w:t>万元。与</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2</w:t>
      </w:r>
      <w:r>
        <w:rPr>
          <w:rFonts w:hint="eastAsia" w:ascii="仿宋_GB2312" w:hAnsi="仿宋" w:eastAsia="仿宋_GB2312"/>
          <w:bCs/>
          <w:color w:val="000000"/>
          <w:kern w:val="0"/>
          <w:sz w:val="32"/>
          <w:szCs w:val="32"/>
        </w:rPr>
        <w:t>年相比，财政拨款收、支总计各</w:t>
      </w:r>
      <w:r>
        <w:rPr>
          <w:rFonts w:hint="eastAsia" w:ascii="仿宋_GB2312" w:hAnsi="仿宋" w:eastAsia="仿宋_GB2312"/>
          <w:bCs/>
          <w:color w:val="000000"/>
          <w:kern w:val="0"/>
          <w:sz w:val="32"/>
          <w:szCs w:val="32"/>
          <w:lang w:val="en-US" w:eastAsia="zh-CN"/>
        </w:rPr>
        <w:t>增加111.51</w:t>
      </w:r>
      <w:r>
        <w:rPr>
          <w:rFonts w:hint="eastAsia" w:ascii="仿宋_GB2312" w:hAnsi="仿宋" w:eastAsia="仿宋_GB2312"/>
          <w:bCs/>
          <w:color w:val="000000"/>
          <w:kern w:val="0"/>
          <w:sz w:val="32"/>
          <w:szCs w:val="32"/>
        </w:rPr>
        <w:t>万元，</w:t>
      </w:r>
      <w:r>
        <w:rPr>
          <w:rFonts w:hint="eastAsia" w:ascii="仿宋_GB2312" w:hAnsi="仿宋" w:eastAsia="仿宋_GB2312"/>
          <w:bCs/>
          <w:color w:val="000000"/>
          <w:kern w:val="0"/>
          <w:sz w:val="32"/>
          <w:szCs w:val="32"/>
          <w:lang w:val="en-US" w:eastAsia="zh-CN"/>
        </w:rPr>
        <w:t>上升56.95</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。主要变动原因</w:t>
      </w:r>
      <w:r>
        <w:rPr>
          <w:rFonts w:hint="eastAsia" w:ascii="仿宋_GB2312" w:hAnsi="仿宋" w:eastAsia="仿宋_GB2312"/>
          <w:bCs/>
          <w:color w:val="000000"/>
          <w:kern w:val="0"/>
          <w:sz w:val="32"/>
          <w:szCs w:val="32"/>
          <w:lang w:val="en-US" w:eastAsia="zh-CN"/>
        </w:rPr>
        <w:t>是人员增加基本支出增加。</w:t>
      </w:r>
    </w:p>
    <w:p w14:paraId="47BC0C2F">
      <w:pPr>
        <w:spacing w:line="600" w:lineRule="exact"/>
        <w:ind w:firstLine="640" w:firstLineChars="200"/>
        <w:rPr>
          <w:rFonts w:ascii="仿宋" w:hAnsi="仿宋" w:eastAsia="仿宋"/>
          <w:b/>
          <w:sz w:val="32"/>
          <w:szCs w:val="32"/>
          <w:highlight w:val="none"/>
        </w:rPr>
      </w:pPr>
      <w:r>
        <w:rPr>
          <w:rFonts w:hint="eastAsia" w:ascii="仿宋_GB2312" w:hAnsi="仿宋" w:eastAsia="仿宋_GB2312"/>
          <w:bCs/>
          <w:color w:val="000000"/>
          <w:kern w:val="0"/>
          <w:sz w:val="32"/>
          <w:szCs w:val="32"/>
          <w:highlight w:val="none"/>
          <w:lang w:eastAsia="zh-CN"/>
        </w:rPr>
        <w:drawing>
          <wp:anchor distT="0" distB="0" distL="114300" distR="114300" simplePos="0" relativeHeight="251663360" behindDoc="0" locked="0" layoutInCell="1" allowOverlap="1">
            <wp:simplePos x="0" y="0"/>
            <wp:positionH relativeFrom="column">
              <wp:posOffset>227330</wp:posOffset>
            </wp:positionH>
            <wp:positionV relativeFrom="paragraph">
              <wp:posOffset>152400</wp:posOffset>
            </wp:positionV>
            <wp:extent cx="5256530" cy="2988310"/>
            <wp:effectExtent l="5080" t="4445" r="15240"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highlight w:val="none"/>
        </w:rPr>
        <w:t>（图4：财政拨款收、支决算总计变动情况）（柱状图）</w:t>
      </w:r>
    </w:p>
    <w:p w14:paraId="251F5FAF">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1AB8F426">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18ADFDA8">
      <w:pPr>
        <w:spacing w:line="570" w:lineRule="exact"/>
        <w:ind w:firstLine="640" w:firstLineChars="200"/>
        <w:rPr>
          <w:rFonts w:hint="eastAsia" w:ascii="仿宋_GB2312" w:hAnsi="仿宋" w:eastAsia="仿宋_GB2312"/>
          <w:bCs/>
          <w:color w:val="000000"/>
          <w:kern w:val="0"/>
          <w:sz w:val="32"/>
          <w:szCs w:val="32"/>
          <w:lang w:val="en-US" w:eastAsia="zh-CN"/>
        </w:rPr>
      </w:pP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年一般公共预算财政拨款支出</w:t>
      </w:r>
      <w:r>
        <w:rPr>
          <w:rFonts w:hint="eastAsia" w:ascii="仿宋_GB2312" w:hAnsi="仿宋" w:eastAsia="仿宋_GB2312" w:cs="仿宋"/>
          <w:color w:val="000000"/>
          <w:sz w:val="32"/>
          <w:szCs w:val="32"/>
          <w:lang w:val="en-US" w:eastAsia="zh-CN"/>
        </w:rPr>
        <w:t>307.30</w:t>
      </w:r>
      <w:r>
        <w:rPr>
          <w:rFonts w:hint="eastAsia" w:ascii="仿宋_GB2312" w:hAnsi="仿宋" w:eastAsia="仿宋_GB2312"/>
          <w:bCs/>
          <w:color w:val="000000"/>
          <w:kern w:val="0"/>
          <w:sz w:val="32"/>
          <w:szCs w:val="32"/>
        </w:rPr>
        <w:t>万元，占本年支出合计的</w:t>
      </w:r>
      <w:r>
        <w:rPr>
          <w:rFonts w:hint="eastAsia" w:ascii="仿宋_GB2312" w:hAnsi="仿宋" w:eastAsia="仿宋_GB2312"/>
          <w:bCs/>
          <w:color w:val="000000"/>
          <w:kern w:val="0"/>
          <w:sz w:val="32"/>
          <w:szCs w:val="32"/>
          <w:lang w:val="en-US" w:eastAsia="zh-CN"/>
        </w:rPr>
        <w:t>100</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。与</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2</w:t>
      </w:r>
      <w:r>
        <w:rPr>
          <w:rFonts w:hint="eastAsia" w:ascii="仿宋_GB2312" w:hAnsi="仿宋" w:eastAsia="仿宋_GB2312"/>
          <w:bCs/>
          <w:color w:val="000000"/>
          <w:kern w:val="0"/>
          <w:sz w:val="32"/>
          <w:szCs w:val="32"/>
        </w:rPr>
        <w:t>年相比，一般公共预算财政拨款支出</w:t>
      </w:r>
      <w:r>
        <w:rPr>
          <w:rFonts w:hint="eastAsia" w:ascii="仿宋_GB2312" w:hAnsi="仿宋" w:eastAsia="仿宋_GB2312"/>
          <w:bCs/>
          <w:color w:val="000000"/>
          <w:kern w:val="0"/>
          <w:sz w:val="32"/>
          <w:szCs w:val="32"/>
          <w:lang w:val="en-US" w:eastAsia="zh-CN"/>
        </w:rPr>
        <w:t>增加111.51</w:t>
      </w:r>
      <w:r>
        <w:rPr>
          <w:rFonts w:hint="eastAsia" w:ascii="仿宋_GB2312" w:hAnsi="仿宋" w:eastAsia="仿宋_GB2312"/>
          <w:bCs/>
          <w:color w:val="000000"/>
          <w:kern w:val="0"/>
          <w:sz w:val="32"/>
          <w:szCs w:val="32"/>
        </w:rPr>
        <w:t>万元，</w:t>
      </w:r>
      <w:r>
        <w:rPr>
          <w:rFonts w:hint="eastAsia" w:ascii="仿宋_GB2312" w:hAnsi="仿宋" w:eastAsia="仿宋_GB2312"/>
          <w:bCs/>
          <w:color w:val="000000"/>
          <w:kern w:val="0"/>
          <w:sz w:val="32"/>
          <w:szCs w:val="32"/>
          <w:lang w:val="en-US" w:eastAsia="zh-CN"/>
        </w:rPr>
        <w:t>上升56.95</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。主要变动原因是</w:t>
      </w:r>
      <w:r>
        <w:rPr>
          <w:rFonts w:hint="eastAsia" w:ascii="仿宋_GB2312" w:hAnsi="仿宋" w:eastAsia="仿宋_GB2312"/>
          <w:bCs/>
          <w:color w:val="000000"/>
          <w:kern w:val="0"/>
          <w:sz w:val="32"/>
          <w:szCs w:val="32"/>
          <w:lang w:val="en-US" w:eastAsia="zh-CN"/>
        </w:rPr>
        <w:t>人员增加基本支出增加。</w:t>
      </w:r>
    </w:p>
    <w:p w14:paraId="042DA76C">
      <w:pPr>
        <w:spacing w:line="570" w:lineRule="exact"/>
        <w:rPr>
          <w:rFonts w:ascii="仿宋" w:hAnsi="仿宋" w:eastAsia="仿宋"/>
          <w:sz w:val="32"/>
          <w:szCs w:val="32"/>
          <w:highlight w:val="none"/>
        </w:rPr>
      </w:pPr>
      <w:r>
        <w:rPr>
          <w:rFonts w:hint="eastAsia" w:ascii="仿宋_GB2312" w:hAnsi="仿宋" w:eastAsia="仿宋_GB2312"/>
          <w:bCs/>
          <w:color w:val="000000"/>
          <w:kern w:val="0"/>
          <w:sz w:val="32"/>
          <w:szCs w:val="32"/>
          <w:highlight w:val="none"/>
          <w:lang w:eastAsia="zh-CN"/>
        </w:rPr>
        <w:drawing>
          <wp:anchor distT="0" distB="0" distL="114300" distR="114300" simplePos="0" relativeHeight="251664384" behindDoc="0" locked="0" layoutInCell="1" allowOverlap="1">
            <wp:simplePos x="0" y="0"/>
            <wp:positionH relativeFrom="column">
              <wp:posOffset>14605</wp:posOffset>
            </wp:positionH>
            <wp:positionV relativeFrom="paragraph">
              <wp:posOffset>243205</wp:posOffset>
            </wp:positionV>
            <wp:extent cx="5256530" cy="2417445"/>
            <wp:effectExtent l="4445" t="4445" r="15875" b="1651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highlight w:val="none"/>
        </w:rPr>
        <w:t>（图5：一般公共预算财政拨款支出决算变动情况）（柱状图）</w:t>
      </w:r>
    </w:p>
    <w:p w14:paraId="0D3536CA">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624709EB">
      <w:pPr>
        <w:spacing w:line="570" w:lineRule="exact"/>
        <w:ind w:firstLine="640" w:firstLineChars="200"/>
      </w:pPr>
      <w:r>
        <w:rPr>
          <w:rFonts w:hint="eastAsia" w:ascii="仿宋_GB2312" w:hAnsi="仿宋" w:eastAsia="仿宋_GB2312"/>
          <w:bCs/>
          <w:color w:val="000000"/>
          <w:kern w:val="0"/>
          <w:sz w:val="32"/>
          <w:szCs w:val="32"/>
          <w:lang w:val="en-US" w:eastAsia="zh-CN"/>
        </w:rPr>
        <w:t>2</w:t>
      </w:r>
      <w:r>
        <w:rPr>
          <w:rFonts w:ascii="仿宋_GB2312" w:hAnsi="仿宋" w:eastAsia="仿宋_GB2312"/>
          <w:bCs/>
          <w:color w:val="000000"/>
          <w:kern w:val="0"/>
          <w:sz w:val="32"/>
          <w:szCs w:val="32"/>
        </w:rPr>
        <w:t>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年一般公共预算财政拨款支出</w:t>
      </w:r>
      <w:r>
        <w:rPr>
          <w:rFonts w:hint="eastAsia" w:ascii="仿宋_GB2312" w:hAnsi="仿宋" w:eastAsia="仿宋_GB2312" w:cs="仿宋"/>
          <w:color w:val="000000"/>
          <w:sz w:val="32"/>
          <w:szCs w:val="32"/>
          <w:lang w:val="en-US" w:eastAsia="zh-CN"/>
        </w:rPr>
        <w:t>307.30</w:t>
      </w:r>
      <w:r>
        <w:rPr>
          <w:rFonts w:hint="eastAsia" w:ascii="仿宋_GB2312" w:hAnsi="仿宋" w:eastAsia="仿宋_GB2312"/>
          <w:bCs/>
          <w:color w:val="000000"/>
          <w:kern w:val="0"/>
          <w:sz w:val="32"/>
          <w:szCs w:val="32"/>
        </w:rPr>
        <w:t>万元，主要用于以下方面</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lang w:val="en-US" w:eastAsia="zh-CN"/>
        </w:rPr>
        <w:t>一般公共服务支出9.00万元，2.93</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lang w:val="en-US" w:eastAsia="zh-CN"/>
        </w:rPr>
        <w:t>；</w:t>
      </w:r>
      <w:r>
        <w:rPr>
          <w:rFonts w:hint="eastAsia" w:ascii="仿宋_GB2312" w:hAnsi="仿宋" w:eastAsia="仿宋_GB2312"/>
          <w:bCs/>
          <w:color w:val="000000"/>
          <w:kern w:val="0"/>
          <w:sz w:val="32"/>
          <w:szCs w:val="32"/>
        </w:rPr>
        <w:t>社会保障和就业支出</w:t>
      </w:r>
      <w:r>
        <w:rPr>
          <w:rFonts w:hint="eastAsia" w:ascii="仿宋_GB2312" w:hAnsi="仿宋" w:eastAsia="仿宋_GB2312"/>
          <w:bCs/>
          <w:color w:val="000000"/>
          <w:kern w:val="0"/>
          <w:sz w:val="32"/>
          <w:szCs w:val="32"/>
          <w:lang w:val="en-US" w:eastAsia="zh-CN"/>
        </w:rPr>
        <w:t>265.39</w:t>
      </w:r>
      <w:r>
        <w:rPr>
          <w:rFonts w:hint="eastAsia" w:ascii="仿宋_GB2312" w:hAnsi="仿宋" w:eastAsia="仿宋_GB2312"/>
          <w:bCs/>
          <w:color w:val="000000"/>
          <w:kern w:val="0"/>
          <w:sz w:val="32"/>
          <w:szCs w:val="32"/>
        </w:rPr>
        <w:t>万元，占</w:t>
      </w:r>
      <w:r>
        <w:rPr>
          <w:rFonts w:hint="eastAsia" w:ascii="仿宋_GB2312" w:hAnsi="仿宋" w:eastAsia="仿宋_GB2312"/>
          <w:bCs/>
          <w:color w:val="000000"/>
          <w:kern w:val="0"/>
          <w:sz w:val="32"/>
          <w:szCs w:val="32"/>
          <w:lang w:val="en-US" w:eastAsia="zh-CN"/>
        </w:rPr>
        <w:t>86.36</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；卫生健康支出</w:t>
      </w:r>
      <w:r>
        <w:rPr>
          <w:rFonts w:hint="eastAsia" w:ascii="仿宋_GB2312" w:hAnsi="仿宋" w:eastAsia="仿宋_GB2312"/>
          <w:bCs/>
          <w:color w:val="000000"/>
          <w:kern w:val="0"/>
          <w:sz w:val="32"/>
          <w:szCs w:val="32"/>
          <w:lang w:val="en-US" w:eastAsia="zh-CN"/>
        </w:rPr>
        <w:t>10.06</w:t>
      </w:r>
      <w:r>
        <w:rPr>
          <w:rFonts w:hint="eastAsia" w:ascii="仿宋_GB2312" w:hAnsi="仿宋" w:eastAsia="仿宋_GB2312"/>
          <w:bCs/>
          <w:color w:val="000000"/>
          <w:kern w:val="0"/>
          <w:sz w:val="32"/>
          <w:szCs w:val="32"/>
        </w:rPr>
        <w:t>万元，占</w:t>
      </w:r>
      <w:r>
        <w:rPr>
          <w:rFonts w:hint="eastAsia" w:ascii="仿宋_GB2312" w:hAnsi="仿宋" w:eastAsia="仿宋_GB2312"/>
          <w:bCs/>
          <w:color w:val="000000"/>
          <w:kern w:val="0"/>
          <w:sz w:val="32"/>
          <w:szCs w:val="32"/>
          <w:lang w:val="en-US" w:eastAsia="zh-CN"/>
        </w:rPr>
        <w:t>3.27</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；住房保障支出</w:t>
      </w:r>
      <w:r>
        <w:rPr>
          <w:rFonts w:hint="eastAsia" w:ascii="仿宋_GB2312" w:hAnsi="仿宋" w:eastAsia="仿宋_GB2312"/>
          <w:bCs/>
          <w:color w:val="000000"/>
          <w:kern w:val="0"/>
          <w:sz w:val="32"/>
          <w:szCs w:val="32"/>
          <w:lang w:val="en-US" w:eastAsia="zh-CN"/>
        </w:rPr>
        <w:t>22.86</w:t>
      </w:r>
      <w:r>
        <w:rPr>
          <w:rFonts w:hint="eastAsia" w:ascii="仿宋_GB2312" w:hAnsi="仿宋" w:eastAsia="仿宋_GB2312"/>
          <w:bCs/>
          <w:color w:val="000000"/>
          <w:kern w:val="0"/>
          <w:sz w:val="32"/>
          <w:szCs w:val="32"/>
        </w:rPr>
        <w:t>万元，占</w:t>
      </w:r>
      <w:r>
        <w:rPr>
          <w:rFonts w:hint="eastAsia" w:ascii="仿宋_GB2312" w:hAnsi="仿宋" w:eastAsia="仿宋_GB2312"/>
          <w:bCs/>
          <w:color w:val="000000"/>
          <w:kern w:val="0"/>
          <w:sz w:val="32"/>
          <w:szCs w:val="32"/>
          <w:lang w:val="en-US" w:eastAsia="zh-CN"/>
        </w:rPr>
        <w:t>7.44</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w:t>
      </w:r>
    </w:p>
    <w:p w14:paraId="0AE6750C">
      <w:pPr>
        <w:spacing w:line="600" w:lineRule="exact"/>
        <w:rPr>
          <w:rFonts w:ascii="仿宋" w:hAnsi="仿宋" w:eastAsia="仿宋"/>
          <w:sz w:val="32"/>
          <w:szCs w:val="32"/>
          <w:highlight w:val="none"/>
        </w:rPr>
      </w:pPr>
      <w:r>
        <w:rPr>
          <w:rFonts w:hint="eastAsia" w:ascii="仿宋" w:hAnsi="仿宋" w:eastAsia="仿宋"/>
          <w:sz w:val="32"/>
          <w:szCs w:val="32"/>
          <w:highlight w:val="none"/>
          <w:lang w:eastAsia="zh-CN"/>
        </w:rPr>
        <w:drawing>
          <wp:anchor distT="0" distB="0" distL="114300" distR="114300" simplePos="0" relativeHeight="251665408" behindDoc="0" locked="0" layoutInCell="1" allowOverlap="1">
            <wp:simplePos x="0" y="0"/>
            <wp:positionH relativeFrom="column">
              <wp:posOffset>30480</wp:posOffset>
            </wp:positionH>
            <wp:positionV relativeFrom="paragraph">
              <wp:posOffset>249555</wp:posOffset>
            </wp:positionV>
            <wp:extent cx="5256530" cy="2629535"/>
            <wp:effectExtent l="4445" t="4445" r="15875" b="1397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highlight w:val="none"/>
        </w:rPr>
        <w:t>（图6：一般公共预算财政拨款支出决算结构）（饼状图）</w:t>
      </w:r>
    </w:p>
    <w:p w14:paraId="0CDCE648">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7401B7FD">
      <w:pPr>
        <w:spacing w:line="570" w:lineRule="exact"/>
        <w:ind w:firstLine="640" w:firstLineChars="20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202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年一般公共预算支出决算数为</w:t>
      </w:r>
      <w:r>
        <w:rPr>
          <w:rFonts w:hint="eastAsia" w:ascii="仿宋_GB2312" w:hAnsi="仿宋" w:eastAsia="仿宋_GB2312"/>
          <w:bCs/>
          <w:color w:val="000000"/>
          <w:kern w:val="0"/>
          <w:sz w:val="32"/>
          <w:szCs w:val="32"/>
          <w:lang w:val="en-US" w:eastAsia="zh-CN"/>
        </w:rPr>
        <w:t>307.30</w:t>
      </w:r>
      <w:r>
        <w:rPr>
          <w:rFonts w:hint="eastAsia" w:ascii="仿宋_GB2312" w:hAnsi="仿宋" w:eastAsia="仿宋_GB2312"/>
          <w:bCs/>
          <w:color w:val="000000"/>
          <w:kern w:val="0"/>
          <w:sz w:val="32"/>
          <w:szCs w:val="32"/>
        </w:rPr>
        <w:t>万元，</w:t>
      </w:r>
      <w:r>
        <w:rPr>
          <w:rFonts w:hint="eastAsia" w:ascii="仿宋_GB2312" w:eastAsia="仿宋_GB2312"/>
          <w:color w:val="000000"/>
          <w:kern w:val="0"/>
          <w:sz w:val="32"/>
          <w:szCs w:val="32"/>
        </w:rPr>
        <w:t>完成预算100</w:t>
      </w:r>
      <w:r>
        <w:rPr>
          <w:rFonts w:ascii="仿宋_GB2312" w:eastAsia="仿宋_GB2312"/>
          <w:color w:val="000000"/>
          <w:kern w:val="0"/>
          <w:sz w:val="32"/>
          <w:szCs w:val="32"/>
        </w:rPr>
        <w:t>%</w:t>
      </w:r>
      <w:r>
        <w:rPr>
          <w:rFonts w:hint="eastAsia" w:ascii="仿宋_GB2312" w:eastAsia="仿宋_GB2312"/>
          <w:color w:val="000000"/>
          <w:kern w:val="0"/>
          <w:sz w:val="32"/>
          <w:szCs w:val="32"/>
        </w:rPr>
        <w:t>。其中：</w:t>
      </w:r>
    </w:p>
    <w:p w14:paraId="4FC9EC48">
      <w:pPr>
        <w:spacing w:line="600" w:lineRule="exact"/>
        <w:ind w:firstLine="643" w:firstLineChars="200"/>
        <w:rPr>
          <w:rFonts w:hint="eastAsia" w:ascii="仿宋_GB2312" w:eastAsia="仿宋_GB2312"/>
          <w:b/>
          <w:color w:val="000000"/>
          <w:kern w:val="0"/>
          <w:sz w:val="32"/>
          <w:szCs w:val="32"/>
        </w:rPr>
      </w:pPr>
      <w:r>
        <w:rPr>
          <w:rFonts w:hint="eastAsia" w:ascii="仿宋_GB2312" w:eastAsia="仿宋_GB2312"/>
          <w:b/>
          <w:color w:val="000000"/>
          <w:kern w:val="0"/>
          <w:sz w:val="32"/>
          <w:szCs w:val="32"/>
          <w:highlight w:val="none"/>
          <w:lang w:val="en-US" w:eastAsia="zh-CN"/>
        </w:rPr>
        <w:t>1</w:t>
      </w:r>
      <w:r>
        <w:rPr>
          <w:rFonts w:hint="eastAsia" w:ascii="仿宋_GB2312" w:eastAsia="仿宋_GB2312"/>
          <w:b/>
          <w:color w:val="000000"/>
          <w:kern w:val="0"/>
          <w:sz w:val="32"/>
          <w:szCs w:val="32"/>
          <w:highlight w:val="none"/>
        </w:rPr>
        <w:t>.</w:t>
      </w:r>
      <w:r>
        <w:rPr>
          <w:rStyle w:val="16"/>
          <w:rFonts w:hint="eastAsia" w:ascii="仿宋" w:hAnsi="仿宋" w:eastAsia="仿宋"/>
          <w:bCs/>
          <w:sz w:val="32"/>
          <w:szCs w:val="32"/>
          <w:highlight w:val="none"/>
        </w:rPr>
        <w:t>一般公共服务（类）政府办公厅(室)及相关机构事务（款）信访事务（项）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9.00</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4BB709F1">
      <w:pPr>
        <w:spacing w:line="570" w:lineRule="exact"/>
        <w:ind w:firstLine="643" w:firstLineChars="200"/>
        <w:rPr>
          <w:rFonts w:ascii="仿宋_GB2312" w:hAnsi="仿宋" w:eastAsia="仿宋_GB2312"/>
          <w:bCs/>
          <w:color w:val="000000"/>
          <w:kern w:val="0"/>
          <w:sz w:val="32"/>
          <w:szCs w:val="32"/>
        </w:rPr>
      </w:pPr>
      <w:r>
        <w:rPr>
          <w:rFonts w:hint="eastAsia" w:ascii="仿宋_GB2312" w:eastAsia="仿宋_GB2312"/>
          <w:b/>
          <w:color w:val="000000"/>
          <w:kern w:val="0"/>
          <w:sz w:val="32"/>
          <w:szCs w:val="32"/>
          <w:lang w:val="en-US" w:eastAsia="zh-CN"/>
        </w:rPr>
        <w:t>2.</w:t>
      </w:r>
      <w:r>
        <w:rPr>
          <w:rFonts w:hint="eastAsia" w:ascii="仿宋_GB2312" w:eastAsia="仿宋_GB2312"/>
          <w:b/>
          <w:color w:val="000000"/>
          <w:kern w:val="0"/>
          <w:sz w:val="32"/>
          <w:szCs w:val="32"/>
        </w:rPr>
        <w:t xml:space="preserve">社会保障和就业（类）行政事业单位养老支出（款）机关事业单位基本养老保险缴费支出（项）: </w:t>
      </w:r>
      <w:r>
        <w:rPr>
          <w:rFonts w:hint="eastAsia" w:ascii="仿宋_GB2312" w:eastAsia="仿宋_GB2312"/>
          <w:color w:val="000000"/>
          <w:kern w:val="0"/>
          <w:sz w:val="32"/>
          <w:szCs w:val="32"/>
        </w:rPr>
        <w:t>支出决算为</w:t>
      </w:r>
      <w:r>
        <w:rPr>
          <w:rFonts w:hint="eastAsia" w:ascii="仿宋_GB2312" w:eastAsia="仿宋_GB2312"/>
          <w:color w:val="000000"/>
          <w:kern w:val="0"/>
          <w:sz w:val="32"/>
          <w:szCs w:val="32"/>
          <w:lang w:val="en-US" w:eastAsia="zh-CN"/>
        </w:rPr>
        <w:t>22</w:t>
      </w:r>
      <w:r>
        <w:rPr>
          <w:rFonts w:hint="eastAsia" w:ascii="仿宋_GB2312" w:eastAsia="仿宋_GB2312"/>
          <w:color w:val="000000"/>
          <w:kern w:val="0"/>
          <w:sz w:val="32"/>
          <w:szCs w:val="32"/>
        </w:rPr>
        <w:t>万元，完成预算100%。</w:t>
      </w:r>
    </w:p>
    <w:p w14:paraId="7A147FD4">
      <w:pPr>
        <w:spacing w:line="570" w:lineRule="exact"/>
        <w:ind w:firstLine="643" w:firstLineChars="200"/>
        <w:rPr>
          <w:rFonts w:hint="default" w:ascii="仿宋_GB2312" w:eastAsia="仿宋_GB2312"/>
          <w:b/>
          <w:color w:val="000000"/>
          <w:kern w:val="0"/>
          <w:sz w:val="32"/>
          <w:szCs w:val="32"/>
          <w:lang w:val="en-US" w:eastAsia="zh-CN"/>
        </w:rPr>
      </w:pPr>
      <w:r>
        <w:rPr>
          <w:rFonts w:hint="eastAsia" w:ascii="仿宋_GB2312" w:eastAsia="仿宋_GB2312"/>
          <w:b/>
          <w:color w:val="000000"/>
          <w:kern w:val="0"/>
          <w:sz w:val="32"/>
          <w:szCs w:val="32"/>
          <w:lang w:val="en-US" w:eastAsia="zh-CN"/>
        </w:rPr>
        <w:t>3.</w:t>
      </w:r>
      <w:r>
        <w:rPr>
          <w:rFonts w:hint="eastAsia" w:ascii="仿宋_GB2312" w:eastAsia="仿宋_GB2312"/>
          <w:b/>
          <w:color w:val="000000"/>
          <w:kern w:val="0"/>
          <w:sz w:val="32"/>
          <w:szCs w:val="32"/>
        </w:rPr>
        <w:t>社会保障和就业（类）</w:t>
      </w:r>
      <w:r>
        <w:rPr>
          <w:rFonts w:hint="eastAsia" w:ascii="仿宋_GB2312" w:eastAsia="仿宋_GB2312"/>
          <w:b/>
          <w:color w:val="000000"/>
          <w:kern w:val="0"/>
          <w:sz w:val="32"/>
          <w:szCs w:val="32"/>
          <w:lang w:val="en-US" w:eastAsia="zh-CN"/>
        </w:rPr>
        <w:t>就业补助</w:t>
      </w:r>
      <w:r>
        <w:rPr>
          <w:rFonts w:hint="eastAsia" w:ascii="仿宋_GB2312" w:eastAsia="仿宋_GB2312"/>
          <w:b/>
          <w:color w:val="000000"/>
          <w:kern w:val="0"/>
          <w:sz w:val="32"/>
          <w:szCs w:val="32"/>
        </w:rPr>
        <w:t>（款）</w:t>
      </w:r>
      <w:r>
        <w:rPr>
          <w:rFonts w:hint="eastAsia" w:ascii="仿宋_GB2312" w:eastAsia="仿宋_GB2312"/>
          <w:b/>
          <w:color w:val="000000"/>
          <w:kern w:val="0"/>
          <w:sz w:val="32"/>
          <w:szCs w:val="32"/>
          <w:lang w:val="en-US" w:eastAsia="zh-CN"/>
        </w:rPr>
        <w:t>其他就业补助</w:t>
      </w:r>
      <w:r>
        <w:rPr>
          <w:rFonts w:hint="eastAsia" w:ascii="仿宋_GB2312" w:eastAsia="仿宋_GB2312"/>
          <w:b/>
          <w:color w:val="000000"/>
          <w:kern w:val="0"/>
          <w:sz w:val="32"/>
          <w:szCs w:val="32"/>
        </w:rPr>
        <w:t xml:space="preserve">支出（项）: </w:t>
      </w:r>
      <w:r>
        <w:rPr>
          <w:rFonts w:hint="eastAsia" w:ascii="仿宋_GB2312" w:eastAsia="仿宋_GB2312"/>
          <w:color w:val="000000"/>
          <w:kern w:val="0"/>
          <w:sz w:val="32"/>
          <w:szCs w:val="32"/>
        </w:rPr>
        <w:t>支出决算为</w:t>
      </w:r>
      <w:r>
        <w:rPr>
          <w:rFonts w:hint="eastAsia" w:ascii="仿宋_GB2312" w:eastAsia="仿宋_GB2312"/>
          <w:color w:val="000000"/>
          <w:kern w:val="0"/>
          <w:sz w:val="32"/>
          <w:szCs w:val="32"/>
          <w:lang w:val="en-US" w:eastAsia="zh-CN"/>
        </w:rPr>
        <w:t>5</w:t>
      </w:r>
      <w:r>
        <w:rPr>
          <w:rFonts w:hint="eastAsia" w:ascii="仿宋_GB2312" w:eastAsia="仿宋_GB2312"/>
          <w:color w:val="000000"/>
          <w:kern w:val="0"/>
          <w:sz w:val="32"/>
          <w:szCs w:val="32"/>
        </w:rPr>
        <w:t>万元，完成预算100%。</w:t>
      </w:r>
    </w:p>
    <w:p w14:paraId="24C6AFF4">
      <w:pPr>
        <w:spacing w:line="57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lang w:val="en-US" w:eastAsia="zh-CN"/>
        </w:rPr>
        <w:t>4.</w:t>
      </w:r>
      <w:r>
        <w:rPr>
          <w:rFonts w:hint="eastAsia" w:ascii="仿宋_GB2312" w:eastAsia="仿宋_GB2312"/>
          <w:b/>
          <w:color w:val="000000"/>
          <w:kern w:val="0"/>
          <w:sz w:val="32"/>
          <w:szCs w:val="32"/>
        </w:rPr>
        <w:t>社会保障和就业（类）</w:t>
      </w:r>
      <w:r>
        <w:rPr>
          <w:rFonts w:hint="eastAsia" w:ascii="仿宋_GB2312" w:eastAsia="仿宋_GB2312"/>
          <w:b/>
          <w:color w:val="000000"/>
          <w:kern w:val="0"/>
          <w:sz w:val="32"/>
          <w:szCs w:val="32"/>
          <w:lang w:val="en-US" w:eastAsia="zh-CN"/>
        </w:rPr>
        <w:t>其他社会保障和就业支出</w:t>
      </w:r>
      <w:r>
        <w:rPr>
          <w:rFonts w:hint="eastAsia" w:ascii="仿宋_GB2312" w:eastAsia="仿宋_GB2312"/>
          <w:b/>
          <w:color w:val="000000"/>
          <w:kern w:val="0"/>
          <w:sz w:val="32"/>
          <w:szCs w:val="32"/>
        </w:rPr>
        <w:t xml:space="preserve">（款） 其他社会保障和就业支出（项）: </w:t>
      </w:r>
      <w:r>
        <w:rPr>
          <w:rFonts w:hint="eastAsia" w:ascii="仿宋_GB2312" w:eastAsia="仿宋_GB2312"/>
          <w:color w:val="000000"/>
          <w:kern w:val="0"/>
          <w:sz w:val="32"/>
          <w:szCs w:val="32"/>
        </w:rPr>
        <w:t>支出决算为</w:t>
      </w:r>
      <w:r>
        <w:rPr>
          <w:rFonts w:hint="eastAsia" w:ascii="仿宋_GB2312" w:eastAsia="仿宋_GB2312"/>
          <w:color w:val="000000"/>
          <w:kern w:val="0"/>
          <w:sz w:val="32"/>
          <w:szCs w:val="32"/>
          <w:lang w:val="en-US" w:eastAsia="zh-CN"/>
        </w:rPr>
        <w:t>268.39</w:t>
      </w:r>
      <w:r>
        <w:rPr>
          <w:rFonts w:hint="eastAsia" w:ascii="仿宋_GB2312" w:eastAsia="仿宋_GB2312"/>
          <w:color w:val="000000"/>
          <w:kern w:val="0"/>
          <w:sz w:val="32"/>
          <w:szCs w:val="32"/>
        </w:rPr>
        <w:t>万元，完成预算100%。</w:t>
      </w:r>
    </w:p>
    <w:p w14:paraId="6B53AE7B">
      <w:pPr>
        <w:spacing w:line="570" w:lineRule="exact"/>
        <w:ind w:firstLine="643" w:firstLineChars="200"/>
        <w:rPr>
          <w:rFonts w:ascii="仿宋_GB2312" w:eastAsia="仿宋_GB2312"/>
          <w:b/>
          <w:color w:val="000000"/>
          <w:kern w:val="0"/>
          <w:sz w:val="32"/>
          <w:szCs w:val="32"/>
        </w:rPr>
      </w:pPr>
      <w:r>
        <w:rPr>
          <w:rFonts w:hint="eastAsia" w:ascii="仿宋_GB2312" w:eastAsia="仿宋_GB2312"/>
          <w:b/>
          <w:color w:val="000000"/>
          <w:kern w:val="0"/>
          <w:sz w:val="32"/>
          <w:szCs w:val="32"/>
          <w:lang w:val="en-US" w:eastAsia="zh-CN"/>
        </w:rPr>
        <w:t>5</w:t>
      </w:r>
      <w:r>
        <w:rPr>
          <w:rFonts w:hint="eastAsia" w:ascii="仿宋_GB2312" w:eastAsia="仿宋_GB2312"/>
          <w:b/>
          <w:color w:val="000000"/>
          <w:kern w:val="0"/>
          <w:sz w:val="32"/>
          <w:szCs w:val="32"/>
        </w:rPr>
        <w:t>.卫生健康（类）行政事业单位医疗（款）事业单位医疗（项）:</w:t>
      </w:r>
      <w:r>
        <w:rPr>
          <w:rFonts w:hint="eastAsia" w:ascii="仿宋_GB2312" w:eastAsia="仿宋_GB2312"/>
          <w:color w:val="000000"/>
          <w:kern w:val="0"/>
          <w:sz w:val="32"/>
          <w:szCs w:val="32"/>
        </w:rPr>
        <w:t>支出决算为</w:t>
      </w:r>
      <w:r>
        <w:rPr>
          <w:rFonts w:hint="eastAsia" w:ascii="仿宋_GB2312" w:eastAsia="仿宋_GB2312"/>
          <w:color w:val="000000"/>
          <w:kern w:val="0"/>
          <w:sz w:val="32"/>
          <w:szCs w:val="32"/>
          <w:lang w:val="en-US" w:eastAsia="zh-CN"/>
        </w:rPr>
        <w:t>10.06</w:t>
      </w:r>
      <w:r>
        <w:rPr>
          <w:rFonts w:hint="eastAsia" w:ascii="仿宋_GB2312" w:eastAsia="仿宋_GB2312"/>
          <w:color w:val="000000"/>
          <w:kern w:val="0"/>
          <w:sz w:val="32"/>
          <w:szCs w:val="32"/>
        </w:rPr>
        <w:t>万元，完成预算100%。</w:t>
      </w:r>
    </w:p>
    <w:p w14:paraId="70D80B78">
      <w:pPr>
        <w:spacing w:line="570" w:lineRule="exact"/>
        <w:ind w:firstLine="643" w:firstLineChars="200"/>
        <w:rPr>
          <w:rFonts w:ascii="仿宋" w:hAnsi="仿宋" w:eastAsia="仿宋"/>
          <w:b/>
          <w:sz w:val="32"/>
          <w:szCs w:val="32"/>
        </w:rPr>
      </w:pPr>
      <w:r>
        <w:rPr>
          <w:rFonts w:hint="eastAsia" w:ascii="仿宋_GB2312" w:eastAsia="仿宋_GB2312"/>
          <w:b/>
          <w:color w:val="000000"/>
          <w:kern w:val="0"/>
          <w:sz w:val="32"/>
          <w:szCs w:val="32"/>
          <w:lang w:val="en-US" w:eastAsia="zh-CN"/>
        </w:rPr>
        <w:t>6</w:t>
      </w:r>
      <w:r>
        <w:rPr>
          <w:rFonts w:hint="eastAsia" w:ascii="仿宋_GB2312" w:eastAsia="仿宋_GB2312"/>
          <w:b/>
          <w:color w:val="000000"/>
          <w:kern w:val="0"/>
          <w:sz w:val="32"/>
          <w:szCs w:val="32"/>
        </w:rPr>
        <w:t>.住房保障（类）住房改革支出（款）住房公积金（项）:</w:t>
      </w:r>
      <w:r>
        <w:rPr>
          <w:rFonts w:hint="eastAsia" w:ascii="仿宋_GB2312" w:eastAsia="仿宋_GB2312"/>
          <w:color w:val="000000"/>
          <w:kern w:val="0"/>
          <w:sz w:val="32"/>
          <w:szCs w:val="32"/>
        </w:rPr>
        <w:t>支出决算为</w:t>
      </w:r>
      <w:r>
        <w:rPr>
          <w:rFonts w:hint="eastAsia" w:ascii="仿宋_GB2312" w:eastAsia="仿宋_GB2312"/>
          <w:color w:val="000000"/>
          <w:kern w:val="0"/>
          <w:sz w:val="32"/>
          <w:szCs w:val="32"/>
          <w:lang w:val="en-US" w:eastAsia="zh-CN"/>
        </w:rPr>
        <w:t>22.86</w:t>
      </w:r>
      <w:r>
        <w:rPr>
          <w:rFonts w:hint="eastAsia" w:ascii="仿宋_GB2312" w:eastAsia="仿宋_GB2312"/>
          <w:color w:val="000000"/>
          <w:kern w:val="0"/>
          <w:sz w:val="32"/>
          <w:szCs w:val="32"/>
        </w:rPr>
        <w:t>万元，完成预算100%。</w:t>
      </w:r>
    </w:p>
    <w:p w14:paraId="533611DB">
      <w:pPr>
        <w:tabs>
          <w:tab w:val="right" w:pos="8306"/>
        </w:tabs>
        <w:spacing w:line="600" w:lineRule="exact"/>
        <w:ind w:firstLine="640"/>
        <w:outlineLvl w:val="1"/>
        <w:rPr>
          <w:rStyle w:val="28"/>
        </w:rPr>
      </w:pPr>
      <w:bookmarkStart w:id="31" w:name="_Toc15396608"/>
      <w:bookmarkStart w:id="3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1"/>
      <w:bookmarkEnd w:id="32"/>
      <w:r>
        <w:rPr>
          <w:rStyle w:val="28"/>
          <w:rFonts w:ascii="黑体" w:hAnsi="黑体" w:eastAsia="黑体"/>
          <w:b w:val="0"/>
        </w:rPr>
        <w:tab/>
      </w:r>
    </w:p>
    <w:p w14:paraId="7E492F0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eastAsia="仿宋"/>
          <w:sz w:val="32"/>
          <w:szCs w:val="32"/>
          <w:lang w:val="en-US" w:eastAsia="zh-CN"/>
        </w:rPr>
        <w:t>241.10</w:t>
      </w:r>
      <w:r>
        <w:rPr>
          <w:rFonts w:hint="eastAsia" w:ascii="仿宋" w:hAnsi="仿宋" w:eastAsia="仿宋"/>
          <w:sz w:val="32"/>
          <w:szCs w:val="32"/>
        </w:rPr>
        <w:t>万元，其中：</w:t>
      </w:r>
    </w:p>
    <w:p w14:paraId="4DF4089A">
      <w:pPr>
        <w:spacing w:line="570" w:lineRule="exact"/>
        <w:ind w:firstLine="640" w:firstLineChars="200"/>
        <w:rPr>
          <w:rFonts w:ascii="仿宋" w:hAnsi="仿宋" w:eastAsia="仿宋"/>
          <w:b/>
          <w:sz w:val="32"/>
          <w:szCs w:val="32"/>
        </w:rPr>
      </w:pPr>
      <w:r>
        <w:rPr>
          <w:rFonts w:hint="eastAsia" w:ascii="仿宋" w:hAnsi="仿宋" w:eastAsia="仿宋"/>
          <w:sz w:val="32"/>
          <w:szCs w:val="32"/>
        </w:rPr>
        <w:t>人员经费</w:t>
      </w:r>
      <w:r>
        <w:rPr>
          <w:rFonts w:hint="eastAsia" w:eastAsia="仿宋"/>
          <w:sz w:val="32"/>
          <w:szCs w:val="32"/>
          <w:lang w:val="en-US" w:eastAsia="zh-CN"/>
        </w:rPr>
        <w:t>204.34</w:t>
      </w:r>
      <w:r>
        <w:rPr>
          <w:rFonts w:hint="eastAsia" w:ascii="仿宋" w:hAnsi="仿宋" w:eastAsia="仿宋"/>
          <w:sz w:val="32"/>
          <w:szCs w:val="32"/>
        </w:rPr>
        <w:t>万元，</w:t>
      </w:r>
      <w:r>
        <w:rPr>
          <w:rFonts w:hint="eastAsia" w:ascii="仿宋_GB2312" w:hAnsi="仿宋" w:eastAsia="仿宋_GB2312"/>
          <w:bCs/>
          <w:color w:val="000000"/>
          <w:kern w:val="0"/>
          <w:sz w:val="32"/>
          <w:szCs w:val="32"/>
        </w:rPr>
        <w:t>主要包括：基本工资、津贴补贴、机关事业单位基本养老保险缴费、职工基本医疗保险缴费、公务员医疗补助缴费、住房公积金、其他工资福利支出、生活补助、奖励金等。</w:t>
      </w:r>
      <w:r>
        <w:rPr>
          <w:rFonts w:ascii="仿宋" w:hAnsi="仿宋" w:eastAsia="仿宋"/>
          <w:sz w:val="32"/>
          <w:szCs w:val="32"/>
        </w:rPr>
        <w:br w:type="textWrapping"/>
      </w:r>
      <w:r>
        <w:rPr>
          <w:rFonts w:hint="eastAsia" w:ascii="仿宋" w:hAnsi="仿宋" w:eastAsia="仿宋"/>
          <w:sz w:val="32"/>
          <w:szCs w:val="32"/>
        </w:rPr>
        <w:t>　　公用经费</w:t>
      </w:r>
      <w:r>
        <w:rPr>
          <w:rFonts w:hint="eastAsia" w:eastAsia="仿宋"/>
          <w:sz w:val="32"/>
          <w:szCs w:val="32"/>
          <w:lang w:val="en-US" w:eastAsia="zh-CN"/>
        </w:rPr>
        <w:t>36.76</w:t>
      </w:r>
      <w:r>
        <w:rPr>
          <w:rFonts w:hint="eastAsia" w:ascii="仿宋" w:hAnsi="仿宋" w:eastAsia="仿宋"/>
          <w:sz w:val="32"/>
          <w:szCs w:val="32"/>
        </w:rPr>
        <w:t>万元，</w:t>
      </w:r>
      <w:r>
        <w:rPr>
          <w:rFonts w:hint="eastAsia" w:ascii="仿宋_GB2312" w:hAnsi="仿宋" w:eastAsia="仿宋_GB2312"/>
          <w:bCs/>
          <w:color w:val="000000"/>
          <w:kern w:val="0"/>
          <w:sz w:val="32"/>
          <w:szCs w:val="32"/>
        </w:rPr>
        <w:t>主要包括：办公费、手续费、水费、电费、邮电费、差旅费、培训费、公务接待费、工会经费、福利费、其他交通费、其他商品和服务支出等。</w:t>
      </w:r>
    </w:p>
    <w:p w14:paraId="617D2038">
      <w:pPr>
        <w:spacing w:line="600" w:lineRule="exact"/>
        <w:ind w:firstLine="640"/>
        <w:outlineLvl w:val="1"/>
        <w:rPr>
          <w:rStyle w:val="28"/>
          <w:rFonts w:ascii="黑体" w:hAnsi="黑体" w:eastAsia="黑体"/>
          <w:b w:val="0"/>
        </w:rPr>
      </w:pPr>
      <w:bookmarkStart w:id="33" w:name="_Toc15377215"/>
      <w:bookmarkStart w:id="34"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3"/>
      <w:bookmarkEnd w:id="34"/>
    </w:p>
    <w:p w14:paraId="5883FCAC">
      <w:pPr>
        <w:spacing w:line="600" w:lineRule="exact"/>
        <w:ind w:firstLine="640"/>
        <w:outlineLvl w:val="2"/>
        <w:rPr>
          <w:rFonts w:ascii="仿宋" w:hAnsi="仿宋" w:eastAsia="仿宋"/>
          <w:b/>
          <w:sz w:val="32"/>
          <w:szCs w:val="32"/>
        </w:rPr>
      </w:pPr>
      <w:bookmarkStart w:id="35" w:name="_Toc15377216"/>
      <w:r>
        <w:rPr>
          <w:rFonts w:hint="eastAsia" w:ascii="仿宋" w:hAnsi="仿宋" w:eastAsia="仿宋"/>
          <w:b/>
          <w:sz w:val="32"/>
          <w:szCs w:val="32"/>
        </w:rPr>
        <w:t>（一）“三公”经费财政拨款支出决算总体情况说明</w:t>
      </w:r>
      <w:bookmarkEnd w:id="35"/>
    </w:p>
    <w:p w14:paraId="7A03B2C9">
      <w:pPr>
        <w:spacing w:line="570" w:lineRule="exact"/>
        <w:ind w:firstLine="640" w:firstLineChars="200"/>
        <w:rPr>
          <w:rFonts w:ascii="仿宋_GB2312" w:hAnsi="仿宋" w:eastAsia="仿宋_GB2312"/>
          <w:bCs/>
          <w:color w:val="000000"/>
          <w:kern w:val="0"/>
          <w:sz w:val="32"/>
          <w:szCs w:val="32"/>
        </w:rPr>
      </w:pPr>
      <w:r>
        <w:rPr>
          <w:rFonts w:hint="eastAsia" w:ascii="仿宋" w:hAnsi="仿宋" w:eastAsia="仿宋"/>
          <w:sz w:val="32"/>
          <w:szCs w:val="32"/>
        </w:rPr>
        <w:t>2023年度“三公”经费财政拨款支出决算为</w:t>
      </w:r>
      <w:r>
        <w:rPr>
          <w:rFonts w:hint="eastAsia" w:eastAsia="仿宋"/>
          <w:sz w:val="32"/>
          <w:szCs w:val="32"/>
          <w:lang w:val="en-US" w:eastAsia="zh-CN"/>
        </w:rPr>
        <w:t>1.40</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_GB2312" w:hAnsi="仿宋" w:eastAsia="仿宋_GB2312"/>
          <w:bCs/>
          <w:color w:val="000000"/>
          <w:kern w:val="0"/>
          <w:sz w:val="32"/>
          <w:szCs w:val="32"/>
        </w:rPr>
        <w:t>，较上年</w:t>
      </w:r>
      <w:r>
        <w:rPr>
          <w:rFonts w:hint="eastAsia" w:ascii="仿宋_GB2312" w:hAnsi="仿宋" w:eastAsia="仿宋_GB2312" w:cs="仿宋"/>
          <w:color w:val="000000"/>
          <w:sz w:val="32"/>
          <w:szCs w:val="32"/>
          <w:lang w:val="en-US" w:eastAsia="zh-CN"/>
        </w:rPr>
        <w:t>减少0.8万元，减少36.36%</w:t>
      </w:r>
      <w:r>
        <w:rPr>
          <w:rFonts w:hint="eastAsia" w:ascii="仿宋_GB2312" w:hAnsi="仿宋" w:eastAsia="仿宋_GB2312"/>
          <w:bCs/>
          <w:color w:val="000000"/>
          <w:kern w:val="0"/>
          <w:sz w:val="32"/>
          <w:szCs w:val="32"/>
        </w:rPr>
        <w:t>。</w:t>
      </w:r>
    </w:p>
    <w:p w14:paraId="4CD6008B">
      <w:pPr>
        <w:spacing w:line="600" w:lineRule="exact"/>
        <w:ind w:firstLine="640"/>
        <w:outlineLvl w:val="2"/>
        <w:rPr>
          <w:rFonts w:ascii="仿宋" w:hAnsi="仿宋" w:eastAsia="仿宋"/>
          <w:b/>
          <w:sz w:val="32"/>
          <w:szCs w:val="32"/>
        </w:rPr>
      </w:pPr>
      <w:bookmarkStart w:id="36" w:name="_Toc15377217"/>
      <w:r>
        <w:rPr>
          <w:rFonts w:hint="eastAsia" w:ascii="仿宋" w:hAnsi="仿宋" w:eastAsia="仿宋"/>
          <w:b/>
          <w:sz w:val="32"/>
          <w:szCs w:val="32"/>
        </w:rPr>
        <w:t>（二）“三公”经费财政拨款支出决算具体情况说明</w:t>
      </w:r>
      <w:bookmarkEnd w:id="36"/>
    </w:p>
    <w:p w14:paraId="749DD4A9">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6432" behindDoc="0" locked="0" layoutInCell="1" allowOverlap="1">
            <wp:simplePos x="0" y="0"/>
            <wp:positionH relativeFrom="column">
              <wp:posOffset>215900</wp:posOffset>
            </wp:positionH>
            <wp:positionV relativeFrom="paragraph">
              <wp:posOffset>1589405</wp:posOffset>
            </wp:positionV>
            <wp:extent cx="5045710" cy="2491105"/>
            <wp:effectExtent l="4445" t="4445" r="17145" b="1905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1.40</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14:paraId="6BBE4088">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26A1E547">
      <w:pPr>
        <w:spacing w:line="570" w:lineRule="exact"/>
        <w:ind w:firstLine="640" w:firstLineChars="200"/>
        <w:rPr>
          <w:rFonts w:ascii="仿宋_GB2312" w:hAnsi="仿宋" w:eastAsia="仿宋_GB2312"/>
          <w:bCs/>
          <w:color w:val="000000"/>
          <w:kern w:val="0"/>
          <w:sz w:val="32"/>
          <w:szCs w:val="32"/>
        </w:rPr>
      </w:pPr>
      <w:r>
        <w:rPr>
          <w:rFonts w:ascii="仿宋_GB2312" w:hAnsi="仿宋" w:eastAsia="仿宋_GB2312"/>
          <w:bCs/>
          <w:color w:val="000000"/>
          <w:kern w:val="0"/>
          <w:sz w:val="32"/>
          <w:szCs w:val="32"/>
        </w:rPr>
        <w:t>1.</w:t>
      </w:r>
      <w:r>
        <w:rPr>
          <w:rFonts w:hint="eastAsia" w:ascii="仿宋_GB2312" w:hAnsi="仿宋" w:eastAsia="仿宋_GB2312"/>
          <w:bCs/>
          <w:color w:val="000000"/>
          <w:kern w:val="0"/>
          <w:sz w:val="32"/>
          <w:szCs w:val="32"/>
        </w:rPr>
        <w:t>因公出国（境）经费支出0万元，完成预算100</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。全年安排因公出国（境）团组0次，出国（境）0人。因公出国（境）支出决算与</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21年持平。</w:t>
      </w:r>
    </w:p>
    <w:p w14:paraId="424C1A68">
      <w:pPr>
        <w:spacing w:line="570" w:lineRule="exact"/>
        <w:ind w:firstLine="640" w:firstLineChars="200"/>
        <w:rPr>
          <w:rFonts w:ascii="仿宋_GB2312" w:hAnsi="仿宋" w:eastAsia="仿宋_GB2312"/>
          <w:bCs/>
          <w:color w:val="000000"/>
          <w:kern w:val="0"/>
          <w:sz w:val="32"/>
          <w:szCs w:val="32"/>
        </w:rPr>
      </w:pPr>
      <w:r>
        <w:rPr>
          <w:rFonts w:ascii="仿宋_GB2312" w:hAnsi="仿宋" w:eastAsia="仿宋_GB2312"/>
          <w:bCs/>
          <w:color w:val="000000"/>
          <w:kern w:val="0"/>
          <w:sz w:val="32"/>
          <w:szCs w:val="32"/>
        </w:rPr>
        <w:t>2.</w:t>
      </w:r>
      <w:r>
        <w:rPr>
          <w:rFonts w:hint="eastAsia" w:ascii="仿宋_GB2312" w:hAnsi="仿宋" w:eastAsia="仿宋_GB2312"/>
          <w:bCs/>
          <w:color w:val="000000"/>
          <w:kern w:val="0"/>
          <w:sz w:val="32"/>
          <w:szCs w:val="32"/>
        </w:rPr>
        <w:t>公务用车购置及运行维护费支出0万元,完成预算100</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。公务用车购置及运行维护费支出决算与</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21年持平。</w:t>
      </w:r>
    </w:p>
    <w:p w14:paraId="4094E4F5">
      <w:pPr>
        <w:spacing w:line="570" w:lineRule="exact"/>
        <w:ind w:firstLine="640" w:firstLineChars="20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其中：公务用车购置支出0万元。全年按规定更新购置公务用车0辆，其中：轿车0辆、金额0万元，越野车0辆、金额0万元，载客汽车0辆、金额0万元。截至</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22年</w:t>
      </w:r>
      <w:r>
        <w:rPr>
          <w:rFonts w:ascii="仿宋_GB2312" w:hAnsi="仿宋" w:eastAsia="仿宋_GB2312"/>
          <w:bCs/>
          <w:color w:val="000000"/>
          <w:kern w:val="0"/>
          <w:sz w:val="32"/>
          <w:szCs w:val="32"/>
        </w:rPr>
        <w:t>12</w:t>
      </w:r>
      <w:r>
        <w:rPr>
          <w:rFonts w:hint="eastAsia" w:ascii="仿宋_GB2312" w:hAnsi="仿宋" w:eastAsia="仿宋_GB2312"/>
          <w:bCs/>
          <w:color w:val="000000"/>
          <w:kern w:val="0"/>
          <w:sz w:val="32"/>
          <w:szCs w:val="32"/>
        </w:rPr>
        <w:t>月底，单位共有公务用车0辆，其中：轿车0辆、越野车0辆、载客汽车0辆。</w:t>
      </w:r>
    </w:p>
    <w:p w14:paraId="2F498C0C">
      <w:pPr>
        <w:spacing w:line="570" w:lineRule="exact"/>
        <w:ind w:firstLine="640" w:firstLineChars="20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公务用车运行维护费支出0万元。</w:t>
      </w:r>
    </w:p>
    <w:p w14:paraId="71DEDD71">
      <w:pPr>
        <w:numPr>
          <w:ilvl w:val="0"/>
          <w:numId w:val="4"/>
        </w:numPr>
        <w:ind w:firstLine="709"/>
        <w:rPr>
          <w:rFonts w:hint="eastAsia" w:ascii="仿宋_GB2312" w:hAnsi="仿宋" w:eastAsia="仿宋_GB2312"/>
          <w:bCs/>
          <w:color w:val="000000"/>
          <w:kern w:val="0"/>
          <w:sz w:val="32"/>
          <w:szCs w:val="32"/>
        </w:rPr>
      </w:pPr>
      <w:r>
        <w:rPr>
          <w:rFonts w:hint="eastAsia" w:ascii="仿宋_GB2312" w:hAnsi="仿宋" w:eastAsia="仿宋_GB2312"/>
          <w:bCs/>
          <w:color w:val="000000"/>
          <w:kern w:val="0"/>
          <w:sz w:val="32"/>
          <w:szCs w:val="32"/>
        </w:rPr>
        <w:t>公务接待费支出</w:t>
      </w:r>
      <w:r>
        <w:rPr>
          <w:rFonts w:hint="eastAsia" w:ascii="仿宋_GB2312" w:hAnsi="仿宋" w:eastAsia="仿宋_GB2312"/>
          <w:bCs/>
          <w:color w:val="000000"/>
          <w:kern w:val="0"/>
          <w:sz w:val="32"/>
          <w:szCs w:val="32"/>
          <w:lang w:val="en-US" w:eastAsia="zh-CN"/>
        </w:rPr>
        <w:t>1.40</w:t>
      </w:r>
      <w:r>
        <w:rPr>
          <w:rFonts w:hint="eastAsia" w:ascii="仿宋_GB2312" w:hAnsi="仿宋" w:eastAsia="仿宋_GB2312"/>
          <w:bCs/>
          <w:color w:val="000000"/>
          <w:kern w:val="0"/>
          <w:sz w:val="32"/>
          <w:szCs w:val="32"/>
        </w:rPr>
        <w:t>万元，完成预算100</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。公务接待费支出决算比</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2</w:t>
      </w:r>
      <w:r>
        <w:rPr>
          <w:rFonts w:hint="eastAsia" w:ascii="仿宋_GB2312" w:hAnsi="仿宋" w:eastAsia="仿宋_GB2312"/>
          <w:bCs/>
          <w:color w:val="000000"/>
          <w:kern w:val="0"/>
          <w:sz w:val="32"/>
          <w:szCs w:val="32"/>
        </w:rPr>
        <w:t>年</w:t>
      </w:r>
      <w:r>
        <w:rPr>
          <w:rFonts w:hint="eastAsia" w:ascii="仿宋_GB2312" w:hAnsi="仿宋" w:eastAsia="仿宋_GB2312" w:cs="仿宋"/>
          <w:color w:val="000000"/>
          <w:sz w:val="32"/>
          <w:szCs w:val="32"/>
          <w:lang w:val="en-US" w:eastAsia="zh-CN"/>
        </w:rPr>
        <w:t>减少了0.8万元，减少36.36%</w:t>
      </w:r>
      <w:r>
        <w:rPr>
          <w:rFonts w:hint="eastAsia" w:ascii="仿宋_GB2312" w:hAnsi="仿宋" w:eastAsia="仿宋_GB2312"/>
          <w:bCs/>
          <w:color w:val="000000"/>
          <w:kern w:val="0"/>
          <w:sz w:val="32"/>
          <w:szCs w:val="32"/>
        </w:rPr>
        <w:t>。主要原因是</w:t>
      </w:r>
      <w:r>
        <w:rPr>
          <w:rFonts w:hint="eastAsia" w:ascii="仿宋_GB2312" w:hAnsi="仿宋" w:eastAsia="仿宋_GB2312"/>
          <w:bCs/>
          <w:color w:val="000000"/>
          <w:kern w:val="0"/>
          <w:sz w:val="32"/>
          <w:szCs w:val="32"/>
          <w:lang w:val="en-US" w:eastAsia="zh-CN"/>
        </w:rPr>
        <w:t>严格</w:t>
      </w:r>
      <w:r>
        <w:rPr>
          <w:rFonts w:hint="eastAsia" w:ascii="仿宋_GB2312" w:hAnsi="仿宋" w:eastAsia="仿宋_GB2312"/>
          <w:bCs/>
          <w:color w:val="000000"/>
          <w:kern w:val="0"/>
          <w:sz w:val="32"/>
          <w:szCs w:val="32"/>
        </w:rPr>
        <w:t>控制各类公务接待活动，简化接待，禁止超标准接待，全力压缩“三公”经费开支。其中：</w:t>
      </w:r>
    </w:p>
    <w:p w14:paraId="0A79F5DE">
      <w:pPr>
        <w:numPr>
          <w:ilvl w:val="0"/>
          <w:numId w:val="0"/>
        </w:numPr>
        <w:ind w:firstLine="640" w:firstLineChars="20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国内公务接待支出</w:t>
      </w:r>
      <w:r>
        <w:rPr>
          <w:rFonts w:hint="eastAsia" w:ascii="仿宋_GB2312" w:hAnsi="仿宋" w:eastAsia="仿宋_GB2312"/>
          <w:bCs/>
          <w:color w:val="000000"/>
          <w:kern w:val="0"/>
          <w:sz w:val="32"/>
          <w:szCs w:val="32"/>
          <w:lang w:val="en-US" w:eastAsia="zh-CN"/>
        </w:rPr>
        <w:t>1.40</w:t>
      </w:r>
      <w:r>
        <w:rPr>
          <w:rFonts w:hint="eastAsia" w:ascii="仿宋_GB2312" w:hAnsi="仿宋" w:eastAsia="仿宋_GB2312"/>
          <w:bCs/>
          <w:color w:val="000000"/>
          <w:kern w:val="0"/>
          <w:sz w:val="32"/>
          <w:szCs w:val="32"/>
        </w:rPr>
        <w:t>万元，主要用于执行公务、开展业务活动开支的交通费、住宿费、用餐费等。国内公务接待</w:t>
      </w:r>
      <w:r>
        <w:rPr>
          <w:rFonts w:hint="eastAsia" w:ascii="仿宋_GB2312" w:hAnsi="仿宋" w:eastAsia="仿宋_GB2312"/>
          <w:bCs/>
          <w:color w:val="000000"/>
          <w:kern w:val="0"/>
          <w:sz w:val="32"/>
          <w:szCs w:val="32"/>
          <w:lang w:val="en-US" w:eastAsia="zh-CN"/>
        </w:rPr>
        <w:t>20</w:t>
      </w:r>
      <w:r>
        <w:rPr>
          <w:rFonts w:hint="eastAsia" w:ascii="仿宋_GB2312" w:hAnsi="仿宋" w:eastAsia="仿宋_GB2312"/>
          <w:bCs/>
          <w:color w:val="000000"/>
          <w:kern w:val="0"/>
          <w:sz w:val="32"/>
          <w:szCs w:val="32"/>
        </w:rPr>
        <w:t>批次，</w:t>
      </w:r>
      <w:r>
        <w:rPr>
          <w:rFonts w:hint="eastAsia" w:ascii="仿宋_GB2312" w:hAnsi="仿宋" w:eastAsia="仿宋_GB2312"/>
          <w:bCs/>
          <w:color w:val="000000"/>
          <w:kern w:val="0"/>
          <w:sz w:val="32"/>
          <w:szCs w:val="32"/>
          <w:lang w:val="en-US" w:eastAsia="zh-CN"/>
        </w:rPr>
        <w:t>180</w:t>
      </w:r>
      <w:r>
        <w:rPr>
          <w:rFonts w:hint="eastAsia" w:ascii="仿宋_GB2312" w:hAnsi="仿宋" w:eastAsia="仿宋_GB2312"/>
          <w:bCs/>
          <w:color w:val="000000"/>
          <w:kern w:val="0"/>
          <w:sz w:val="32"/>
          <w:szCs w:val="32"/>
        </w:rPr>
        <w:t>人次（不包括陪同人员），共计支出</w:t>
      </w:r>
      <w:r>
        <w:rPr>
          <w:rFonts w:hint="eastAsia" w:ascii="仿宋_GB2312" w:hAnsi="仿宋" w:eastAsia="仿宋_GB2312"/>
          <w:bCs/>
          <w:color w:val="000000"/>
          <w:kern w:val="0"/>
          <w:sz w:val="32"/>
          <w:szCs w:val="32"/>
          <w:lang w:val="en-US" w:eastAsia="zh-CN"/>
        </w:rPr>
        <w:t>1.40</w:t>
      </w:r>
      <w:r>
        <w:rPr>
          <w:rFonts w:hint="eastAsia" w:ascii="仿宋_GB2312" w:hAnsi="仿宋" w:eastAsia="仿宋_GB2312"/>
          <w:bCs/>
          <w:color w:val="000000"/>
          <w:kern w:val="0"/>
          <w:sz w:val="32"/>
          <w:szCs w:val="32"/>
        </w:rPr>
        <w:t>万元。</w:t>
      </w:r>
    </w:p>
    <w:p w14:paraId="142D3EF8">
      <w:pPr>
        <w:spacing w:line="570" w:lineRule="exact"/>
        <w:ind w:firstLine="640" w:firstLineChars="200"/>
        <w:rPr>
          <w:rFonts w:ascii="黑体" w:eastAsia="黑体"/>
          <w:sz w:val="32"/>
          <w:szCs w:val="32"/>
        </w:rPr>
      </w:pPr>
      <w:r>
        <w:rPr>
          <w:rFonts w:hint="eastAsia" w:ascii="仿宋_GB2312" w:hAnsi="仿宋" w:eastAsia="仿宋_GB2312"/>
          <w:bCs/>
          <w:color w:val="000000"/>
          <w:kern w:val="0"/>
          <w:sz w:val="32"/>
          <w:szCs w:val="32"/>
        </w:rPr>
        <w:t>外事接待支出0万元。</w:t>
      </w:r>
    </w:p>
    <w:p w14:paraId="6416CE12">
      <w:pPr>
        <w:spacing w:line="600" w:lineRule="exact"/>
        <w:ind w:firstLine="640"/>
        <w:outlineLvl w:val="1"/>
        <w:rPr>
          <w:rStyle w:val="28"/>
          <w:rFonts w:ascii="黑体" w:hAnsi="黑体" w:eastAsia="黑体"/>
        </w:rPr>
      </w:pPr>
      <w:bookmarkStart w:id="37" w:name="_Toc15396610"/>
      <w:bookmarkStart w:id="38" w:name="_Toc15377218"/>
      <w:r>
        <w:rPr>
          <w:rFonts w:hint="eastAsia" w:ascii="黑体" w:eastAsia="黑体"/>
          <w:sz w:val="32"/>
          <w:szCs w:val="32"/>
        </w:rPr>
        <w:t>八、</w:t>
      </w:r>
      <w:r>
        <w:rPr>
          <w:rStyle w:val="28"/>
          <w:rFonts w:hint="eastAsia" w:ascii="黑体" w:hAnsi="黑体" w:eastAsia="黑体"/>
          <w:b w:val="0"/>
        </w:rPr>
        <w:t>政府性基金预算支出决算情况说明</w:t>
      </w:r>
      <w:bookmarkEnd w:id="37"/>
      <w:bookmarkEnd w:id="38"/>
    </w:p>
    <w:p w14:paraId="3E5F3B1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06BFD3EA">
      <w:pPr>
        <w:numPr>
          <w:ilvl w:val="0"/>
          <w:numId w:val="5"/>
        </w:numPr>
        <w:spacing w:line="600" w:lineRule="exact"/>
        <w:ind w:firstLine="640"/>
        <w:outlineLvl w:val="1"/>
        <w:rPr>
          <w:rStyle w:val="28"/>
          <w:rFonts w:ascii="黑体" w:hAnsi="黑体" w:eastAsia="黑体"/>
          <w:b w:val="0"/>
        </w:rPr>
      </w:pPr>
      <w:bookmarkStart w:id="39" w:name="_Toc15377219"/>
      <w:bookmarkStart w:id="40" w:name="_Toc15396611"/>
      <w:r>
        <w:rPr>
          <w:rStyle w:val="28"/>
          <w:rFonts w:hint="eastAsia" w:ascii="黑体" w:hAnsi="黑体" w:eastAsia="黑体"/>
          <w:b w:val="0"/>
        </w:rPr>
        <w:t>国有资本经营预算支出决算情况说明</w:t>
      </w:r>
      <w:bookmarkEnd w:id="39"/>
      <w:bookmarkEnd w:id="40"/>
    </w:p>
    <w:p w14:paraId="40818B6D">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5D312223">
      <w:pPr>
        <w:numPr>
          <w:ilvl w:val="0"/>
          <w:numId w:val="5"/>
        </w:numPr>
        <w:spacing w:line="600" w:lineRule="exact"/>
        <w:ind w:firstLine="640"/>
        <w:outlineLvl w:val="1"/>
        <w:rPr>
          <w:rStyle w:val="28"/>
          <w:rFonts w:ascii="黑体" w:hAnsi="黑体" w:eastAsia="黑体"/>
          <w:b w:val="0"/>
        </w:rPr>
      </w:pPr>
      <w:bookmarkStart w:id="41" w:name="_Toc15377221"/>
      <w:bookmarkStart w:id="42" w:name="_Toc15396612"/>
      <w:r>
        <w:rPr>
          <w:rStyle w:val="28"/>
          <w:rFonts w:hint="eastAsia" w:ascii="黑体" w:hAnsi="黑体" w:eastAsia="黑体"/>
          <w:b w:val="0"/>
        </w:rPr>
        <w:t>其他重要事项的情况说明</w:t>
      </w:r>
      <w:bookmarkEnd w:id="41"/>
      <w:bookmarkEnd w:id="42"/>
    </w:p>
    <w:p w14:paraId="276429E0">
      <w:pPr>
        <w:spacing w:line="600" w:lineRule="exact"/>
        <w:ind w:firstLine="643" w:firstLineChars="200"/>
        <w:outlineLvl w:val="2"/>
        <w:rPr>
          <w:rFonts w:hint="eastAsia" w:ascii="仿宋" w:hAnsi="仿宋" w:eastAsia="仿宋"/>
          <w:b/>
          <w:sz w:val="32"/>
          <w:szCs w:val="32"/>
        </w:rPr>
      </w:pPr>
      <w:bookmarkStart w:id="43" w:name="_Toc15377222"/>
      <w:r>
        <w:rPr>
          <w:rFonts w:hint="eastAsia" w:ascii="仿宋" w:hAnsi="仿宋" w:eastAsia="仿宋"/>
          <w:b/>
          <w:sz w:val="32"/>
          <w:szCs w:val="32"/>
        </w:rPr>
        <w:t>（一）机关运行经费支出情况</w:t>
      </w:r>
      <w:bookmarkEnd w:id="43"/>
      <w:bookmarkStart w:id="44" w:name="_Toc15377223"/>
    </w:p>
    <w:p w14:paraId="2707454A">
      <w:pPr>
        <w:spacing w:line="600" w:lineRule="exact"/>
        <w:ind w:firstLine="640" w:firstLineChars="200"/>
        <w:rPr>
          <w:rFonts w:hint="eastAsia" w:ascii="仿宋" w:hAnsi="仿宋" w:eastAsia="仿宋"/>
          <w:b/>
          <w:sz w:val="32"/>
          <w:szCs w:val="32"/>
        </w:rPr>
      </w:pP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年，机关运行经费支出</w:t>
      </w:r>
      <w:r>
        <w:rPr>
          <w:rFonts w:hint="eastAsia" w:ascii="仿宋_GB2312" w:hAnsi="仿宋" w:eastAsia="仿宋_GB2312"/>
          <w:bCs/>
          <w:color w:val="000000"/>
          <w:kern w:val="0"/>
          <w:sz w:val="32"/>
          <w:szCs w:val="32"/>
          <w:lang w:val="en-US" w:eastAsia="zh-CN"/>
        </w:rPr>
        <w:t>36.76</w:t>
      </w:r>
      <w:r>
        <w:rPr>
          <w:rFonts w:hint="eastAsia" w:ascii="仿宋_GB2312" w:hAnsi="仿宋" w:eastAsia="仿宋_GB2312"/>
          <w:bCs/>
          <w:color w:val="000000"/>
          <w:kern w:val="0"/>
          <w:sz w:val="32"/>
          <w:szCs w:val="32"/>
        </w:rPr>
        <w:t>万元，比</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2</w:t>
      </w:r>
      <w:r>
        <w:rPr>
          <w:rFonts w:hint="eastAsia" w:ascii="仿宋_GB2312" w:hAnsi="仿宋" w:eastAsia="仿宋_GB2312"/>
          <w:bCs/>
          <w:color w:val="000000"/>
          <w:kern w:val="0"/>
          <w:sz w:val="32"/>
          <w:szCs w:val="32"/>
        </w:rPr>
        <w:t>年</w:t>
      </w:r>
      <w:r>
        <w:rPr>
          <w:rFonts w:hint="eastAsia" w:ascii="仿宋_GB2312" w:hAnsi="仿宋" w:eastAsia="仿宋_GB2312"/>
          <w:bCs/>
          <w:color w:val="000000"/>
          <w:kern w:val="0"/>
          <w:sz w:val="32"/>
          <w:szCs w:val="32"/>
          <w:lang w:val="en-US" w:eastAsia="zh-CN"/>
        </w:rPr>
        <w:t>增加17.97</w:t>
      </w:r>
      <w:r>
        <w:rPr>
          <w:rFonts w:hint="eastAsia" w:ascii="仿宋_GB2312" w:hAnsi="仿宋" w:eastAsia="仿宋_GB2312"/>
          <w:bCs/>
          <w:color w:val="000000"/>
          <w:kern w:val="0"/>
          <w:sz w:val="32"/>
          <w:szCs w:val="32"/>
        </w:rPr>
        <w:t>万元，</w:t>
      </w:r>
      <w:r>
        <w:rPr>
          <w:rFonts w:hint="eastAsia" w:ascii="仿宋_GB2312" w:hAnsi="仿宋" w:eastAsia="仿宋_GB2312"/>
          <w:bCs/>
          <w:color w:val="000000"/>
          <w:kern w:val="0"/>
          <w:sz w:val="32"/>
          <w:szCs w:val="32"/>
          <w:lang w:val="en-US" w:eastAsia="zh-CN"/>
        </w:rPr>
        <w:t>上升95.64</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w:t>
      </w:r>
      <w:r>
        <w:rPr>
          <w:rFonts w:hint="eastAsia" w:ascii="仿宋_GB2312" w:eastAsia="仿宋_GB2312"/>
          <w:sz w:val="32"/>
          <w:szCs w:val="32"/>
        </w:rPr>
        <w:t>主要原因是202</w:t>
      </w:r>
      <w:r>
        <w:rPr>
          <w:rFonts w:hint="eastAsia" w:ascii="仿宋_GB2312" w:eastAsia="仿宋_GB2312"/>
          <w:sz w:val="32"/>
          <w:szCs w:val="32"/>
          <w:lang w:val="en-US" w:eastAsia="zh-CN"/>
        </w:rPr>
        <w:t>3</w:t>
      </w:r>
      <w:r>
        <w:rPr>
          <w:rFonts w:hint="eastAsia" w:ascii="仿宋_GB2312" w:eastAsia="仿宋_GB2312"/>
          <w:sz w:val="32"/>
          <w:szCs w:val="32"/>
        </w:rPr>
        <w:t>年我单位</w:t>
      </w:r>
      <w:r>
        <w:rPr>
          <w:rFonts w:hint="eastAsia" w:ascii="仿宋_GB2312" w:eastAsia="仿宋_GB2312"/>
          <w:sz w:val="32"/>
          <w:szCs w:val="32"/>
          <w:lang w:val="en-US" w:eastAsia="zh-CN"/>
        </w:rPr>
        <w:t>非定额公用经费增加</w:t>
      </w:r>
      <w:r>
        <w:rPr>
          <w:rFonts w:hint="eastAsia" w:ascii="仿宋_GB2312" w:eastAsia="仿宋_GB2312"/>
          <w:sz w:val="32"/>
          <w:szCs w:val="32"/>
        </w:rPr>
        <w:t>。</w:t>
      </w:r>
    </w:p>
    <w:p w14:paraId="07E0237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44"/>
    </w:p>
    <w:p w14:paraId="226C568C">
      <w:pPr>
        <w:spacing w:line="570" w:lineRule="exact"/>
        <w:ind w:firstLine="640" w:firstLineChars="200"/>
        <w:rPr>
          <w:rFonts w:ascii="仿宋_GB2312" w:hAnsi="仿宋" w:eastAsia="仿宋_GB2312"/>
          <w:bCs/>
          <w:color w:val="000000"/>
          <w:kern w:val="0"/>
          <w:sz w:val="32"/>
          <w:szCs w:val="32"/>
        </w:rPr>
      </w:pP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年，政府采购支出总额0万元，其中：政府采购货物支出0万元、政府采购工程支出0万元、政府采购服务支出0万元。授予中小企业合同金额0万元，占政府采购支出总额的0</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，其中：授予小微企业合同金额0万元，占政府采购支出总额的0</w:t>
      </w:r>
      <w:r>
        <w:rPr>
          <w:rFonts w:ascii="仿宋_GB2312" w:hAnsi="仿宋" w:eastAsia="仿宋_GB2312"/>
          <w:bCs/>
          <w:color w:val="000000"/>
          <w:kern w:val="0"/>
          <w:sz w:val="32"/>
          <w:szCs w:val="32"/>
        </w:rPr>
        <w:t>%</w:t>
      </w:r>
      <w:r>
        <w:rPr>
          <w:rFonts w:hint="eastAsia" w:ascii="仿宋_GB2312" w:hAnsi="仿宋" w:eastAsia="仿宋_GB2312"/>
          <w:bCs/>
          <w:color w:val="000000"/>
          <w:kern w:val="0"/>
          <w:sz w:val="32"/>
          <w:szCs w:val="32"/>
        </w:rPr>
        <w:t>。</w:t>
      </w:r>
    </w:p>
    <w:p w14:paraId="6C970D9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4"/>
      <w:r>
        <w:rPr>
          <w:rFonts w:hint="eastAsia" w:ascii="仿宋" w:hAnsi="仿宋" w:eastAsia="仿宋"/>
          <w:b/>
          <w:sz w:val="32"/>
          <w:szCs w:val="32"/>
        </w:rPr>
        <w:t>（三）国有资产占有使用情况</w:t>
      </w:r>
      <w:bookmarkEnd w:id="45"/>
    </w:p>
    <w:p w14:paraId="7C683AAA">
      <w:pPr>
        <w:spacing w:line="570" w:lineRule="exact"/>
        <w:ind w:firstLine="640" w:firstLineChars="20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截至</w:t>
      </w:r>
      <w:r>
        <w:rPr>
          <w:rFonts w:ascii="仿宋_GB2312" w:hAnsi="仿宋" w:eastAsia="仿宋_GB2312"/>
          <w:bCs/>
          <w:color w:val="000000"/>
          <w:kern w:val="0"/>
          <w:sz w:val="32"/>
          <w:szCs w:val="32"/>
        </w:rPr>
        <w:t>20</w:t>
      </w:r>
      <w:r>
        <w:rPr>
          <w:rFonts w:hint="eastAsia" w:ascii="仿宋_GB2312" w:hAnsi="仿宋" w:eastAsia="仿宋_GB2312"/>
          <w:bCs/>
          <w:color w:val="000000"/>
          <w:kern w:val="0"/>
          <w:sz w:val="32"/>
          <w:szCs w:val="32"/>
        </w:rPr>
        <w:t>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w:t>
      </w:r>
      <w:r>
        <w:rPr>
          <w:rFonts w:ascii="仿宋_GB2312" w:hAnsi="仿宋" w:eastAsia="仿宋_GB2312"/>
          <w:bCs/>
          <w:color w:val="000000"/>
          <w:kern w:val="0"/>
          <w:sz w:val="32"/>
          <w:szCs w:val="32"/>
        </w:rPr>
        <w:t>12</w:t>
      </w:r>
      <w:r>
        <w:rPr>
          <w:rFonts w:hint="eastAsia" w:ascii="仿宋_GB2312" w:hAnsi="仿宋" w:eastAsia="仿宋_GB2312"/>
          <w:bCs/>
          <w:color w:val="000000"/>
          <w:kern w:val="0"/>
          <w:sz w:val="32"/>
          <w:szCs w:val="32"/>
        </w:rPr>
        <w:t>月</w:t>
      </w:r>
      <w:r>
        <w:rPr>
          <w:rFonts w:ascii="仿宋_GB2312" w:hAnsi="仿宋" w:eastAsia="仿宋_GB2312"/>
          <w:bCs/>
          <w:color w:val="000000"/>
          <w:kern w:val="0"/>
          <w:sz w:val="32"/>
          <w:szCs w:val="32"/>
        </w:rPr>
        <w:t>31</w:t>
      </w:r>
      <w:r>
        <w:rPr>
          <w:rFonts w:hint="eastAsia" w:ascii="仿宋_GB2312" w:hAnsi="仿宋" w:eastAsia="仿宋_GB2312"/>
          <w:bCs/>
          <w:color w:val="000000"/>
          <w:kern w:val="0"/>
          <w:sz w:val="32"/>
          <w:szCs w:val="32"/>
        </w:rPr>
        <w:t>日，我单位共有车辆0辆，其中：主要领导干部用车0辆、机要通信用车0辆、应急保障用车0辆、其他用车0辆。单价</w:t>
      </w:r>
      <w:r>
        <w:rPr>
          <w:rFonts w:ascii="仿宋_GB2312" w:hAnsi="仿宋" w:eastAsia="仿宋_GB2312"/>
          <w:bCs/>
          <w:color w:val="000000"/>
          <w:kern w:val="0"/>
          <w:sz w:val="32"/>
          <w:szCs w:val="32"/>
        </w:rPr>
        <w:t>100</w:t>
      </w:r>
      <w:r>
        <w:rPr>
          <w:rFonts w:hint="eastAsia" w:ascii="仿宋_GB2312" w:hAnsi="仿宋" w:eastAsia="仿宋_GB2312"/>
          <w:bCs/>
          <w:color w:val="000000"/>
          <w:kern w:val="0"/>
          <w:sz w:val="32"/>
          <w:szCs w:val="32"/>
        </w:rPr>
        <w:t>万元以上专用设备0台（套）。</w:t>
      </w:r>
    </w:p>
    <w:p w14:paraId="6F80B99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67780EB">
      <w:pPr>
        <w:spacing w:line="570" w:lineRule="exact"/>
        <w:ind w:firstLine="640" w:firstLineChars="200"/>
        <w:rPr>
          <w:rFonts w:ascii="仿宋_GB2312" w:hAnsi="仿宋" w:eastAsia="仿宋_GB2312"/>
          <w:bCs/>
          <w:color w:val="000000"/>
          <w:kern w:val="0"/>
          <w:sz w:val="32"/>
          <w:szCs w:val="32"/>
          <w:highlight w:val="none"/>
        </w:rPr>
      </w:pPr>
      <w:r>
        <w:rPr>
          <w:rFonts w:hint="eastAsia" w:ascii="仿宋_GB2312" w:hAnsi="仿宋" w:eastAsia="仿宋_GB2312"/>
          <w:bCs/>
          <w:color w:val="000000"/>
          <w:kern w:val="0"/>
          <w:sz w:val="32"/>
          <w:szCs w:val="32"/>
        </w:rPr>
        <w:t>根据预算绩效管理要求，本单位在202</w:t>
      </w:r>
      <w:r>
        <w:rPr>
          <w:rFonts w:hint="eastAsia" w:ascii="仿宋_GB2312" w:hAnsi="仿宋" w:eastAsia="仿宋_GB2312"/>
          <w:bCs/>
          <w:color w:val="000000"/>
          <w:kern w:val="0"/>
          <w:sz w:val="32"/>
          <w:szCs w:val="32"/>
          <w:lang w:val="en-US" w:eastAsia="zh-CN"/>
        </w:rPr>
        <w:t>3</w:t>
      </w:r>
      <w:r>
        <w:rPr>
          <w:rFonts w:hint="eastAsia" w:ascii="仿宋_GB2312" w:hAnsi="仿宋" w:eastAsia="仿宋_GB2312"/>
          <w:bCs/>
          <w:color w:val="000000"/>
          <w:kern w:val="0"/>
          <w:sz w:val="32"/>
          <w:szCs w:val="32"/>
        </w:rPr>
        <w:t>年度预算编制阶段，组织对</w:t>
      </w:r>
      <w:r>
        <w:rPr>
          <w:rFonts w:hint="eastAsia" w:ascii="仿宋_GB2312" w:hAnsi="仿宋" w:eastAsia="仿宋_GB2312"/>
          <w:bCs/>
          <w:color w:val="000000"/>
          <w:kern w:val="0"/>
          <w:sz w:val="32"/>
          <w:szCs w:val="32"/>
          <w:lang w:val="en-US" w:eastAsia="zh-CN"/>
        </w:rPr>
        <w:t>农民工服务平台等</w:t>
      </w:r>
      <w:r>
        <w:rPr>
          <w:rFonts w:hint="eastAsia" w:ascii="仿宋_GB2312" w:hAnsi="仿宋" w:eastAsia="仿宋_GB2312"/>
          <w:bCs/>
          <w:color w:val="000000"/>
          <w:kern w:val="0"/>
          <w:sz w:val="32"/>
          <w:szCs w:val="32"/>
        </w:rPr>
        <w:t>项目开展了预算绩效评估，对</w:t>
      </w:r>
      <w:r>
        <w:rPr>
          <w:rFonts w:hint="eastAsia" w:ascii="仿宋_GB2312" w:hAnsi="仿宋" w:eastAsia="仿宋_GB2312"/>
          <w:bCs/>
          <w:color w:val="000000"/>
          <w:kern w:val="0"/>
          <w:sz w:val="32"/>
          <w:szCs w:val="32"/>
          <w:lang w:val="en-US" w:eastAsia="zh-CN"/>
        </w:rPr>
        <w:t>7</w:t>
      </w:r>
      <w:r>
        <w:rPr>
          <w:rFonts w:hint="eastAsia" w:ascii="仿宋_GB2312" w:hAnsi="仿宋" w:eastAsia="仿宋_GB2312"/>
          <w:bCs/>
          <w:color w:val="000000"/>
          <w:kern w:val="0"/>
          <w:sz w:val="32"/>
          <w:szCs w:val="32"/>
        </w:rPr>
        <w:t>个项目编制了绩效目标，预算执行过程中，选取</w:t>
      </w:r>
      <w:r>
        <w:rPr>
          <w:rFonts w:hint="eastAsia" w:ascii="仿宋_GB2312" w:hAnsi="仿宋" w:eastAsia="仿宋_GB2312"/>
          <w:bCs/>
          <w:color w:val="000000"/>
          <w:kern w:val="0"/>
          <w:sz w:val="32"/>
          <w:szCs w:val="32"/>
          <w:lang w:val="en-US" w:eastAsia="zh-CN"/>
        </w:rPr>
        <w:t>7</w:t>
      </w:r>
      <w:r>
        <w:rPr>
          <w:rFonts w:hint="eastAsia" w:ascii="仿宋_GB2312" w:hAnsi="仿宋" w:eastAsia="仿宋_GB2312"/>
          <w:bCs/>
          <w:color w:val="000000"/>
          <w:kern w:val="0"/>
          <w:sz w:val="32"/>
          <w:szCs w:val="32"/>
        </w:rPr>
        <w:t>个项目开展绩效监控，组织对</w:t>
      </w:r>
      <w:r>
        <w:rPr>
          <w:rFonts w:hint="eastAsia" w:ascii="仿宋_GB2312" w:hAnsi="仿宋" w:eastAsia="仿宋_GB2312"/>
          <w:bCs/>
          <w:color w:val="000000"/>
          <w:kern w:val="0"/>
          <w:sz w:val="32"/>
          <w:szCs w:val="32"/>
          <w:lang w:val="en-US" w:eastAsia="zh-CN"/>
        </w:rPr>
        <w:t>7</w:t>
      </w:r>
      <w:r>
        <w:rPr>
          <w:rFonts w:hint="eastAsia" w:ascii="仿宋_GB2312" w:hAnsi="仿宋" w:eastAsia="仿宋_GB2312"/>
          <w:bCs/>
          <w:color w:val="000000"/>
          <w:kern w:val="0"/>
          <w:sz w:val="32"/>
          <w:szCs w:val="32"/>
        </w:rPr>
        <w:t>个项目开展绩效自评，绩效自评表详</w:t>
      </w:r>
      <w:r>
        <w:rPr>
          <w:rFonts w:hint="eastAsia" w:ascii="仿宋_GB2312" w:hAnsi="仿宋" w:eastAsia="仿宋_GB2312"/>
          <w:bCs/>
          <w:color w:val="000000"/>
          <w:kern w:val="0"/>
          <w:sz w:val="32"/>
          <w:szCs w:val="32"/>
          <w:highlight w:val="none"/>
        </w:rPr>
        <w:t>见第四部分附件。</w:t>
      </w:r>
    </w:p>
    <w:p w14:paraId="41AFA1D5">
      <w:pPr>
        <w:pStyle w:val="5"/>
        <w:spacing w:before="93"/>
        <w:ind w:firstLine="640" w:firstLineChars="200"/>
        <w:rPr>
          <w:rFonts w:hAnsi="仿宋"/>
          <w:bCs/>
          <w:color w:val="000000"/>
          <w:sz w:val="32"/>
          <w:szCs w:val="32"/>
        </w:rPr>
      </w:pPr>
      <w:r>
        <w:rPr>
          <w:rFonts w:hint="eastAsia" w:ascii="仿宋_GB2312" w:hAnsi="仿宋_GB2312" w:eastAsia="仿宋_GB2312" w:cs="仿宋_GB2312"/>
          <w:sz w:val="32"/>
          <w:szCs w:val="32"/>
          <w:highlight w:val="none"/>
          <w:lang w:val="en-US" w:eastAsia="zh-CN"/>
        </w:rPr>
        <w:t>本单位</w:t>
      </w:r>
      <w:r>
        <w:rPr>
          <w:rFonts w:hint="eastAsia" w:ascii="仿宋_GB2312" w:hAnsi="仿宋_GB2312" w:eastAsia="仿宋_GB2312" w:cs="仿宋_GB2312"/>
          <w:sz w:val="32"/>
          <w:szCs w:val="32"/>
          <w:highlight w:val="none"/>
        </w:rPr>
        <w:t>对</w:t>
      </w:r>
      <w:r>
        <w:rPr>
          <w:rFonts w:hint="eastAsia" w:hAnsi="仿宋"/>
          <w:bCs/>
          <w:color w:val="000000"/>
          <w:sz w:val="32"/>
          <w:szCs w:val="32"/>
          <w:highlight w:val="none"/>
        </w:rPr>
        <w:t>202</w:t>
      </w:r>
      <w:r>
        <w:rPr>
          <w:rFonts w:hint="eastAsia" w:hAnsi="仿宋"/>
          <w:bCs/>
          <w:color w:val="000000"/>
          <w:sz w:val="32"/>
          <w:szCs w:val="32"/>
          <w:highlight w:val="none"/>
          <w:lang w:val="en-US" w:eastAsia="zh-CN"/>
        </w:rPr>
        <w:t>3</w:t>
      </w:r>
      <w:r>
        <w:rPr>
          <w:rFonts w:hint="eastAsia" w:hAnsi="仿宋"/>
          <w:bCs/>
          <w:color w:val="000000"/>
          <w:sz w:val="32"/>
          <w:szCs w:val="32"/>
          <w:highlight w:val="none"/>
        </w:rPr>
        <w:t>年部门整体支出开展绩效自评，</w:t>
      </w:r>
      <w:r>
        <w:rPr>
          <w:rFonts w:hint="eastAsia" w:ascii="仿宋_GB2312" w:hAnsi="仿宋_GB2312" w:eastAsia="仿宋_GB2312" w:cs="仿宋_GB2312"/>
          <w:sz w:val="32"/>
          <w:szCs w:val="32"/>
          <w:highlight w:val="none"/>
        </w:rPr>
        <w:t>形成</w:t>
      </w:r>
      <w:r>
        <w:rPr>
          <w:rFonts w:hint="eastAsia" w:ascii="仿宋_GB2312" w:hAnsi="仿宋_GB2312" w:eastAsia="仿宋_GB2312" w:cs="仿宋_GB2312"/>
          <w:sz w:val="32"/>
          <w:szCs w:val="32"/>
          <w:highlight w:val="none"/>
          <w:lang w:val="en-US" w:eastAsia="zh-CN"/>
        </w:rPr>
        <w:t>大竹县农民工服务中心</w:t>
      </w:r>
      <w:r>
        <w:rPr>
          <w:rFonts w:hint="eastAsia" w:ascii="仿宋_GB2312" w:hAnsi="仿宋_GB2312" w:eastAsia="仿宋_GB2312" w:cs="仿宋_GB2312"/>
          <w:sz w:val="32"/>
          <w:szCs w:val="32"/>
          <w:highlight w:val="none"/>
        </w:rPr>
        <w:t>部门整体（含部门预算项目）绩效自评报告，其中，</w:t>
      </w:r>
      <w:r>
        <w:rPr>
          <w:rFonts w:hint="eastAsia" w:ascii="仿宋_GB2312" w:hAnsi="仿宋_GB2312" w:eastAsia="仿宋_GB2312" w:cs="仿宋_GB2312"/>
          <w:sz w:val="32"/>
          <w:szCs w:val="32"/>
          <w:highlight w:val="none"/>
          <w:lang w:val="en-US" w:eastAsia="zh-CN"/>
        </w:rPr>
        <w:t>大竹县农民工服务中心</w:t>
      </w:r>
      <w:r>
        <w:rPr>
          <w:rFonts w:hint="eastAsia" w:ascii="仿宋_GB2312" w:hAnsi="仿宋_GB2312" w:eastAsia="仿宋_GB2312" w:cs="仿宋_GB2312"/>
          <w:sz w:val="32"/>
          <w:szCs w:val="32"/>
          <w:highlight w:val="none"/>
        </w:rPr>
        <w:t>部门整体（含部门预算项目）绩效自评得分为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分，绩效自评综述：</w:t>
      </w:r>
      <w:r>
        <w:rPr>
          <w:rFonts w:hint="eastAsia" w:hAnsi="仿宋"/>
          <w:bCs/>
          <w:color w:val="000000"/>
          <w:sz w:val="32"/>
          <w:szCs w:val="32"/>
          <w:highlight w:val="none"/>
        </w:rPr>
        <w:t>全面完成预定目标，资金发挥最大效益，全年基本支出保证了部门的正</w:t>
      </w:r>
      <w:r>
        <w:rPr>
          <w:rFonts w:hint="eastAsia" w:hAnsi="仿宋"/>
          <w:bCs/>
          <w:color w:val="000000"/>
          <w:sz w:val="32"/>
          <w:szCs w:val="32"/>
        </w:rPr>
        <w:t>常运行和日常工作任务的顺利完成，全年项目支出基本达到预期目标。绩效自评报告详见附件。</w:t>
      </w:r>
    </w:p>
    <w:p w14:paraId="18105AFF">
      <w:pPr>
        <w:spacing w:line="580" w:lineRule="exact"/>
        <w:ind w:firstLine="640" w:firstLineChars="200"/>
        <w:rPr>
          <w:rFonts w:hint="eastAsia" w:ascii="仿宋_GB2312" w:hAnsi="仿宋_GB2312" w:eastAsia="仿宋_GB2312" w:cs="仿宋_GB2312"/>
          <w:sz w:val="32"/>
          <w:szCs w:val="32"/>
          <w:highlight w:val="yellow"/>
        </w:rPr>
      </w:pPr>
    </w:p>
    <w:p w14:paraId="48F6F1A1">
      <w:pPr>
        <w:spacing w:line="580" w:lineRule="exact"/>
        <w:ind w:firstLine="640" w:firstLineChars="200"/>
        <w:rPr>
          <w:rFonts w:hint="eastAsia" w:ascii="仿宋_GB2312" w:hAnsi="仿宋_GB2312" w:eastAsia="仿宋_GB2312" w:cs="仿宋_GB2312"/>
          <w:sz w:val="32"/>
          <w:szCs w:val="32"/>
          <w:highlight w:val="yellow"/>
        </w:rPr>
      </w:pPr>
    </w:p>
    <w:p w14:paraId="2F187020">
      <w:pPr>
        <w:spacing w:line="580" w:lineRule="exact"/>
        <w:ind w:firstLine="640" w:firstLineChars="200"/>
        <w:rPr>
          <w:rFonts w:hint="eastAsia" w:ascii="仿宋_GB2312" w:hAnsi="仿宋_GB2312" w:eastAsia="仿宋_GB2312" w:cs="仿宋_GB2312"/>
          <w:sz w:val="32"/>
          <w:szCs w:val="32"/>
          <w:highlight w:val="yellow"/>
        </w:rPr>
      </w:pPr>
    </w:p>
    <w:p w14:paraId="74BB9519">
      <w:pPr>
        <w:spacing w:line="580" w:lineRule="exact"/>
        <w:ind w:firstLine="640" w:firstLineChars="200"/>
        <w:rPr>
          <w:rFonts w:hint="eastAsia" w:ascii="仿宋_GB2312" w:hAnsi="仿宋_GB2312" w:eastAsia="仿宋_GB2312" w:cs="仿宋_GB2312"/>
          <w:sz w:val="32"/>
          <w:szCs w:val="32"/>
          <w:highlight w:val="yellow"/>
        </w:rPr>
      </w:pPr>
    </w:p>
    <w:p w14:paraId="5BC8C5F9">
      <w:pPr>
        <w:spacing w:line="580" w:lineRule="exact"/>
        <w:ind w:firstLine="640" w:firstLineChars="200"/>
        <w:rPr>
          <w:rFonts w:hint="eastAsia" w:ascii="仿宋_GB2312" w:hAnsi="仿宋_GB2312" w:eastAsia="仿宋_GB2312" w:cs="仿宋_GB2312"/>
          <w:sz w:val="32"/>
          <w:szCs w:val="32"/>
          <w:highlight w:val="yellow"/>
        </w:rPr>
      </w:pPr>
    </w:p>
    <w:p w14:paraId="1F98755D">
      <w:pPr>
        <w:spacing w:line="580" w:lineRule="exact"/>
        <w:rPr>
          <w:rFonts w:hint="eastAsia" w:ascii="仿宋_GB2312" w:hAnsi="仿宋_GB2312" w:eastAsia="仿宋_GB2312" w:cs="仿宋_GB2312"/>
          <w:sz w:val="32"/>
          <w:szCs w:val="32"/>
          <w:highlight w:val="yellow"/>
        </w:rPr>
      </w:pPr>
    </w:p>
    <w:p w14:paraId="2C274F7B">
      <w:pPr>
        <w:spacing w:line="580" w:lineRule="exact"/>
        <w:rPr>
          <w:rFonts w:hint="eastAsia" w:ascii="仿宋_GB2312" w:hAnsi="仿宋_GB2312" w:eastAsia="仿宋_GB2312" w:cs="仿宋_GB2312"/>
          <w:sz w:val="32"/>
          <w:szCs w:val="32"/>
          <w:highlight w:val="yellow"/>
        </w:rPr>
      </w:pPr>
    </w:p>
    <w:p w14:paraId="42C51560">
      <w:pPr>
        <w:spacing w:line="580" w:lineRule="exact"/>
        <w:rPr>
          <w:rFonts w:hint="eastAsia" w:ascii="仿宋_GB2312" w:hAnsi="仿宋_GB2312" w:eastAsia="仿宋_GB2312" w:cs="仿宋_GB2312"/>
          <w:sz w:val="32"/>
          <w:szCs w:val="32"/>
          <w:highlight w:val="yellow"/>
        </w:rPr>
      </w:pPr>
    </w:p>
    <w:p w14:paraId="5E8BC1BB">
      <w:pPr>
        <w:spacing w:line="580" w:lineRule="exact"/>
        <w:rPr>
          <w:rFonts w:hint="eastAsia" w:ascii="仿宋_GB2312" w:hAnsi="仿宋_GB2312" w:eastAsia="仿宋_GB2312" w:cs="仿宋_GB2312"/>
          <w:sz w:val="32"/>
          <w:szCs w:val="32"/>
          <w:highlight w:val="yellow"/>
        </w:rPr>
      </w:pPr>
    </w:p>
    <w:p w14:paraId="7B25F23D">
      <w:pPr>
        <w:spacing w:line="580" w:lineRule="exact"/>
        <w:rPr>
          <w:rFonts w:hint="eastAsia" w:ascii="仿宋_GB2312" w:hAnsi="仿宋_GB2312" w:eastAsia="仿宋_GB2312" w:cs="仿宋_GB2312"/>
          <w:sz w:val="32"/>
          <w:szCs w:val="32"/>
          <w:highlight w:val="yellow"/>
        </w:rPr>
      </w:pPr>
    </w:p>
    <w:p w14:paraId="6E4FE62E">
      <w:pPr>
        <w:spacing w:line="580" w:lineRule="exact"/>
        <w:rPr>
          <w:rFonts w:hint="eastAsia" w:ascii="仿宋_GB2312" w:hAnsi="仿宋_GB2312" w:eastAsia="仿宋_GB2312" w:cs="仿宋_GB2312"/>
          <w:sz w:val="32"/>
          <w:szCs w:val="32"/>
          <w:highlight w:val="yellow"/>
        </w:rPr>
      </w:pPr>
    </w:p>
    <w:p w14:paraId="0E4EF977">
      <w:pPr>
        <w:spacing w:line="580" w:lineRule="exact"/>
        <w:rPr>
          <w:rFonts w:hint="eastAsia" w:ascii="仿宋_GB2312" w:hAnsi="仿宋_GB2312" w:eastAsia="仿宋_GB2312" w:cs="仿宋_GB2312"/>
          <w:sz w:val="32"/>
          <w:szCs w:val="32"/>
          <w:highlight w:val="yellow"/>
        </w:rPr>
      </w:pPr>
    </w:p>
    <w:p w14:paraId="47EE151F">
      <w:pPr>
        <w:spacing w:line="580" w:lineRule="exact"/>
        <w:rPr>
          <w:rFonts w:hint="eastAsia" w:ascii="仿宋_GB2312" w:hAnsi="仿宋_GB2312" w:eastAsia="仿宋_GB2312" w:cs="仿宋_GB2312"/>
          <w:sz w:val="32"/>
          <w:szCs w:val="32"/>
          <w:highlight w:val="yellow"/>
        </w:rPr>
      </w:pPr>
    </w:p>
    <w:p w14:paraId="6F18A653">
      <w:pPr>
        <w:spacing w:line="580" w:lineRule="exact"/>
        <w:rPr>
          <w:rFonts w:hint="eastAsia" w:ascii="仿宋_GB2312" w:hAnsi="仿宋_GB2312" w:eastAsia="仿宋_GB2312" w:cs="仿宋_GB2312"/>
          <w:sz w:val="32"/>
          <w:szCs w:val="32"/>
          <w:highlight w:val="yellow"/>
        </w:rPr>
      </w:pPr>
    </w:p>
    <w:p w14:paraId="56F5B4A2">
      <w:pPr>
        <w:spacing w:line="580" w:lineRule="exact"/>
        <w:rPr>
          <w:rFonts w:hint="eastAsia" w:ascii="仿宋_GB2312" w:hAnsi="仿宋_GB2312" w:eastAsia="仿宋_GB2312" w:cs="仿宋_GB2312"/>
          <w:sz w:val="32"/>
          <w:szCs w:val="32"/>
          <w:highlight w:val="yellow"/>
        </w:rPr>
      </w:pPr>
    </w:p>
    <w:p w14:paraId="256F5853">
      <w:pPr>
        <w:spacing w:line="580" w:lineRule="exact"/>
        <w:rPr>
          <w:rFonts w:hint="eastAsia" w:ascii="仿宋_GB2312" w:hAnsi="仿宋_GB2312" w:eastAsia="仿宋_GB2312" w:cs="仿宋_GB2312"/>
          <w:sz w:val="32"/>
          <w:szCs w:val="32"/>
          <w:highlight w:val="yellow"/>
        </w:rPr>
      </w:pPr>
    </w:p>
    <w:p w14:paraId="12E2BB97">
      <w:pPr>
        <w:spacing w:line="580" w:lineRule="exact"/>
        <w:rPr>
          <w:rFonts w:hint="eastAsia" w:ascii="仿宋_GB2312" w:hAnsi="仿宋_GB2312" w:eastAsia="仿宋_GB2312" w:cs="仿宋_GB2312"/>
          <w:sz w:val="32"/>
          <w:szCs w:val="32"/>
          <w:highlight w:val="yellow"/>
        </w:rPr>
      </w:pPr>
    </w:p>
    <w:p w14:paraId="2D11138F">
      <w:pPr>
        <w:pStyle w:val="2"/>
        <w:jc w:val="center"/>
      </w:pPr>
      <w:r>
        <w:rPr>
          <w:rFonts w:hint="eastAsia"/>
        </w:rPr>
        <w:t>第三部分 名词解释</w:t>
      </w:r>
    </w:p>
    <w:p w14:paraId="6F9DACAD"/>
    <w:p w14:paraId="24F00852">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14:paraId="3AB5BA40">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xml:space="preserve">.其他收入：指单位取得的除上述收入以外的各项收入。主要是…（收入类型）等。 </w:t>
      </w:r>
    </w:p>
    <w:p w14:paraId="4275C50F">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.使用非财政拨款结余（含专用结余）：指事业单位使用以前年度积累的非财政拨款结余弥补当年收支差额的金额。 </w:t>
      </w:r>
    </w:p>
    <w:p w14:paraId="42D74934">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xml:space="preserve">.年初结转和结余：指以前年度尚未完成、结转到本年按有关规定继续使用的资金。 </w:t>
      </w:r>
    </w:p>
    <w:p w14:paraId="2E61C003">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.结余分配：指事业单位按照会计制度规定缴纳的所得税、提取的专用结余以及转入非财政拨款结余的金额等。</w:t>
      </w:r>
    </w:p>
    <w:p w14:paraId="5AC0D79F">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14:paraId="0C609674">
      <w:pPr>
        <w:spacing w:line="570" w:lineRule="exact"/>
        <w:ind w:firstLine="640" w:firstLineChars="200"/>
        <w:rPr>
          <w:rFonts w:hint="eastAsia" w:ascii="仿宋_GB2312" w:hAnsi="仿宋" w:eastAsia="仿宋_GB2312" w:cs="Times New Roman"/>
          <w:bCs/>
          <w:color w:val="000000"/>
          <w:kern w:val="0"/>
          <w:sz w:val="32"/>
          <w:szCs w:val="32"/>
        </w:rPr>
      </w:pPr>
      <w:r>
        <w:rPr>
          <w:rFonts w:hint="eastAsia" w:ascii="仿宋_GB2312" w:hAnsi="仿宋" w:eastAsia="仿宋_GB2312" w:cs="Times New Roman"/>
          <w:bCs/>
          <w:color w:val="000000"/>
          <w:kern w:val="0"/>
          <w:sz w:val="32"/>
          <w:szCs w:val="32"/>
          <w:lang w:val="en-US" w:eastAsia="zh-CN"/>
        </w:rPr>
        <w:t>7</w:t>
      </w:r>
      <w:r>
        <w:rPr>
          <w:rFonts w:hint="eastAsia" w:ascii="仿宋_GB2312" w:hAnsi="仿宋" w:eastAsia="仿宋_GB2312" w:cs="Times New Roman"/>
          <w:bCs/>
          <w:color w:val="000000"/>
          <w:kern w:val="0"/>
          <w:sz w:val="32"/>
          <w:szCs w:val="32"/>
        </w:rPr>
        <w:t>.一般公共服务</w:t>
      </w:r>
      <w:r>
        <w:rPr>
          <w:rFonts w:hint="eastAsia" w:ascii="仿宋_GB2312" w:hAnsi="仿宋" w:eastAsia="仿宋_GB2312" w:cs="Times New Roman"/>
          <w:bCs/>
          <w:color w:val="000000"/>
          <w:kern w:val="0"/>
          <w:sz w:val="32"/>
          <w:szCs w:val="32"/>
          <w:lang w:val="en-US" w:eastAsia="zh-CN"/>
        </w:rPr>
        <w:t>支出</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201</w:t>
      </w:r>
      <w:r>
        <w:rPr>
          <w:rFonts w:hint="eastAsia" w:ascii="仿宋_GB2312" w:hAnsi="仿宋" w:eastAsia="仿宋_GB2312" w:cs="Times New Roman"/>
          <w:bCs/>
          <w:color w:val="000000"/>
          <w:kern w:val="0"/>
          <w:sz w:val="32"/>
          <w:szCs w:val="32"/>
        </w:rPr>
        <w:t>）政府办公厅(室)及相关机构事务（</w:t>
      </w:r>
      <w:r>
        <w:rPr>
          <w:rFonts w:hint="eastAsia" w:ascii="仿宋_GB2312" w:hAnsi="仿宋" w:eastAsia="仿宋_GB2312" w:cs="Times New Roman"/>
          <w:bCs/>
          <w:color w:val="000000"/>
          <w:kern w:val="0"/>
          <w:sz w:val="32"/>
          <w:szCs w:val="32"/>
          <w:lang w:val="en-US" w:eastAsia="zh-CN"/>
        </w:rPr>
        <w:t>03</w:t>
      </w:r>
      <w:r>
        <w:rPr>
          <w:rFonts w:hint="eastAsia" w:ascii="仿宋_GB2312" w:hAnsi="仿宋" w:eastAsia="仿宋_GB2312" w:cs="Times New Roman"/>
          <w:bCs/>
          <w:color w:val="000000"/>
          <w:kern w:val="0"/>
          <w:sz w:val="32"/>
          <w:szCs w:val="32"/>
        </w:rPr>
        <w:t>）信访事务（</w:t>
      </w:r>
      <w:r>
        <w:rPr>
          <w:rFonts w:hint="eastAsia" w:ascii="仿宋_GB2312" w:hAnsi="仿宋" w:eastAsia="仿宋_GB2312" w:cs="Times New Roman"/>
          <w:bCs/>
          <w:color w:val="000000"/>
          <w:kern w:val="0"/>
          <w:sz w:val="32"/>
          <w:szCs w:val="32"/>
          <w:lang w:val="en-US" w:eastAsia="zh-CN"/>
        </w:rPr>
        <w:t>08</w:t>
      </w:r>
      <w:r>
        <w:rPr>
          <w:rFonts w:hint="eastAsia" w:ascii="仿宋_GB2312" w:hAnsi="仿宋" w:eastAsia="仿宋_GB2312" w:cs="Times New Roman"/>
          <w:bCs/>
          <w:color w:val="000000"/>
          <w:kern w:val="0"/>
          <w:sz w:val="32"/>
          <w:szCs w:val="32"/>
        </w:rPr>
        <w:t>）:指</w:t>
      </w:r>
      <w:r>
        <w:rPr>
          <w:rFonts w:hint="eastAsia" w:ascii="仿宋_GB2312" w:hAnsi="仿宋" w:eastAsia="仿宋_GB2312" w:cs="Times New Roman"/>
          <w:bCs/>
          <w:color w:val="000000"/>
          <w:kern w:val="0"/>
          <w:sz w:val="32"/>
          <w:szCs w:val="32"/>
          <w:lang w:val="en-US" w:eastAsia="zh-CN"/>
        </w:rPr>
        <w:t>反映单位解决劳动争议及信访维稳工作等信访事务方面支出</w:t>
      </w:r>
      <w:r>
        <w:rPr>
          <w:rFonts w:hint="eastAsia" w:ascii="仿宋_GB2312" w:hAnsi="仿宋" w:eastAsia="仿宋_GB2312" w:cs="Times New Roman"/>
          <w:bCs/>
          <w:color w:val="000000"/>
          <w:kern w:val="0"/>
          <w:sz w:val="32"/>
          <w:szCs w:val="32"/>
        </w:rPr>
        <w:t>。</w:t>
      </w:r>
    </w:p>
    <w:p w14:paraId="580C915A">
      <w:pPr>
        <w:spacing w:line="570" w:lineRule="exact"/>
        <w:ind w:firstLine="640" w:firstLineChars="200"/>
        <w:rPr>
          <w:rFonts w:hint="eastAsia" w:ascii="仿宋_GB2312" w:hAnsi="仿宋" w:eastAsia="仿宋_GB2312" w:cs="Times New Roman"/>
          <w:bCs/>
          <w:color w:val="000000"/>
          <w:kern w:val="0"/>
          <w:sz w:val="32"/>
          <w:szCs w:val="32"/>
        </w:rPr>
      </w:pPr>
      <w:r>
        <w:rPr>
          <w:rFonts w:hint="eastAsia" w:ascii="仿宋_GB2312" w:hAnsi="仿宋" w:eastAsia="仿宋_GB2312" w:cs="Times New Roman"/>
          <w:bCs/>
          <w:color w:val="000000"/>
          <w:kern w:val="0"/>
          <w:sz w:val="32"/>
          <w:szCs w:val="32"/>
          <w:lang w:val="en-US" w:eastAsia="zh-CN"/>
        </w:rPr>
        <w:t>8</w:t>
      </w:r>
      <w:r>
        <w:rPr>
          <w:rFonts w:hint="eastAsia" w:ascii="仿宋_GB2312" w:hAnsi="仿宋" w:eastAsia="仿宋_GB2312" w:cs="Times New Roman"/>
          <w:bCs/>
          <w:color w:val="000000"/>
          <w:kern w:val="0"/>
          <w:sz w:val="32"/>
          <w:szCs w:val="32"/>
        </w:rPr>
        <w:t>.社会保障和就业（208）行政事</w:t>
      </w:r>
      <w:r>
        <w:rPr>
          <w:rFonts w:hint="eastAsia" w:ascii="仿宋_GB2312" w:hAnsi="仿宋" w:eastAsia="仿宋_GB2312"/>
          <w:bCs/>
          <w:color w:val="000000"/>
          <w:kern w:val="0"/>
          <w:sz w:val="32"/>
          <w:szCs w:val="32"/>
        </w:rPr>
        <w:t>业单位养老支出（05）机关事业单位基本养老保险缴费支出（05）</w:t>
      </w:r>
      <w:r>
        <w:rPr>
          <w:rFonts w:ascii="仿宋_GB2312" w:hAnsi="仿宋" w:eastAsia="仿宋_GB2312"/>
          <w:bCs/>
          <w:color w:val="000000"/>
          <w:kern w:val="0"/>
          <w:sz w:val="32"/>
          <w:szCs w:val="32"/>
        </w:rPr>
        <w:t xml:space="preserve">: </w:t>
      </w:r>
      <w:r>
        <w:rPr>
          <w:rFonts w:hint="eastAsia" w:ascii="仿宋_GB2312" w:hAnsi="仿宋" w:eastAsia="仿宋_GB2312"/>
          <w:bCs/>
          <w:color w:val="000000"/>
          <w:kern w:val="0"/>
          <w:sz w:val="32"/>
          <w:szCs w:val="32"/>
        </w:rPr>
        <w:t>指反映机关事业单</w:t>
      </w:r>
      <w:r>
        <w:rPr>
          <w:rFonts w:hint="eastAsia" w:ascii="仿宋_GB2312" w:hAnsi="仿宋" w:eastAsia="仿宋_GB2312" w:cs="Times New Roman"/>
          <w:bCs/>
          <w:color w:val="000000"/>
          <w:kern w:val="0"/>
          <w:sz w:val="32"/>
          <w:szCs w:val="32"/>
        </w:rPr>
        <w:t>位实施养老保险制度由单位缴纳的基本养老保险费支出。</w:t>
      </w:r>
    </w:p>
    <w:p w14:paraId="2D9E85A2">
      <w:pPr>
        <w:spacing w:line="570" w:lineRule="exact"/>
        <w:ind w:firstLine="640" w:firstLineChars="200"/>
        <w:rPr>
          <w:rFonts w:hint="eastAsia" w:ascii="仿宋_GB2312" w:hAnsi="仿宋" w:eastAsia="仿宋_GB2312" w:cs="Times New Roman"/>
          <w:bCs/>
          <w:color w:val="000000"/>
          <w:kern w:val="0"/>
          <w:sz w:val="32"/>
          <w:szCs w:val="32"/>
          <w:lang w:val="en-US" w:eastAsia="zh-CN"/>
        </w:rPr>
      </w:pPr>
      <w:r>
        <w:rPr>
          <w:rFonts w:hint="eastAsia" w:ascii="仿宋_GB2312" w:hAnsi="仿宋" w:eastAsia="仿宋_GB2312" w:cs="Times New Roman"/>
          <w:bCs/>
          <w:color w:val="000000"/>
          <w:kern w:val="0"/>
          <w:sz w:val="32"/>
          <w:szCs w:val="32"/>
          <w:lang w:val="en-US" w:eastAsia="zh-CN"/>
        </w:rPr>
        <w:t>9.</w:t>
      </w:r>
      <w:r>
        <w:rPr>
          <w:rFonts w:hint="eastAsia" w:ascii="仿宋_GB2312" w:hAnsi="仿宋" w:eastAsia="仿宋_GB2312" w:cs="Times New Roman"/>
          <w:bCs/>
          <w:color w:val="000000"/>
          <w:kern w:val="0"/>
          <w:sz w:val="32"/>
          <w:szCs w:val="32"/>
        </w:rPr>
        <w:t>社会保障和就业（</w:t>
      </w:r>
      <w:r>
        <w:rPr>
          <w:rFonts w:hint="eastAsia" w:ascii="仿宋_GB2312" w:hAnsi="仿宋" w:eastAsia="仿宋_GB2312" w:cs="Times New Roman"/>
          <w:bCs/>
          <w:color w:val="000000"/>
          <w:kern w:val="0"/>
          <w:sz w:val="32"/>
          <w:szCs w:val="32"/>
          <w:lang w:val="en-US" w:eastAsia="zh-CN"/>
        </w:rPr>
        <w:t>208</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就业补助</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07</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其他就业补助</w:t>
      </w:r>
      <w:r>
        <w:rPr>
          <w:rFonts w:hint="eastAsia" w:ascii="仿宋_GB2312" w:hAnsi="仿宋" w:eastAsia="仿宋_GB2312" w:cs="Times New Roman"/>
          <w:bCs/>
          <w:color w:val="000000"/>
          <w:kern w:val="0"/>
          <w:sz w:val="32"/>
          <w:szCs w:val="32"/>
        </w:rPr>
        <w:t>支出（</w:t>
      </w:r>
      <w:r>
        <w:rPr>
          <w:rFonts w:hint="eastAsia" w:ascii="仿宋_GB2312" w:hAnsi="仿宋" w:eastAsia="仿宋_GB2312" w:cs="Times New Roman"/>
          <w:bCs/>
          <w:color w:val="000000"/>
          <w:kern w:val="0"/>
          <w:sz w:val="32"/>
          <w:szCs w:val="32"/>
          <w:lang w:val="en-US" w:eastAsia="zh-CN"/>
        </w:rPr>
        <w:t>99</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;指促进农民工就业培训顺利开展等方面的支出。</w:t>
      </w:r>
    </w:p>
    <w:p w14:paraId="1FB8C1C7">
      <w:pPr>
        <w:spacing w:line="570" w:lineRule="exact"/>
        <w:ind w:firstLine="640" w:firstLineChars="200"/>
        <w:rPr>
          <w:rFonts w:hint="default" w:ascii="仿宋_GB2312" w:hAnsi="仿宋" w:eastAsia="仿宋_GB2312" w:cs="Times New Roman"/>
          <w:bCs/>
          <w:color w:val="000000"/>
          <w:kern w:val="0"/>
          <w:sz w:val="32"/>
          <w:szCs w:val="32"/>
          <w:lang w:val="en-US" w:eastAsia="zh-CN"/>
        </w:rPr>
      </w:pPr>
      <w:r>
        <w:rPr>
          <w:rFonts w:hint="eastAsia" w:ascii="仿宋_GB2312" w:hAnsi="仿宋" w:eastAsia="仿宋_GB2312" w:cs="Times New Roman"/>
          <w:bCs/>
          <w:color w:val="000000"/>
          <w:kern w:val="0"/>
          <w:sz w:val="32"/>
          <w:szCs w:val="32"/>
          <w:lang w:val="en-US" w:eastAsia="zh-CN"/>
        </w:rPr>
        <w:t>10.</w:t>
      </w:r>
      <w:r>
        <w:rPr>
          <w:rFonts w:hint="eastAsia" w:ascii="仿宋_GB2312" w:hAnsi="仿宋" w:eastAsia="仿宋_GB2312" w:cs="Times New Roman"/>
          <w:bCs/>
          <w:color w:val="000000"/>
          <w:kern w:val="0"/>
          <w:sz w:val="32"/>
          <w:szCs w:val="32"/>
        </w:rPr>
        <w:t>社会保障和就业（</w:t>
      </w:r>
      <w:r>
        <w:rPr>
          <w:rFonts w:hint="eastAsia" w:ascii="仿宋_GB2312" w:hAnsi="仿宋" w:eastAsia="仿宋_GB2312" w:cs="Times New Roman"/>
          <w:bCs/>
          <w:color w:val="000000"/>
          <w:kern w:val="0"/>
          <w:sz w:val="32"/>
          <w:szCs w:val="32"/>
          <w:lang w:val="en-US" w:eastAsia="zh-CN"/>
        </w:rPr>
        <w:t>208</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其他社会保障和就业支出</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99</w:t>
      </w:r>
      <w:r>
        <w:rPr>
          <w:rFonts w:hint="eastAsia" w:ascii="仿宋_GB2312" w:hAnsi="仿宋" w:eastAsia="仿宋_GB2312" w:cs="Times New Roman"/>
          <w:bCs/>
          <w:color w:val="000000"/>
          <w:kern w:val="0"/>
          <w:sz w:val="32"/>
          <w:szCs w:val="32"/>
        </w:rPr>
        <w:t>） 其他社会保障和就业支出（</w:t>
      </w:r>
      <w:r>
        <w:rPr>
          <w:rFonts w:hint="eastAsia" w:ascii="仿宋_GB2312" w:hAnsi="仿宋" w:eastAsia="仿宋_GB2312" w:cs="Times New Roman"/>
          <w:bCs/>
          <w:color w:val="000000"/>
          <w:kern w:val="0"/>
          <w:sz w:val="32"/>
          <w:szCs w:val="32"/>
          <w:lang w:val="en-US" w:eastAsia="zh-CN"/>
        </w:rPr>
        <w:t>99</w:t>
      </w:r>
      <w:r>
        <w:rPr>
          <w:rFonts w:hint="eastAsia" w:ascii="仿宋_GB2312" w:hAnsi="仿宋" w:eastAsia="仿宋_GB2312" w:cs="Times New Roman"/>
          <w:bCs/>
          <w:color w:val="000000"/>
          <w:kern w:val="0"/>
          <w:sz w:val="32"/>
          <w:szCs w:val="32"/>
        </w:rPr>
        <w:t>）:</w:t>
      </w:r>
      <w:r>
        <w:rPr>
          <w:rFonts w:hint="eastAsia" w:ascii="仿宋_GB2312" w:hAnsi="仿宋" w:eastAsia="仿宋_GB2312" w:cs="Times New Roman"/>
          <w:bCs/>
          <w:color w:val="000000"/>
          <w:kern w:val="0"/>
          <w:sz w:val="32"/>
          <w:szCs w:val="32"/>
          <w:lang w:val="en-US" w:eastAsia="zh-CN"/>
        </w:rPr>
        <w:t>指单位职工工资福利、商品和服务等基本支出和项目支出。</w:t>
      </w:r>
    </w:p>
    <w:p w14:paraId="046ADBC3">
      <w:pPr>
        <w:spacing w:line="570" w:lineRule="exact"/>
        <w:ind w:firstLine="640" w:firstLineChars="200"/>
        <w:rPr>
          <w:rFonts w:hint="eastAsia" w:ascii="仿宋_GB2312" w:hAnsi="仿宋" w:eastAsia="仿宋_GB2312" w:cs="Times New Roman"/>
          <w:bCs/>
          <w:color w:val="000000"/>
          <w:kern w:val="0"/>
          <w:sz w:val="32"/>
          <w:szCs w:val="32"/>
        </w:rPr>
      </w:pPr>
      <w:r>
        <w:rPr>
          <w:rFonts w:hint="eastAsia" w:ascii="仿宋_GB2312" w:hAnsi="仿宋" w:eastAsia="仿宋_GB2312" w:cs="Times New Roman"/>
          <w:bCs/>
          <w:color w:val="000000"/>
          <w:kern w:val="0"/>
          <w:sz w:val="32"/>
          <w:szCs w:val="32"/>
          <w:lang w:val="en-US" w:eastAsia="zh-CN"/>
        </w:rPr>
        <w:t>11.</w:t>
      </w:r>
      <w:r>
        <w:rPr>
          <w:rFonts w:hint="eastAsia" w:ascii="仿宋_GB2312" w:hAnsi="仿宋" w:eastAsia="仿宋_GB2312" w:cs="Times New Roman"/>
          <w:bCs/>
          <w:color w:val="000000"/>
          <w:kern w:val="0"/>
          <w:sz w:val="32"/>
          <w:szCs w:val="32"/>
        </w:rPr>
        <w:t>卫生健康（210）行政事业单位医疗（11）</w:t>
      </w:r>
      <w:r>
        <w:rPr>
          <w:rFonts w:hint="eastAsia" w:ascii="仿宋_GB2312" w:hAnsi="仿宋" w:eastAsia="仿宋_GB2312" w:cs="Times New Roman"/>
          <w:bCs/>
          <w:color w:val="000000"/>
          <w:kern w:val="0"/>
          <w:sz w:val="32"/>
          <w:szCs w:val="32"/>
          <w:lang w:val="en-US" w:eastAsia="zh-CN"/>
        </w:rPr>
        <w:t>事业</w:t>
      </w:r>
      <w:r>
        <w:rPr>
          <w:rFonts w:hint="eastAsia" w:ascii="仿宋_GB2312" w:hAnsi="仿宋" w:eastAsia="仿宋_GB2312" w:cs="Times New Roman"/>
          <w:bCs/>
          <w:color w:val="000000"/>
          <w:kern w:val="0"/>
          <w:sz w:val="32"/>
          <w:szCs w:val="32"/>
        </w:rPr>
        <w:t>单位医疗（0</w:t>
      </w:r>
      <w:r>
        <w:rPr>
          <w:rFonts w:hint="eastAsia" w:ascii="仿宋_GB2312" w:hAnsi="仿宋" w:eastAsia="仿宋_GB2312" w:cs="Times New Roman"/>
          <w:bCs/>
          <w:color w:val="000000"/>
          <w:kern w:val="0"/>
          <w:sz w:val="32"/>
          <w:szCs w:val="32"/>
          <w:lang w:val="en-US" w:eastAsia="zh-CN"/>
        </w:rPr>
        <w:t>2</w:t>
      </w:r>
      <w:r>
        <w:rPr>
          <w:rFonts w:hint="eastAsia" w:ascii="仿宋_GB2312" w:hAnsi="仿宋" w:eastAsia="仿宋_GB2312" w:cs="Times New Roman"/>
          <w:bCs/>
          <w:color w:val="000000"/>
          <w:kern w:val="0"/>
          <w:sz w:val="32"/>
          <w:szCs w:val="32"/>
        </w:rPr>
        <w:t>）: 指反映财政部门安排的</w:t>
      </w:r>
      <w:r>
        <w:rPr>
          <w:rFonts w:hint="eastAsia" w:ascii="仿宋_GB2312" w:hAnsi="仿宋" w:eastAsia="仿宋_GB2312" w:cs="Times New Roman"/>
          <w:bCs/>
          <w:color w:val="000000"/>
          <w:kern w:val="0"/>
          <w:sz w:val="32"/>
          <w:szCs w:val="32"/>
          <w:lang w:val="en-US" w:eastAsia="zh-CN"/>
        </w:rPr>
        <w:t>事业</w:t>
      </w:r>
      <w:r>
        <w:rPr>
          <w:rFonts w:hint="eastAsia" w:ascii="仿宋_GB2312" w:hAnsi="仿宋" w:eastAsia="仿宋_GB2312" w:cs="Times New Roman"/>
          <w:bCs/>
          <w:color w:val="000000"/>
          <w:kern w:val="0"/>
          <w:sz w:val="32"/>
          <w:szCs w:val="32"/>
        </w:rPr>
        <w:t>单位基本医疗保险缴费经费。</w:t>
      </w:r>
    </w:p>
    <w:p w14:paraId="16057F43">
      <w:pPr>
        <w:spacing w:line="570" w:lineRule="exact"/>
        <w:ind w:firstLine="640" w:firstLineChars="200"/>
        <w:rPr>
          <w:rFonts w:ascii="仿宋_GB2312" w:hAnsi="仿宋" w:eastAsia="仿宋_GB2312"/>
          <w:bCs/>
          <w:color w:val="000000"/>
          <w:kern w:val="0"/>
          <w:sz w:val="32"/>
          <w:szCs w:val="32"/>
        </w:rPr>
      </w:pPr>
      <w:r>
        <w:rPr>
          <w:rFonts w:hint="eastAsia" w:ascii="仿宋_GB2312" w:hAnsi="仿宋" w:eastAsia="仿宋_GB2312" w:cs="Times New Roman"/>
          <w:bCs/>
          <w:color w:val="000000"/>
          <w:kern w:val="0"/>
          <w:sz w:val="32"/>
          <w:szCs w:val="32"/>
          <w:lang w:val="en-US" w:eastAsia="zh-CN"/>
        </w:rPr>
        <w:t>12.</w:t>
      </w:r>
      <w:r>
        <w:rPr>
          <w:rFonts w:hint="eastAsia" w:ascii="仿宋_GB2312" w:hAnsi="仿宋" w:eastAsia="仿宋_GB2312" w:cs="Times New Roman"/>
          <w:bCs/>
          <w:color w:val="000000"/>
          <w:kern w:val="0"/>
          <w:sz w:val="32"/>
          <w:szCs w:val="32"/>
        </w:rPr>
        <w:t>住房保障（221）住房改革支出（02）住房公积金（01）: 指反映行政事业单位按人</w:t>
      </w:r>
      <w:r>
        <w:rPr>
          <w:rFonts w:hint="eastAsia" w:ascii="仿宋_GB2312" w:hAnsi="仿宋" w:eastAsia="仿宋_GB2312"/>
          <w:bCs/>
          <w:color w:val="000000"/>
          <w:kern w:val="0"/>
          <w:sz w:val="32"/>
          <w:szCs w:val="32"/>
        </w:rPr>
        <w:t>力资源和社会保障部、财政部规定的基本工资和津贴补贴以及规定比例为职工缴纳的住房公积金。</w:t>
      </w:r>
    </w:p>
    <w:p w14:paraId="35E2F2D8">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.基本支出：指为保障机构正常运转、完成日常工作任务而发生的人员支出和公用支出。</w:t>
      </w:r>
    </w:p>
    <w:p w14:paraId="562D8174">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 xml:space="preserve">.项目支出：指在基本支出之外为完成特定行政任务和事业发展目标所发生的支出。 </w:t>
      </w:r>
    </w:p>
    <w:p w14:paraId="12E519D2">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4120EEE">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50353E">
      <w:pPr>
        <w:ind w:firstLine="643" w:firstLineChars="200"/>
        <w:rPr>
          <w:rFonts w:ascii="仿宋" w:hAnsi="仿宋" w:eastAsia="仿宋"/>
          <w:b/>
          <w:sz w:val="32"/>
          <w:szCs w:val="32"/>
        </w:rPr>
      </w:pPr>
      <w:r>
        <w:rPr>
          <w:rFonts w:ascii="仿宋" w:hAnsi="仿宋" w:eastAsia="仿宋"/>
          <w:b/>
          <w:sz w:val="32"/>
          <w:szCs w:val="32"/>
        </w:rPr>
        <w:br w:type="page"/>
      </w:r>
    </w:p>
    <w:p w14:paraId="738D4F72">
      <w:pPr>
        <w:pStyle w:val="2"/>
        <w:jc w:val="center"/>
        <w:rPr>
          <w:rFonts w:ascii="黑体" w:hAnsi="黑体" w:eastAsia="黑体"/>
          <w:b w:val="0"/>
        </w:rPr>
      </w:pPr>
      <w:r>
        <w:rPr>
          <w:rFonts w:hint="eastAsia" w:ascii="黑体" w:hAnsi="黑体" w:eastAsia="黑体"/>
          <w:b w:val="0"/>
        </w:rPr>
        <w:t>第四部分 附件</w:t>
      </w:r>
    </w:p>
    <w:p w14:paraId="09722287">
      <w:pPr>
        <w:rPr>
          <w:rFonts w:hint="default" w:ascii="黑体" w:hAnsi="黑体" w:eastAsia="黑体" w:cs="Times New Roman"/>
          <w:b w:val="0"/>
          <w:bCs/>
          <w:kern w:val="44"/>
          <w:sz w:val="32"/>
          <w:szCs w:val="32"/>
          <w:lang w:val="en-US" w:eastAsia="zh-CN" w:bidi="ar-SA"/>
        </w:rPr>
      </w:pPr>
      <w:r>
        <w:rPr>
          <w:rFonts w:hint="eastAsia" w:ascii="黑体" w:hAnsi="黑体" w:eastAsia="黑体" w:cs="Times New Roman"/>
          <w:b w:val="0"/>
          <w:bCs/>
          <w:kern w:val="44"/>
          <w:sz w:val="32"/>
          <w:szCs w:val="32"/>
          <w:lang w:val="en-US" w:eastAsia="zh-CN" w:bidi="ar-SA"/>
        </w:rPr>
        <w:t>附件1</w:t>
      </w:r>
    </w:p>
    <w:p w14:paraId="09215AB8">
      <w:pPr>
        <w:keepNext w:val="0"/>
        <w:keepLines w:val="0"/>
        <w:pageBreakBefore w:val="0"/>
        <w:widowControl/>
        <w:kinsoku/>
        <w:wordWrap/>
        <w:overflowPunct/>
        <w:topLinePunct w:val="0"/>
        <w:autoSpaceDE/>
        <w:autoSpaceDN/>
        <w:bidi w:val="0"/>
        <w:adjustRightInd/>
        <w:snapToGrid/>
        <w:spacing w:line="660" w:lineRule="exact"/>
        <w:contextualSpacing/>
        <w:jc w:val="center"/>
        <w:textAlignment w:val="auto"/>
        <w:rPr>
          <w:rFonts w:hint="default" w:ascii="Times New Roman" w:hAnsi="Times New Roman" w:eastAsia="方正小标宋简体" w:cs="Times New Roman"/>
          <w:b w:val="0"/>
          <w:bCs/>
          <w:sz w:val="44"/>
          <w:szCs w:val="44"/>
          <w:shd w:val="clear" w:color="auto" w:fill="FFFFFF"/>
        </w:rPr>
      </w:pPr>
      <w:r>
        <w:rPr>
          <w:rFonts w:hint="default" w:ascii="Times New Roman" w:hAnsi="Times New Roman" w:eastAsia="方正小标宋简体" w:cs="Times New Roman"/>
          <w:b w:val="0"/>
          <w:bCs/>
          <w:sz w:val="44"/>
          <w:szCs w:val="44"/>
          <w:shd w:val="clear" w:color="auto" w:fill="FFFFFF"/>
        </w:rPr>
        <w:t>大竹县农民工服务中心</w:t>
      </w:r>
    </w:p>
    <w:p w14:paraId="017A0D35">
      <w:pPr>
        <w:keepNext w:val="0"/>
        <w:keepLines w:val="0"/>
        <w:pageBreakBefore w:val="0"/>
        <w:widowControl/>
        <w:kinsoku/>
        <w:wordWrap/>
        <w:overflowPunct/>
        <w:topLinePunct w:val="0"/>
        <w:autoSpaceDE/>
        <w:autoSpaceDN/>
        <w:bidi w:val="0"/>
        <w:adjustRightInd/>
        <w:snapToGrid/>
        <w:spacing w:line="660" w:lineRule="exact"/>
        <w:contextualSpacing/>
        <w:jc w:val="center"/>
        <w:textAlignment w:val="auto"/>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shd w:val="clear" w:color="auto" w:fill="FFFFFF"/>
        </w:rPr>
        <w:t>20</w:t>
      </w:r>
      <w:r>
        <w:rPr>
          <w:rFonts w:hint="default" w:ascii="Times New Roman" w:hAnsi="Times New Roman" w:eastAsia="方正小标宋简体" w:cs="Times New Roman"/>
          <w:b w:val="0"/>
          <w:bCs/>
          <w:sz w:val="44"/>
          <w:szCs w:val="44"/>
          <w:shd w:val="clear" w:color="auto" w:fill="FFFFFF"/>
          <w:lang w:val="en-US" w:eastAsia="zh-CN"/>
        </w:rPr>
        <w:t>2</w:t>
      </w:r>
      <w:r>
        <w:rPr>
          <w:rFonts w:hint="eastAsia" w:ascii="Times New Roman" w:hAnsi="Times New Roman" w:eastAsia="方正小标宋简体" w:cs="Times New Roman"/>
          <w:b w:val="0"/>
          <w:bCs/>
          <w:sz w:val="44"/>
          <w:szCs w:val="44"/>
          <w:shd w:val="clear" w:color="auto" w:fill="FFFFFF"/>
          <w:lang w:val="en-US" w:eastAsia="zh-CN"/>
        </w:rPr>
        <w:t>3</w:t>
      </w:r>
      <w:r>
        <w:rPr>
          <w:rFonts w:hint="default" w:ascii="Times New Roman" w:hAnsi="Times New Roman" w:eastAsia="方正小标宋简体" w:cs="Times New Roman"/>
          <w:b w:val="0"/>
          <w:bCs/>
          <w:sz w:val="44"/>
          <w:szCs w:val="44"/>
          <w:shd w:val="clear" w:color="auto" w:fill="FFFFFF"/>
        </w:rPr>
        <w:t>年部门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7BC24CA7">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1A771FB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49A0665F">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r>
        <w:rPr>
          <w:rFonts w:hint="default" w:ascii="Times New Roman" w:hAnsi="Times New Roman" w:eastAsia="仿宋_GB2312" w:cs="Times New Roman"/>
          <w:sz w:val="32"/>
        </w:rPr>
        <w:t>大竹县农民工服务中心是县政府直属公益一类事业单位，为正科级。</w:t>
      </w:r>
    </w:p>
    <w:p w14:paraId="240B034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rPr>
        <w:t>大竹县农民工服务中心是贯彻落实中央</w:t>
      </w:r>
      <w:r>
        <w:rPr>
          <w:rFonts w:hint="eastAsia" w:eastAsia="仿宋_GB2312" w:cs="Times New Roman"/>
          <w:sz w:val="32"/>
          <w:lang w:val="en-US" w:eastAsia="zh-CN"/>
        </w:rPr>
        <w:t>出台的关于</w:t>
      </w:r>
      <w:r>
        <w:rPr>
          <w:rFonts w:hint="default" w:ascii="Times New Roman" w:hAnsi="Times New Roman" w:eastAsia="仿宋_GB2312" w:cs="Times New Roman"/>
          <w:sz w:val="32"/>
        </w:rPr>
        <w:t>农民工服务工作的方针政策，落实省委</w:t>
      </w:r>
      <w:r>
        <w:rPr>
          <w:rFonts w:hint="eastAsia" w:eastAsia="仿宋_GB2312" w:cs="Times New Roman"/>
          <w:sz w:val="32"/>
          <w:lang w:eastAsia="zh-CN"/>
        </w:rPr>
        <w:t>、</w:t>
      </w:r>
      <w:r>
        <w:rPr>
          <w:rFonts w:hint="default" w:ascii="Times New Roman" w:hAnsi="Times New Roman" w:eastAsia="仿宋_GB2312" w:cs="Times New Roman"/>
          <w:sz w:val="32"/>
        </w:rPr>
        <w:t>省政府、市委</w:t>
      </w:r>
      <w:r>
        <w:rPr>
          <w:rFonts w:hint="eastAsia" w:eastAsia="仿宋_GB2312" w:cs="Times New Roman"/>
          <w:sz w:val="32"/>
          <w:lang w:eastAsia="zh-CN"/>
        </w:rPr>
        <w:t>、</w:t>
      </w:r>
      <w:r>
        <w:rPr>
          <w:rFonts w:hint="default" w:ascii="Times New Roman" w:hAnsi="Times New Roman" w:eastAsia="仿宋_GB2312" w:cs="Times New Roman"/>
          <w:sz w:val="32"/>
        </w:rPr>
        <w:t>市政府和县委</w:t>
      </w:r>
      <w:r>
        <w:rPr>
          <w:rFonts w:hint="eastAsia" w:eastAsia="仿宋_GB2312" w:cs="Times New Roman"/>
          <w:sz w:val="32"/>
          <w:lang w:eastAsia="zh-CN"/>
        </w:rPr>
        <w:t>、</w:t>
      </w:r>
      <w:r>
        <w:rPr>
          <w:rFonts w:hint="default" w:ascii="Times New Roman" w:hAnsi="Times New Roman" w:eastAsia="仿宋_GB2312" w:cs="Times New Roman"/>
          <w:sz w:val="32"/>
        </w:rPr>
        <w:t>县政府的决策部署。主要职责体现在为农民工就业、创业、培训、维权的指导、服务及农民工党团组织建设等方面。</w:t>
      </w:r>
    </w:p>
    <w:p w14:paraId="49C1918D">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年末，</w:t>
      </w:r>
      <w:r>
        <w:rPr>
          <w:rFonts w:hint="default" w:ascii="Times New Roman" w:hAnsi="Times New Roman" w:eastAsia="仿宋_GB2312" w:cs="Times New Roman"/>
          <w:sz w:val="32"/>
        </w:rPr>
        <w:t>我中心事业编制人数1</w:t>
      </w:r>
      <w:r>
        <w:rPr>
          <w:rFonts w:hint="eastAsia" w:ascii="Times New Roman" w:hAnsi="Times New Roman" w:eastAsia="仿宋_GB2312" w:cs="Times New Roman"/>
          <w:sz w:val="32"/>
          <w:lang w:val="en-US" w:eastAsia="zh-CN"/>
        </w:rPr>
        <w:t>7</w:t>
      </w:r>
      <w:r>
        <w:rPr>
          <w:rFonts w:hint="default" w:ascii="Times New Roman" w:hAnsi="Times New Roman" w:eastAsia="仿宋_GB2312" w:cs="Times New Roman"/>
          <w:sz w:val="32"/>
        </w:rPr>
        <w:t>人。202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年末在职职工人数1</w:t>
      </w:r>
      <w:r>
        <w:rPr>
          <w:rFonts w:hint="eastAsia" w:ascii="Times New Roman" w:hAnsi="Times New Roman" w:eastAsia="仿宋_GB2312" w:cs="Times New Roman"/>
          <w:sz w:val="32"/>
          <w:lang w:val="en-US" w:eastAsia="zh-CN"/>
        </w:rPr>
        <w:t>7</w:t>
      </w:r>
      <w:r>
        <w:rPr>
          <w:rFonts w:hint="default" w:ascii="Times New Roman" w:hAnsi="Times New Roman" w:eastAsia="仿宋_GB2312" w:cs="Times New Roman"/>
          <w:sz w:val="32"/>
        </w:rPr>
        <w:t>人。</w:t>
      </w:r>
    </w:p>
    <w:p w14:paraId="7D6CE74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4FBA61CE">
      <w:pPr>
        <w:keepNext w:val="0"/>
        <w:keepLines w:val="0"/>
        <w:pageBreakBefore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rPr>
        <w:t>大竹县农民工服务中心</w:t>
      </w:r>
      <w:r>
        <w:rPr>
          <w:rFonts w:hint="eastAsia" w:ascii="Times New Roman" w:hAnsi="Times New Roman" w:eastAsia="仿宋_GB2312" w:cs="Times New Roman"/>
          <w:sz w:val="32"/>
          <w:szCs w:val="32"/>
          <w:lang w:val="en-US" w:eastAsia="zh-CN"/>
        </w:rPr>
        <w:t>2023年年初预算收入共计300.49万元，决算报表收入</w:t>
      </w:r>
      <w:r>
        <w:rPr>
          <w:rFonts w:hint="default" w:ascii="Times New Roman" w:hAnsi="Times New Roman" w:eastAsia="仿宋_GB2312" w:cs="Times New Roman"/>
          <w:sz w:val="32"/>
        </w:rPr>
        <w:t>共计</w:t>
      </w:r>
      <w:r>
        <w:rPr>
          <w:rFonts w:hint="eastAsia" w:ascii="Times New Roman" w:hAnsi="Times New Roman" w:eastAsia="仿宋_GB2312" w:cs="Times New Roman"/>
          <w:sz w:val="32"/>
          <w:lang w:val="en-US" w:eastAsia="zh-CN"/>
        </w:rPr>
        <w:t>307.30</w:t>
      </w:r>
      <w:r>
        <w:rPr>
          <w:rFonts w:hint="default" w:ascii="Times New Roman" w:hAnsi="Times New Roman" w:eastAsia="仿宋_GB2312" w:cs="Times New Roman"/>
          <w:sz w:val="32"/>
        </w:rPr>
        <w:t>万元，为财政拨款收入</w:t>
      </w:r>
      <w:r>
        <w:rPr>
          <w:rFonts w:hint="eastAsia" w:ascii="Times New Roman" w:hAnsi="Times New Roman" w:eastAsia="仿宋_GB2312" w:cs="Times New Roman"/>
          <w:sz w:val="32"/>
          <w:lang w:val="en-US" w:eastAsia="zh-CN"/>
        </w:rPr>
        <w:t>307.30</w:t>
      </w:r>
      <w:r>
        <w:rPr>
          <w:rFonts w:hint="default" w:ascii="Times New Roman" w:hAnsi="Times New Roman" w:eastAsia="仿宋_GB2312" w:cs="Times New Roman"/>
          <w:sz w:val="32"/>
        </w:rPr>
        <w:t>万元。</w:t>
      </w:r>
      <w:r>
        <w:rPr>
          <w:rFonts w:hint="default" w:ascii="Times New Roman" w:hAnsi="Times New Roman" w:eastAsia="仿宋_GB2312" w:cs="Times New Roman"/>
          <w:bCs/>
          <w:color w:val="000000"/>
          <w:sz w:val="32"/>
        </w:rPr>
        <w:t>其中本年度一般公共预算财政拨款收入</w:t>
      </w:r>
      <w:r>
        <w:rPr>
          <w:rFonts w:hint="eastAsia" w:ascii="Times New Roman" w:hAnsi="Times New Roman" w:eastAsia="仿宋_GB2312" w:cs="Times New Roman"/>
          <w:sz w:val="32"/>
          <w:lang w:val="en-US" w:eastAsia="zh-CN"/>
        </w:rPr>
        <w:t>307.30</w:t>
      </w:r>
      <w:r>
        <w:rPr>
          <w:rFonts w:hint="default" w:ascii="Times New Roman" w:hAnsi="Times New Roman" w:eastAsia="仿宋_GB2312" w:cs="Times New Roman"/>
          <w:bCs/>
          <w:color w:val="000000"/>
          <w:sz w:val="32"/>
        </w:rPr>
        <w:t>万元。</w:t>
      </w:r>
    </w:p>
    <w:p w14:paraId="2642E2D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rPr>
        <w:t>大竹县农民工服务中心</w:t>
      </w:r>
      <w:r>
        <w:rPr>
          <w:rFonts w:hint="eastAsia" w:ascii="Times New Roman" w:hAnsi="Times New Roman" w:eastAsia="仿宋_GB2312" w:cs="Times New Roman"/>
          <w:sz w:val="32"/>
          <w:szCs w:val="32"/>
          <w:lang w:val="en-US" w:eastAsia="zh-CN"/>
        </w:rPr>
        <w:t>2023年年初预算支出300.49万元、决算报表支出</w:t>
      </w:r>
      <w:r>
        <w:rPr>
          <w:rFonts w:hint="eastAsia" w:ascii="Times New Roman" w:hAnsi="Times New Roman" w:eastAsia="仿宋_GB2312" w:cs="Times New Roman"/>
          <w:sz w:val="32"/>
          <w:lang w:val="en-US" w:eastAsia="zh-CN"/>
        </w:rPr>
        <w:t>307.30</w:t>
      </w:r>
      <w:r>
        <w:rPr>
          <w:rFonts w:hint="default" w:ascii="Times New Roman" w:hAnsi="Times New Roman" w:eastAsia="仿宋_GB2312" w:cs="Times New Roman"/>
          <w:sz w:val="32"/>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Cs/>
          <w:color w:val="000000"/>
          <w:sz w:val="32"/>
        </w:rPr>
        <w:t>其中一般公共预算财政拨款支出</w:t>
      </w:r>
      <w:r>
        <w:rPr>
          <w:rFonts w:hint="eastAsia" w:ascii="Times New Roman" w:hAnsi="Times New Roman" w:eastAsia="仿宋_GB2312" w:cs="Times New Roman"/>
          <w:sz w:val="32"/>
          <w:lang w:val="en-US" w:eastAsia="zh-CN"/>
        </w:rPr>
        <w:t>307.30</w:t>
      </w:r>
      <w:r>
        <w:rPr>
          <w:rFonts w:hint="default" w:ascii="Times New Roman" w:hAnsi="Times New Roman" w:eastAsia="仿宋_GB2312" w:cs="Times New Roman"/>
          <w:bCs/>
          <w:color w:val="000000"/>
          <w:sz w:val="32"/>
        </w:rPr>
        <w:t>元，</w:t>
      </w:r>
      <w:r>
        <w:rPr>
          <w:rFonts w:hint="default" w:ascii="Times New Roman" w:hAnsi="Times New Roman" w:eastAsia="仿宋" w:cs="Times New Roman"/>
          <w:color w:val="000000"/>
          <w:sz w:val="32"/>
        </w:rPr>
        <w:t>其中基本支出</w:t>
      </w:r>
      <w:r>
        <w:rPr>
          <w:rFonts w:hint="eastAsia" w:ascii="Times New Roman" w:hAnsi="Times New Roman" w:eastAsia="仿宋" w:cs="Times New Roman"/>
          <w:color w:val="000000"/>
          <w:sz w:val="32"/>
          <w:lang w:val="en-US" w:eastAsia="zh-CN"/>
        </w:rPr>
        <w:t>241.10</w:t>
      </w:r>
      <w:r>
        <w:rPr>
          <w:rFonts w:hint="default" w:ascii="Times New Roman" w:hAnsi="Times New Roman" w:eastAsia="仿宋" w:cs="Times New Roman"/>
          <w:color w:val="000000"/>
          <w:sz w:val="32"/>
        </w:rPr>
        <w:t>万元，项目支出</w:t>
      </w:r>
      <w:r>
        <w:rPr>
          <w:rFonts w:hint="eastAsia" w:ascii="Times New Roman" w:hAnsi="Times New Roman" w:eastAsia="仿宋" w:cs="Times New Roman"/>
          <w:color w:val="000000"/>
          <w:sz w:val="32"/>
          <w:lang w:val="en-US" w:eastAsia="zh-CN"/>
        </w:rPr>
        <w:t>66.2</w:t>
      </w:r>
      <w:r>
        <w:rPr>
          <w:rFonts w:hint="default" w:ascii="Times New Roman" w:hAnsi="Times New Roman" w:eastAsia="仿宋" w:cs="Times New Roman"/>
          <w:color w:val="000000"/>
          <w:sz w:val="32"/>
        </w:rPr>
        <w:t>万元</w:t>
      </w:r>
      <w:r>
        <w:rPr>
          <w:rFonts w:hint="default" w:ascii="Times New Roman" w:hAnsi="Times New Roman" w:eastAsia="仿宋_GB2312" w:cs="Times New Roman"/>
          <w:bCs/>
          <w:color w:val="000000"/>
          <w:sz w:val="32"/>
        </w:rPr>
        <w:t>。</w:t>
      </w:r>
    </w:p>
    <w:p w14:paraId="049F356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645EF7C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321" w:firstLineChars="100"/>
        <w:contextualSpacing/>
        <w:jc w:val="left"/>
        <w:textAlignment w:val="auto"/>
        <w:outlineLvl w:val="9"/>
        <w:rPr>
          <w:rFonts w:hint="eastAsia" w:ascii="Times New Roman" w:hAnsi="Times New Roman" w:eastAsia="仿宋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default" w:ascii="Times New Roman" w:hAnsi="Times New Roman" w:eastAsia="仿宋_GB2312" w:cs="Times New Roman"/>
          <w:color w:val="000000"/>
          <w:kern w:val="0"/>
          <w:sz w:val="32"/>
          <w:szCs w:val="32"/>
          <w:highlight w:val="none"/>
          <w:shd w:val="clear" w:color="auto" w:fill="FFFFFF"/>
          <w:lang w:val="zh-CN"/>
        </w:rPr>
        <w:t>根据部门预算绩效评价指标体系“总体绩效”涉及</w:t>
      </w:r>
      <w:r>
        <w:rPr>
          <w:rFonts w:hint="eastAsia" w:ascii="Times New Roman" w:hAnsi="Times New Roman" w:eastAsia="仿宋_GB2312" w:cs="Times New Roman"/>
          <w:color w:val="000000"/>
          <w:kern w:val="0"/>
          <w:sz w:val="32"/>
          <w:szCs w:val="32"/>
          <w:highlight w:val="none"/>
          <w:shd w:val="clear" w:color="auto" w:fill="FFFFFF"/>
          <w:lang w:val="zh-CN"/>
        </w:rPr>
        <w:t>二、三级</w:t>
      </w:r>
      <w:r>
        <w:rPr>
          <w:rFonts w:hint="default" w:ascii="Times New Roman" w:hAnsi="Times New Roman" w:eastAsia="仿宋_GB2312" w:cs="Times New Roman"/>
          <w:color w:val="000000"/>
          <w:kern w:val="0"/>
          <w:sz w:val="32"/>
          <w:szCs w:val="32"/>
          <w:highlight w:val="none"/>
          <w:shd w:val="clear" w:color="auto" w:fill="FFFFFF"/>
          <w:lang w:val="zh-CN"/>
        </w:rPr>
        <w:t>指标进行</w:t>
      </w:r>
      <w:r>
        <w:rPr>
          <w:rFonts w:hint="eastAsia" w:ascii="Times New Roman" w:hAnsi="Times New Roman" w:eastAsia="仿宋_GB2312" w:cs="Times New Roman"/>
          <w:color w:val="000000"/>
          <w:kern w:val="0"/>
          <w:sz w:val="32"/>
          <w:szCs w:val="32"/>
          <w:highlight w:val="none"/>
          <w:shd w:val="clear" w:color="auto" w:fill="FFFFFF"/>
          <w:lang w:val="zh-CN"/>
        </w:rPr>
        <w:t>逐项</w:t>
      </w:r>
      <w:r>
        <w:rPr>
          <w:rFonts w:hint="default" w:ascii="Times New Roman" w:hAnsi="Times New Roman" w:eastAsia="仿宋_GB2312" w:cs="Times New Roman"/>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经分析，指标分值65分。自查得分65分。</w:t>
      </w:r>
    </w:p>
    <w:p w14:paraId="730FC14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w:t>
      </w:r>
      <w:r>
        <w:rPr>
          <w:rFonts w:hint="eastAsia" w:ascii="Times New Roman" w:hAnsi="Times New Roman" w:eastAsia="仿宋_GB2312" w:cs="Times New Roman"/>
          <w:color w:val="000000"/>
          <w:kern w:val="0"/>
          <w:sz w:val="32"/>
          <w:szCs w:val="32"/>
          <w:highlight w:val="none"/>
          <w:shd w:val="clear" w:color="auto" w:fill="FFFFFF"/>
          <w:lang w:val="en-US" w:eastAsia="zh-CN"/>
        </w:rPr>
        <w:t>2023年度已完成</w:t>
      </w:r>
      <w:r>
        <w:rPr>
          <w:rFonts w:hint="eastAsia" w:ascii="Times New Roman" w:hAnsi="Times New Roman" w:eastAsia="仿宋_GB2312" w:cs="Times New Roman"/>
          <w:color w:val="000000"/>
          <w:kern w:val="0"/>
          <w:sz w:val="32"/>
          <w:szCs w:val="32"/>
          <w:highlight w:val="none"/>
          <w:shd w:val="clear" w:color="auto" w:fill="FFFFFF"/>
          <w:lang w:val="zh-CN"/>
        </w:rPr>
        <w:t>指导云南、重庆、广东、北京、成都、海南农民工工作站及流动党组织工作并保障其正常运转；</w:t>
      </w:r>
      <w:r>
        <w:rPr>
          <w:rFonts w:hint="eastAsia" w:ascii="Times New Roman" w:hAnsi="Times New Roman" w:eastAsia="仿宋_GB2312" w:cs="Times New Roman"/>
          <w:color w:val="000000"/>
          <w:kern w:val="0"/>
          <w:sz w:val="32"/>
          <w:szCs w:val="32"/>
          <w:highlight w:val="none"/>
          <w:shd w:val="clear" w:color="auto" w:fill="FFFFFF"/>
          <w:lang w:val="en-US" w:eastAsia="zh-CN"/>
        </w:rPr>
        <w:t>已完成</w:t>
      </w:r>
      <w:r>
        <w:rPr>
          <w:rFonts w:hint="eastAsia" w:ascii="Times New Roman" w:hAnsi="Times New Roman" w:eastAsia="仿宋_GB2312" w:cs="Times New Roman"/>
          <w:color w:val="000000"/>
          <w:kern w:val="0"/>
          <w:sz w:val="32"/>
          <w:szCs w:val="32"/>
          <w:highlight w:val="none"/>
          <w:shd w:val="clear" w:color="auto" w:fill="FFFFFF"/>
          <w:lang w:val="zh-CN"/>
        </w:rPr>
        <w:t>指导31个乡镇（街道）开展农民工服务平台信息录入任务3000条；</w:t>
      </w:r>
      <w:r>
        <w:rPr>
          <w:rFonts w:hint="eastAsia" w:ascii="Times New Roman" w:hAnsi="Times New Roman" w:eastAsia="仿宋_GB2312" w:cs="Times New Roman"/>
          <w:color w:val="000000"/>
          <w:kern w:val="0"/>
          <w:sz w:val="32"/>
          <w:szCs w:val="32"/>
          <w:highlight w:val="none"/>
          <w:shd w:val="clear" w:color="auto" w:fill="FFFFFF"/>
          <w:lang w:val="en-US" w:eastAsia="zh-CN"/>
        </w:rPr>
        <w:t>已完成</w:t>
      </w:r>
      <w:r>
        <w:rPr>
          <w:rFonts w:hint="eastAsia" w:ascii="Times New Roman" w:hAnsi="Times New Roman" w:eastAsia="仿宋_GB2312" w:cs="Times New Roman"/>
          <w:color w:val="000000"/>
          <w:kern w:val="0"/>
          <w:sz w:val="32"/>
          <w:szCs w:val="32"/>
          <w:highlight w:val="none"/>
          <w:shd w:val="clear" w:color="auto" w:fill="FFFFFF"/>
          <w:lang w:val="zh-CN"/>
        </w:rPr>
        <w:t>对</w:t>
      </w:r>
      <w:r>
        <w:rPr>
          <w:rFonts w:hint="eastAsia" w:ascii="Times New Roman" w:hAnsi="Times New Roman" w:eastAsia="仿宋_GB2312" w:cs="Times New Roman"/>
          <w:color w:val="000000"/>
          <w:kern w:val="0"/>
          <w:sz w:val="32"/>
          <w:szCs w:val="32"/>
          <w:highlight w:val="none"/>
          <w:shd w:val="clear" w:color="auto" w:fill="FFFFFF"/>
          <w:lang w:val="en-US" w:eastAsia="zh-CN"/>
        </w:rPr>
        <w:t>大竹籍</w:t>
      </w:r>
      <w:r>
        <w:rPr>
          <w:rFonts w:hint="eastAsia" w:ascii="Times New Roman" w:hAnsi="Times New Roman" w:eastAsia="仿宋_GB2312" w:cs="Times New Roman"/>
          <w:color w:val="000000"/>
          <w:kern w:val="0"/>
          <w:sz w:val="32"/>
          <w:szCs w:val="32"/>
          <w:highlight w:val="none"/>
          <w:shd w:val="clear" w:color="auto" w:fill="FFFFFF"/>
          <w:lang w:val="zh-CN"/>
        </w:rPr>
        <w:t>农民工进行技能培训和返乡创业培训</w:t>
      </w:r>
      <w:r>
        <w:rPr>
          <w:rFonts w:hint="eastAsia" w:ascii="Times New Roman" w:hAnsi="Times New Roman" w:eastAsia="仿宋_GB2312" w:cs="Times New Roman"/>
          <w:color w:val="000000"/>
          <w:kern w:val="0"/>
          <w:sz w:val="32"/>
          <w:szCs w:val="32"/>
          <w:highlight w:val="none"/>
          <w:shd w:val="clear" w:color="auto" w:fill="FFFFFF"/>
          <w:lang w:val="en-US" w:eastAsia="zh-CN"/>
        </w:rPr>
        <w:t>3000人</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指标分值15分。</w:t>
      </w:r>
    </w:p>
    <w:p w14:paraId="19E15AB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自查得分15分。</w:t>
      </w:r>
    </w:p>
    <w:p w14:paraId="19E5D54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default" w:ascii="楷体_GB2312" w:hAnsi="楷体_GB2312" w:eastAsia="楷体_GB2312" w:cs="楷体_GB2312"/>
          <w:color w:val="000000"/>
          <w:kern w:val="0"/>
          <w:sz w:val="32"/>
          <w:szCs w:val="32"/>
          <w:highlight w:val="none"/>
          <w:shd w:val="clear" w:color="auto" w:fill="FFFFFF"/>
          <w:lang w:val="zh-CN"/>
        </w:rPr>
        <w:t>预算管理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我</w:t>
      </w:r>
      <w:r>
        <w:rPr>
          <w:rFonts w:hint="eastAsia" w:ascii="Times New Roman" w:hAnsi="Times New Roman" w:eastAsia="仿宋_GB2312" w:cs="Times New Roman"/>
          <w:color w:val="000000"/>
          <w:kern w:val="0"/>
          <w:sz w:val="32"/>
          <w:szCs w:val="32"/>
          <w:highlight w:val="none"/>
          <w:shd w:val="clear" w:color="auto" w:fill="FFFFFF"/>
          <w:lang w:val="en-US" w:eastAsia="zh-CN"/>
        </w:rPr>
        <w:t>中心</w:t>
      </w:r>
      <w:r>
        <w:rPr>
          <w:rFonts w:hint="eastAsia" w:ascii="Times New Roman" w:hAnsi="Times New Roman" w:eastAsia="仿宋_GB2312" w:cs="Times New Roman"/>
          <w:color w:val="000000"/>
          <w:kern w:val="0"/>
          <w:sz w:val="32"/>
          <w:szCs w:val="32"/>
          <w:highlight w:val="none"/>
          <w:shd w:val="clear" w:color="auto" w:fill="FFFFFF"/>
          <w:lang w:val="zh-CN"/>
        </w:rPr>
        <w:t>严格按要求编制年初部门预算，年初预算</w:t>
      </w:r>
      <w:r>
        <w:rPr>
          <w:rFonts w:hint="eastAsia" w:ascii="Times New Roman" w:hAnsi="Times New Roman" w:eastAsia="仿宋_GB2312" w:cs="Times New Roman"/>
          <w:color w:val="000000"/>
          <w:kern w:val="0"/>
          <w:sz w:val="32"/>
          <w:szCs w:val="32"/>
          <w:highlight w:val="none"/>
          <w:shd w:val="clear" w:color="auto" w:fill="FFFFFF"/>
          <w:lang w:val="en-US" w:eastAsia="zh-CN"/>
        </w:rPr>
        <w:t>具有</w:t>
      </w:r>
      <w:r>
        <w:rPr>
          <w:rFonts w:hint="eastAsia" w:ascii="Times New Roman" w:hAnsi="Times New Roman" w:eastAsia="仿宋_GB2312" w:cs="Times New Roman"/>
          <w:color w:val="000000"/>
          <w:kern w:val="0"/>
          <w:sz w:val="32"/>
          <w:szCs w:val="32"/>
          <w:highlight w:val="none"/>
          <w:shd w:val="clear" w:color="auto" w:fill="FFFFFF"/>
          <w:lang w:val="zh-CN"/>
        </w:rPr>
        <w:t>科学性和准确性，</w:t>
      </w:r>
      <w:r>
        <w:rPr>
          <w:rFonts w:hint="eastAsia" w:ascii="Times New Roman" w:hAnsi="Times New Roman" w:eastAsia="仿宋_GB2312" w:cs="Times New Roman"/>
          <w:color w:val="000000"/>
          <w:kern w:val="0"/>
          <w:sz w:val="32"/>
          <w:szCs w:val="32"/>
          <w:highlight w:val="none"/>
          <w:shd w:val="clear" w:color="auto" w:fill="FFFFFF"/>
          <w:lang w:val="en-US" w:eastAsia="zh-CN"/>
        </w:rPr>
        <w:t>单位本年度无</w:t>
      </w:r>
      <w:r>
        <w:rPr>
          <w:rFonts w:hint="eastAsia" w:ascii="Times New Roman" w:hAnsi="Times New Roman" w:eastAsia="仿宋_GB2312" w:cs="Times New Roman"/>
          <w:color w:val="000000"/>
          <w:kern w:val="0"/>
          <w:sz w:val="32"/>
          <w:szCs w:val="32"/>
          <w:highlight w:val="none"/>
          <w:shd w:val="clear" w:color="auto" w:fill="FFFFFF"/>
          <w:lang w:val="zh-CN"/>
        </w:rPr>
        <w:t>自有收入，1至6月、1至10月预算执行情况</w:t>
      </w:r>
      <w:r>
        <w:rPr>
          <w:rFonts w:hint="eastAsia" w:ascii="Times New Roman" w:hAnsi="Times New Roman" w:eastAsia="仿宋_GB2312" w:cs="Times New Roman"/>
          <w:color w:val="000000"/>
          <w:kern w:val="0"/>
          <w:sz w:val="32"/>
          <w:szCs w:val="32"/>
          <w:highlight w:val="none"/>
          <w:shd w:val="clear" w:color="auto" w:fill="FFFFFF"/>
          <w:lang w:val="en-US" w:eastAsia="zh-CN"/>
        </w:rPr>
        <w:t>严格按照要求执行</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年末无</w:t>
      </w:r>
      <w:r>
        <w:rPr>
          <w:rFonts w:hint="eastAsia" w:ascii="Times New Roman" w:hAnsi="Times New Roman" w:eastAsia="仿宋_GB2312" w:cs="Times New Roman"/>
          <w:color w:val="000000"/>
          <w:kern w:val="0"/>
          <w:sz w:val="32"/>
          <w:szCs w:val="32"/>
          <w:highlight w:val="none"/>
          <w:shd w:val="clear" w:color="auto" w:fill="FFFFFF"/>
          <w:lang w:val="zh-CN"/>
        </w:rPr>
        <w:t>年终预算结余，</w:t>
      </w:r>
      <w:r>
        <w:rPr>
          <w:rFonts w:hint="eastAsia" w:ascii="Times New Roman" w:hAnsi="Times New Roman" w:eastAsia="仿宋_GB2312" w:cs="Times New Roman"/>
          <w:color w:val="000000"/>
          <w:kern w:val="0"/>
          <w:sz w:val="32"/>
          <w:szCs w:val="32"/>
          <w:highlight w:val="none"/>
          <w:shd w:val="clear" w:color="auto" w:fill="FFFFFF"/>
          <w:lang w:val="en-US" w:eastAsia="zh-CN"/>
        </w:rPr>
        <w:t>已按照要求</w:t>
      </w:r>
      <w:r>
        <w:rPr>
          <w:rFonts w:hint="eastAsia" w:ascii="Times New Roman" w:hAnsi="Times New Roman" w:eastAsia="仿宋_GB2312" w:cs="Times New Roman"/>
          <w:color w:val="000000"/>
          <w:kern w:val="0"/>
          <w:sz w:val="32"/>
          <w:szCs w:val="32"/>
          <w:highlight w:val="none"/>
          <w:shd w:val="clear" w:color="auto" w:fill="FFFFFF"/>
          <w:lang w:val="zh-CN"/>
        </w:rPr>
        <w:t>严控“三公”经费、会议、差旅、办公设备购置、信息网络及软件购置更新等一般性支出。</w:t>
      </w:r>
      <w:r>
        <w:rPr>
          <w:rFonts w:hint="eastAsia" w:ascii="Times New Roman" w:hAnsi="Times New Roman" w:eastAsia="仿宋_GB2312" w:cs="Times New Roman"/>
          <w:color w:val="000000"/>
          <w:kern w:val="0"/>
          <w:sz w:val="32"/>
          <w:szCs w:val="32"/>
          <w:highlight w:val="none"/>
          <w:shd w:val="clear" w:color="auto" w:fill="FFFFFF"/>
          <w:lang w:val="en-US" w:eastAsia="zh-CN"/>
        </w:rPr>
        <w:t>指标分值25分。</w:t>
      </w:r>
    </w:p>
    <w:p w14:paraId="1A4C2B2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自查得分25分。</w:t>
      </w:r>
    </w:p>
    <w:p w14:paraId="0A3A10E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3.</w:t>
      </w:r>
      <w:r>
        <w:rPr>
          <w:rFonts w:hint="default" w:ascii="楷体_GB2312" w:hAnsi="楷体_GB2312" w:eastAsia="楷体_GB2312" w:cs="楷体_GB2312"/>
          <w:color w:val="000000"/>
          <w:kern w:val="0"/>
          <w:sz w:val="32"/>
          <w:szCs w:val="32"/>
          <w:highlight w:val="none"/>
          <w:shd w:val="clear" w:color="auto" w:fill="FFFFFF"/>
          <w:lang w:val="zh-CN"/>
        </w:rPr>
        <w:t>财务管理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本单位已于2020年建立并完善单位内控制度，建立了完善科学的财务管理制度，严格按照</w:t>
      </w:r>
      <w:r>
        <w:rPr>
          <w:rFonts w:hint="eastAsia" w:ascii="Times New Roman" w:hAnsi="Times New Roman" w:eastAsia="仿宋_GB2312" w:cs="Times New Roman"/>
          <w:color w:val="000000"/>
          <w:kern w:val="0"/>
          <w:sz w:val="32"/>
          <w:szCs w:val="32"/>
          <w:highlight w:val="none"/>
          <w:shd w:val="clear" w:color="auto" w:fill="FFFFFF"/>
          <w:lang w:val="zh-CN"/>
        </w:rPr>
        <w:t>财务管理制度要求</w:t>
      </w:r>
      <w:r>
        <w:rPr>
          <w:rFonts w:hint="eastAsia" w:ascii="Times New Roman" w:hAnsi="Times New Roman" w:eastAsia="仿宋_GB2312" w:cs="Times New Roman"/>
          <w:color w:val="000000"/>
          <w:kern w:val="0"/>
          <w:sz w:val="32"/>
          <w:szCs w:val="32"/>
          <w:highlight w:val="none"/>
          <w:shd w:val="clear" w:color="auto" w:fill="FFFFFF"/>
          <w:lang w:val="en-US" w:eastAsia="zh-CN"/>
        </w:rPr>
        <w:t>设置</w:t>
      </w:r>
      <w:r>
        <w:rPr>
          <w:rFonts w:hint="eastAsia" w:ascii="Times New Roman" w:hAnsi="Times New Roman" w:eastAsia="仿宋_GB2312" w:cs="Times New Roman"/>
          <w:color w:val="000000"/>
          <w:kern w:val="0"/>
          <w:sz w:val="32"/>
          <w:szCs w:val="32"/>
          <w:highlight w:val="none"/>
          <w:shd w:val="clear" w:color="auto" w:fill="FFFFFF"/>
          <w:lang w:val="zh-CN"/>
        </w:rPr>
        <w:t>部门财务岗位，</w:t>
      </w:r>
      <w:r>
        <w:rPr>
          <w:rFonts w:hint="eastAsia" w:ascii="Times New Roman" w:hAnsi="Times New Roman" w:eastAsia="仿宋_GB2312" w:cs="Times New Roman"/>
          <w:color w:val="000000"/>
          <w:kern w:val="0"/>
          <w:sz w:val="32"/>
          <w:szCs w:val="32"/>
          <w:highlight w:val="none"/>
          <w:shd w:val="clear" w:color="auto" w:fill="FFFFFF"/>
          <w:lang w:val="en-US" w:eastAsia="zh-CN"/>
        </w:rPr>
        <w:t>按照</w:t>
      </w:r>
      <w:r>
        <w:rPr>
          <w:rFonts w:hint="eastAsia" w:ascii="Times New Roman" w:hAnsi="Times New Roman" w:eastAsia="仿宋_GB2312" w:cs="Times New Roman"/>
          <w:color w:val="000000"/>
          <w:kern w:val="0"/>
          <w:sz w:val="32"/>
          <w:szCs w:val="32"/>
          <w:highlight w:val="none"/>
          <w:shd w:val="clear" w:color="auto" w:fill="FFFFFF"/>
          <w:lang w:val="zh-CN"/>
        </w:rPr>
        <w:t>财务管理制度规定</w:t>
      </w:r>
      <w:r>
        <w:rPr>
          <w:rFonts w:hint="eastAsia" w:ascii="Times New Roman" w:hAnsi="Times New Roman" w:eastAsia="仿宋_GB2312" w:cs="Times New Roman"/>
          <w:color w:val="000000"/>
          <w:kern w:val="0"/>
          <w:sz w:val="32"/>
          <w:szCs w:val="32"/>
          <w:highlight w:val="none"/>
          <w:shd w:val="clear" w:color="auto" w:fill="FFFFFF"/>
          <w:lang w:val="en-US" w:eastAsia="zh-CN"/>
        </w:rPr>
        <w:t>规范使用</w:t>
      </w:r>
      <w:r>
        <w:rPr>
          <w:rFonts w:hint="eastAsia" w:ascii="Times New Roman" w:hAnsi="Times New Roman" w:eastAsia="仿宋_GB2312" w:cs="Times New Roman"/>
          <w:color w:val="000000"/>
          <w:kern w:val="0"/>
          <w:sz w:val="32"/>
          <w:szCs w:val="32"/>
          <w:highlight w:val="none"/>
          <w:shd w:val="clear" w:color="auto" w:fill="FFFFFF"/>
          <w:lang w:val="zh-CN"/>
        </w:rPr>
        <w:t>部门资金，</w:t>
      </w:r>
      <w:r>
        <w:rPr>
          <w:rFonts w:hint="eastAsia" w:ascii="Times New Roman" w:hAnsi="Times New Roman" w:eastAsia="仿宋_GB2312" w:cs="Times New Roman"/>
          <w:color w:val="000000"/>
          <w:kern w:val="0"/>
          <w:sz w:val="32"/>
          <w:szCs w:val="32"/>
          <w:highlight w:val="none"/>
          <w:shd w:val="clear" w:color="auto" w:fill="FFFFFF"/>
          <w:lang w:val="en-US" w:eastAsia="zh-CN"/>
        </w:rPr>
        <w:t>做到科学合理注重节约，合规合法。指标分值10分。</w:t>
      </w:r>
    </w:p>
    <w:p w14:paraId="1791CAA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b/>
          <w:bCs/>
          <w:color w:val="000000"/>
          <w:kern w:val="0"/>
          <w:sz w:val="32"/>
          <w:szCs w:val="32"/>
          <w:highlight w:val="none"/>
          <w:shd w:val="clear" w:color="auto" w:fill="FFFFFF"/>
          <w:lang w:val="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自查得分10分。</w:t>
      </w:r>
    </w:p>
    <w:p w14:paraId="36B5012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4.</w:t>
      </w:r>
      <w:r>
        <w:rPr>
          <w:rFonts w:hint="default" w:ascii="楷体_GB2312" w:hAnsi="楷体_GB2312" w:eastAsia="楷体_GB2312" w:cs="楷体_GB2312"/>
          <w:color w:val="000000"/>
          <w:kern w:val="0"/>
          <w:sz w:val="32"/>
          <w:szCs w:val="32"/>
          <w:highlight w:val="none"/>
          <w:shd w:val="clear" w:color="auto" w:fill="FFFFFF"/>
          <w:lang w:val="zh-CN"/>
        </w:rPr>
        <w:t>资产管理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本单位</w:t>
      </w:r>
      <w:r>
        <w:rPr>
          <w:rFonts w:hint="eastAsia" w:ascii="Times New Roman" w:hAnsi="Times New Roman" w:eastAsia="仿宋_GB2312" w:cs="Times New Roman"/>
          <w:color w:val="000000"/>
          <w:kern w:val="0"/>
          <w:sz w:val="32"/>
          <w:szCs w:val="32"/>
          <w:highlight w:val="none"/>
          <w:shd w:val="clear" w:color="auto" w:fill="FFFFFF"/>
          <w:lang w:val="zh-CN"/>
        </w:rPr>
        <w:t>人均资产</w:t>
      </w:r>
      <w:r>
        <w:rPr>
          <w:rFonts w:hint="eastAsia" w:ascii="Times New Roman" w:hAnsi="Times New Roman" w:eastAsia="仿宋_GB2312" w:cs="Times New Roman"/>
          <w:color w:val="000000"/>
          <w:kern w:val="0"/>
          <w:sz w:val="32"/>
          <w:szCs w:val="32"/>
          <w:highlight w:val="none"/>
          <w:shd w:val="clear" w:color="auto" w:fill="FFFFFF"/>
          <w:lang w:val="en-US" w:eastAsia="zh-CN"/>
        </w:rPr>
        <w:t>严格按照资产管理要求进行配置，单位2019年建立以来，单位资产未达到</w:t>
      </w:r>
      <w:r>
        <w:rPr>
          <w:rFonts w:hint="eastAsia" w:ascii="Times New Roman" w:hAnsi="Times New Roman" w:eastAsia="仿宋_GB2312" w:cs="Times New Roman"/>
          <w:color w:val="000000"/>
          <w:kern w:val="0"/>
          <w:sz w:val="32"/>
          <w:szCs w:val="32"/>
          <w:highlight w:val="none"/>
          <w:shd w:val="clear" w:color="auto" w:fill="FFFFFF"/>
          <w:lang w:val="zh-CN"/>
        </w:rPr>
        <w:t>最低使用年限，</w:t>
      </w:r>
      <w:r>
        <w:rPr>
          <w:rFonts w:hint="eastAsia" w:ascii="Times New Roman" w:hAnsi="Times New Roman" w:eastAsia="仿宋_GB2312" w:cs="Times New Roman"/>
          <w:color w:val="000000"/>
          <w:kern w:val="0"/>
          <w:sz w:val="32"/>
          <w:szCs w:val="32"/>
          <w:highlight w:val="none"/>
          <w:shd w:val="clear" w:color="auto" w:fill="FFFFFF"/>
          <w:lang w:val="en-US" w:eastAsia="zh-CN"/>
        </w:rPr>
        <w:t>无</w:t>
      </w:r>
      <w:r>
        <w:rPr>
          <w:rFonts w:hint="eastAsia" w:ascii="Times New Roman" w:hAnsi="Times New Roman" w:eastAsia="仿宋_GB2312" w:cs="Times New Roman"/>
          <w:color w:val="000000"/>
          <w:kern w:val="0"/>
          <w:sz w:val="32"/>
          <w:szCs w:val="32"/>
          <w:highlight w:val="none"/>
          <w:shd w:val="clear" w:color="auto" w:fill="FFFFFF"/>
          <w:lang w:val="zh-CN"/>
        </w:rPr>
        <w:t>闲置资产，</w:t>
      </w:r>
      <w:r>
        <w:rPr>
          <w:rFonts w:hint="eastAsia" w:ascii="Times New Roman" w:hAnsi="Times New Roman" w:eastAsia="仿宋_GB2312" w:cs="Times New Roman"/>
          <w:color w:val="000000"/>
          <w:kern w:val="0"/>
          <w:sz w:val="32"/>
          <w:szCs w:val="32"/>
          <w:highlight w:val="none"/>
          <w:shd w:val="clear" w:color="auto" w:fill="FFFFFF"/>
          <w:lang w:val="en-US" w:eastAsia="zh-CN"/>
        </w:rPr>
        <w:t>固定资产不存在报废情况，均能正常使用，每年进行资产</w:t>
      </w:r>
      <w:r>
        <w:rPr>
          <w:rFonts w:hint="eastAsia" w:ascii="Times New Roman" w:hAnsi="Times New Roman" w:eastAsia="仿宋_GB2312" w:cs="Times New Roman"/>
          <w:color w:val="000000"/>
          <w:kern w:val="0"/>
          <w:sz w:val="32"/>
          <w:szCs w:val="32"/>
          <w:highlight w:val="none"/>
          <w:shd w:val="clear" w:color="auto" w:fill="FFFFFF"/>
          <w:lang w:val="zh-CN"/>
        </w:rPr>
        <w:t>盘活。</w:t>
      </w:r>
      <w:r>
        <w:rPr>
          <w:rFonts w:hint="eastAsia" w:ascii="Times New Roman" w:hAnsi="Times New Roman" w:eastAsia="仿宋_GB2312" w:cs="Times New Roman"/>
          <w:color w:val="000000"/>
          <w:kern w:val="0"/>
          <w:sz w:val="32"/>
          <w:szCs w:val="32"/>
          <w:highlight w:val="none"/>
          <w:shd w:val="clear" w:color="auto" w:fill="FFFFFF"/>
          <w:lang w:val="en-US" w:eastAsia="zh-CN"/>
        </w:rPr>
        <w:t>指标分值9分。</w:t>
      </w:r>
    </w:p>
    <w:p w14:paraId="305908A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自查得分9分。</w:t>
      </w:r>
    </w:p>
    <w:p w14:paraId="54466FF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5.</w:t>
      </w:r>
      <w:r>
        <w:rPr>
          <w:rFonts w:hint="default" w:ascii="楷体_GB2312" w:hAnsi="楷体_GB2312" w:eastAsia="楷体_GB2312" w:cs="楷体_GB2312"/>
          <w:color w:val="000000"/>
          <w:kern w:val="0"/>
          <w:sz w:val="32"/>
          <w:szCs w:val="32"/>
          <w:highlight w:val="none"/>
          <w:shd w:val="clear" w:color="auto" w:fill="FFFFFF"/>
          <w:lang w:val="zh-CN"/>
        </w:rPr>
        <w:t>采购管理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本单位</w:t>
      </w:r>
      <w:r>
        <w:rPr>
          <w:rFonts w:hint="eastAsia" w:ascii="Times New Roman" w:hAnsi="Times New Roman" w:eastAsia="仿宋_GB2312" w:cs="Times New Roman"/>
          <w:color w:val="000000"/>
          <w:kern w:val="0"/>
          <w:sz w:val="32"/>
          <w:szCs w:val="32"/>
          <w:highlight w:val="none"/>
          <w:shd w:val="clear" w:color="auto" w:fill="FFFFFF"/>
          <w:lang w:val="zh-CN"/>
        </w:rPr>
        <w:t>严格执行政府采购促进中小企业发展相关管理办法，</w:t>
      </w:r>
      <w:r>
        <w:rPr>
          <w:rFonts w:hint="eastAsia" w:ascii="Times New Roman" w:hAnsi="Times New Roman" w:eastAsia="仿宋_GB2312" w:cs="Times New Roman"/>
          <w:color w:val="000000"/>
          <w:kern w:val="0"/>
          <w:sz w:val="32"/>
          <w:szCs w:val="32"/>
          <w:highlight w:val="none"/>
          <w:shd w:val="clear" w:color="auto" w:fill="FFFFFF"/>
          <w:lang w:val="en-US" w:eastAsia="zh-CN"/>
        </w:rPr>
        <w:t>每年的劳务品牌和返乡创业培训均按照公开招投标方式进行政府采购，程序合规。经过政府采购并验收合格的项目</w:t>
      </w:r>
      <w:r>
        <w:rPr>
          <w:rFonts w:hint="eastAsia" w:ascii="Times New Roman" w:hAnsi="Times New Roman" w:eastAsia="仿宋_GB2312" w:cs="Times New Roman"/>
          <w:color w:val="000000"/>
          <w:kern w:val="0"/>
          <w:sz w:val="32"/>
          <w:szCs w:val="32"/>
          <w:highlight w:val="none"/>
          <w:shd w:val="clear" w:color="auto" w:fill="FFFFFF"/>
          <w:lang w:val="zh-CN"/>
        </w:rPr>
        <w:t>资金支付</w:t>
      </w:r>
      <w:r>
        <w:rPr>
          <w:rFonts w:hint="eastAsia" w:ascii="Times New Roman" w:hAnsi="Times New Roman" w:eastAsia="仿宋_GB2312" w:cs="Times New Roman"/>
          <w:color w:val="000000"/>
          <w:kern w:val="0"/>
          <w:sz w:val="32"/>
          <w:szCs w:val="32"/>
          <w:highlight w:val="none"/>
          <w:shd w:val="clear" w:color="auto" w:fill="FFFFFF"/>
          <w:lang w:val="en-US" w:eastAsia="zh-CN"/>
        </w:rPr>
        <w:t>均全额支付，支付比例100%。指标分值6分。</w:t>
      </w:r>
    </w:p>
    <w:p w14:paraId="190CCA4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楷体_GB2312" w:hAnsi="楷体_GB2312" w:eastAsia="仿宋_GB2312" w:cs="楷体_GB2312"/>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自查得分6分。</w:t>
      </w:r>
    </w:p>
    <w:p w14:paraId="27211D4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321" w:firstLineChars="100"/>
        <w:contextualSpacing/>
        <w:jc w:val="left"/>
        <w:textAlignment w:val="auto"/>
        <w:outlineLvl w:val="9"/>
        <w:rPr>
          <w:rFonts w:hint="eastAsia" w:ascii="Times New Roman" w:hAnsi="Times New Roman" w:eastAsia="仿宋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仿宋_GB2312" w:cs="Times New Roman"/>
          <w:color w:val="000000"/>
          <w:kern w:val="0"/>
          <w:sz w:val="32"/>
          <w:szCs w:val="32"/>
          <w:highlight w:val="none"/>
          <w:shd w:val="clear" w:color="auto" w:fill="FFFFFF"/>
          <w:lang w:val="zh-CN" w:eastAsia="zh-CN"/>
        </w:rPr>
        <w:t>填报以下数据，</w:t>
      </w:r>
      <w:r>
        <w:rPr>
          <w:rFonts w:hint="eastAsia" w:ascii="Times New Roman" w:hAnsi="Times New Roman" w:eastAsia="仿宋_GB2312" w:cs="Times New Roman"/>
          <w:color w:val="000000"/>
          <w:kern w:val="0"/>
          <w:sz w:val="32"/>
          <w:szCs w:val="32"/>
          <w:highlight w:val="none"/>
          <w:shd w:val="clear" w:color="auto" w:fill="FFFFFF"/>
          <w:lang w:val="zh-CN"/>
        </w:rPr>
        <w:t>并</w:t>
      </w:r>
      <w:r>
        <w:rPr>
          <w:rFonts w:hint="default" w:ascii="Times New Roman" w:hAnsi="Times New Roman" w:eastAsia="仿宋_GB2312" w:cs="Times New Roman"/>
          <w:color w:val="000000"/>
          <w:kern w:val="0"/>
          <w:sz w:val="32"/>
          <w:szCs w:val="32"/>
          <w:highlight w:val="none"/>
          <w:shd w:val="clear" w:color="auto" w:fill="FFFFFF"/>
          <w:lang w:val="zh-CN"/>
        </w:rPr>
        <w:t>根据部门预算绩效评价指标体系“项目绩效”涉及</w:t>
      </w:r>
      <w:r>
        <w:rPr>
          <w:rFonts w:hint="eastAsia" w:ascii="Times New Roman" w:hAnsi="Times New Roman" w:eastAsia="仿宋_GB2312" w:cs="Times New Roman"/>
          <w:color w:val="000000"/>
          <w:kern w:val="0"/>
          <w:sz w:val="32"/>
          <w:szCs w:val="32"/>
          <w:highlight w:val="none"/>
          <w:shd w:val="clear" w:color="auto" w:fill="FFFFFF"/>
          <w:lang w:val="zh-CN"/>
        </w:rPr>
        <w:t>二、三级</w:t>
      </w:r>
      <w:r>
        <w:rPr>
          <w:rFonts w:hint="default" w:ascii="Times New Roman" w:hAnsi="Times New Roman" w:eastAsia="仿宋_GB2312" w:cs="Times New Roman"/>
          <w:color w:val="000000"/>
          <w:kern w:val="0"/>
          <w:sz w:val="32"/>
          <w:szCs w:val="32"/>
          <w:highlight w:val="none"/>
          <w:shd w:val="clear" w:color="auto" w:fill="FFFFFF"/>
          <w:lang w:val="zh-CN"/>
        </w:rPr>
        <w:t>指标进行</w:t>
      </w:r>
      <w:r>
        <w:rPr>
          <w:rFonts w:hint="eastAsia" w:ascii="Times New Roman" w:hAnsi="Times New Roman" w:eastAsia="仿宋_GB2312" w:cs="Times New Roman"/>
          <w:color w:val="000000"/>
          <w:kern w:val="0"/>
          <w:sz w:val="32"/>
          <w:szCs w:val="32"/>
          <w:highlight w:val="none"/>
          <w:shd w:val="clear" w:color="auto" w:fill="FFFFFF"/>
          <w:lang w:val="zh-CN"/>
        </w:rPr>
        <w:t>逐项</w:t>
      </w:r>
      <w:r>
        <w:rPr>
          <w:rFonts w:hint="default" w:ascii="Times New Roman" w:hAnsi="Times New Roman" w:eastAsia="仿宋_GB2312" w:cs="Times New Roman"/>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highlight w:val="none"/>
          <w:shd w:val="clear" w:color="auto" w:fill="FFFFFF"/>
          <w:lang w:val="zh-CN"/>
        </w:rPr>
        <w:t>并评分</w:t>
      </w:r>
      <w:r>
        <w:rPr>
          <w:rFonts w:hint="default"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经分析，指标分值35分。自查得分35分。</w:t>
      </w:r>
    </w:p>
    <w:p w14:paraId="3EC2107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en-US" w:eastAsia="zh-CN"/>
        </w:rPr>
        <w:t>常年项目绩效分析。</w:t>
      </w:r>
      <w:r>
        <w:rPr>
          <w:rFonts w:hint="default" w:ascii="Times New Roman" w:hAnsi="Times New Roman" w:eastAsia="仿宋_GB2312" w:cs="Times New Roman"/>
          <w:color w:val="000000"/>
          <w:kern w:val="0"/>
          <w:sz w:val="32"/>
          <w:szCs w:val="32"/>
          <w:highlight w:val="none"/>
          <w:shd w:val="clear" w:color="auto" w:fill="FFFFFF"/>
          <w:lang w:val="zh-CN" w:eastAsia="zh-CN"/>
        </w:rPr>
        <w:t>该类项目总数</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eastAsia="zh-CN"/>
        </w:rPr>
        <w:t>个，涉及预算总金额</w:t>
      </w:r>
      <w:r>
        <w:rPr>
          <w:rFonts w:hint="eastAsia" w:ascii="Times New Roman" w:hAnsi="Times New Roman" w:eastAsia="仿宋_GB2312" w:cs="Times New Roman"/>
          <w:color w:val="000000"/>
          <w:kern w:val="0"/>
          <w:sz w:val="32"/>
          <w:szCs w:val="32"/>
          <w:highlight w:val="none"/>
          <w:shd w:val="clear" w:color="auto" w:fill="FFFFFF"/>
          <w:lang w:val="en-US" w:eastAsia="zh-CN"/>
        </w:rPr>
        <w:t>38</w:t>
      </w:r>
      <w:r>
        <w:rPr>
          <w:rFonts w:hint="default" w:ascii="Times New Roman" w:hAnsi="Times New Roman" w:eastAsia="仿宋_GB2312" w:cs="Times New Roman"/>
          <w:color w:val="000000"/>
          <w:kern w:val="0"/>
          <w:sz w:val="32"/>
          <w:szCs w:val="32"/>
          <w:highlight w:val="none"/>
          <w:shd w:val="clear" w:color="auto" w:fill="FFFFFF"/>
          <w:lang w:val="zh-CN" w:eastAsia="zh-CN"/>
        </w:rPr>
        <w:t>万元，</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eastAsia" w:ascii="Times New Roman" w:hAnsi="Times New Roman" w:eastAsia="仿宋_GB2312" w:cs="Times New Roman"/>
          <w:color w:val="000000"/>
          <w:kern w:val="0"/>
          <w:sz w:val="32"/>
          <w:szCs w:val="32"/>
          <w:highlight w:val="none"/>
          <w:shd w:val="clear" w:color="auto" w:fill="FFFFFF"/>
          <w:lang w:val="en-US" w:eastAsia="zh-CN"/>
        </w:rPr>
        <w:t>100</w:t>
      </w:r>
      <w:r>
        <w:rPr>
          <w:rFonts w:hint="default"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w:t>
      </w:r>
    </w:p>
    <w:p w14:paraId="2F7839D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en-US" w:eastAsia="zh-CN"/>
        </w:rPr>
        <w:t>阶段</w:t>
      </w:r>
      <w:r>
        <w:rPr>
          <w:rFonts w:hint="eastAsia" w:ascii="Times New Roman" w:hAnsi="Times New Roman" w:eastAsia="仿宋_GB2312" w:cs="Times New Roman"/>
          <w:color w:val="000000"/>
          <w:kern w:val="0"/>
          <w:sz w:val="32"/>
          <w:szCs w:val="32"/>
          <w:highlight w:val="none"/>
          <w:shd w:val="clear" w:color="auto" w:fill="FFFFFF"/>
          <w:lang w:val="en-US"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一次性</w:t>
      </w:r>
      <w:r>
        <w:rPr>
          <w:rFonts w:hint="eastAsia" w:ascii="Times New Roman" w:hAnsi="Times New Roman" w:eastAsia="仿宋_GB2312" w:cs="Times New Roman"/>
          <w:color w:val="000000"/>
          <w:kern w:val="0"/>
          <w:sz w:val="32"/>
          <w:szCs w:val="32"/>
          <w:highlight w:val="none"/>
          <w:shd w:val="clear" w:color="auto" w:fill="FFFFFF"/>
          <w:lang w:val="en-US"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项目绩效分析。</w:t>
      </w:r>
      <w:r>
        <w:rPr>
          <w:rFonts w:hint="default" w:ascii="Times New Roman" w:hAnsi="Times New Roman" w:eastAsia="仿宋_GB2312" w:cs="Times New Roman"/>
          <w:color w:val="000000"/>
          <w:kern w:val="0"/>
          <w:sz w:val="32"/>
          <w:szCs w:val="32"/>
          <w:highlight w:val="none"/>
          <w:shd w:val="clear" w:color="auto" w:fill="FFFFFF"/>
          <w:lang w:val="zh-CN" w:eastAsia="zh-CN"/>
        </w:rPr>
        <w:t>该类项目总数</w:t>
      </w:r>
      <w:r>
        <w:rPr>
          <w:rFonts w:hint="eastAsia" w:ascii="Times New Roman" w:hAnsi="Times New Roman" w:eastAsia="仿宋_GB2312" w:cs="Times New Roman"/>
          <w:color w:val="000000"/>
          <w:kern w:val="0"/>
          <w:sz w:val="32"/>
          <w:szCs w:val="32"/>
          <w:highlight w:val="none"/>
          <w:shd w:val="clear" w:color="auto" w:fill="FFFFFF"/>
          <w:lang w:val="en-US" w:eastAsia="zh-CN"/>
        </w:rPr>
        <w:t>4</w:t>
      </w:r>
      <w:r>
        <w:rPr>
          <w:rFonts w:hint="default" w:ascii="Times New Roman" w:hAnsi="Times New Roman" w:eastAsia="仿宋_GB2312" w:cs="Times New Roman"/>
          <w:color w:val="000000"/>
          <w:kern w:val="0"/>
          <w:sz w:val="32"/>
          <w:szCs w:val="32"/>
          <w:highlight w:val="none"/>
          <w:shd w:val="clear" w:color="auto" w:fill="FFFFFF"/>
          <w:lang w:val="zh-CN" w:eastAsia="zh-CN"/>
        </w:rPr>
        <w:t>个，涉及预算总金额</w:t>
      </w:r>
      <w:r>
        <w:rPr>
          <w:rFonts w:hint="eastAsia" w:ascii="Times New Roman" w:hAnsi="Times New Roman" w:eastAsia="仿宋_GB2312" w:cs="Times New Roman"/>
          <w:color w:val="000000"/>
          <w:kern w:val="0"/>
          <w:sz w:val="32"/>
          <w:szCs w:val="32"/>
          <w:highlight w:val="none"/>
          <w:shd w:val="clear" w:color="auto" w:fill="FFFFFF"/>
          <w:lang w:val="en-US" w:eastAsia="zh-CN"/>
        </w:rPr>
        <w:t>32</w:t>
      </w:r>
      <w:r>
        <w:rPr>
          <w:rFonts w:hint="default" w:ascii="Times New Roman" w:hAnsi="Times New Roman" w:eastAsia="仿宋_GB2312" w:cs="Times New Roman"/>
          <w:color w:val="000000"/>
          <w:kern w:val="0"/>
          <w:sz w:val="32"/>
          <w:szCs w:val="32"/>
          <w:highlight w:val="none"/>
          <w:shd w:val="clear" w:color="auto" w:fill="FFFFFF"/>
          <w:lang w:val="zh-CN" w:eastAsia="zh-CN"/>
        </w:rPr>
        <w:t>万元，</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eastAsia" w:ascii="Times New Roman" w:hAnsi="Times New Roman" w:eastAsia="仿宋_GB2312" w:cs="Times New Roman"/>
          <w:color w:val="000000"/>
          <w:kern w:val="0"/>
          <w:sz w:val="32"/>
          <w:szCs w:val="32"/>
          <w:highlight w:val="none"/>
          <w:shd w:val="clear" w:color="auto" w:fill="FFFFFF"/>
          <w:lang w:val="en-US" w:eastAsia="zh-CN"/>
        </w:rPr>
        <w:t>100</w:t>
      </w:r>
      <w:r>
        <w:rPr>
          <w:rFonts w:hint="default"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w:t>
      </w:r>
    </w:p>
    <w:p w14:paraId="51808FA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项目决策。</w:t>
      </w:r>
      <w:r>
        <w:rPr>
          <w:rFonts w:hint="eastAsia" w:ascii="Times New Roman" w:hAnsi="Times New Roman" w:eastAsia="仿宋_GB2312" w:cs="Times New Roman"/>
          <w:color w:val="000000"/>
          <w:kern w:val="0"/>
          <w:sz w:val="32"/>
          <w:szCs w:val="32"/>
          <w:highlight w:val="none"/>
          <w:shd w:val="clear" w:color="auto" w:fill="FFFFFF"/>
          <w:lang w:val="zh-CN"/>
        </w:rPr>
        <w:t>我</w:t>
      </w:r>
      <w:r>
        <w:rPr>
          <w:rFonts w:hint="eastAsia" w:ascii="Times New Roman" w:hAnsi="Times New Roman" w:eastAsia="仿宋_GB2312" w:cs="Times New Roman"/>
          <w:color w:val="000000"/>
          <w:kern w:val="0"/>
          <w:sz w:val="32"/>
          <w:szCs w:val="32"/>
          <w:highlight w:val="none"/>
          <w:shd w:val="clear" w:color="auto" w:fill="FFFFFF"/>
          <w:lang w:val="en-US" w:eastAsia="zh-CN"/>
        </w:rPr>
        <w:t>单位</w:t>
      </w:r>
      <w:r>
        <w:rPr>
          <w:rFonts w:hint="eastAsia" w:ascii="Times New Roman" w:hAnsi="Times New Roman" w:eastAsia="仿宋_GB2312" w:cs="Times New Roman"/>
          <w:color w:val="000000"/>
          <w:kern w:val="0"/>
          <w:sz w:val="32"/>
          <w:szCs w:val="32"/>
          <w:highlight w:val="none"/>
          <w:shd w:val="clear" w:color="auto" w:fill="FFFFFF"/>
          <w:lang w:val="zh-CN"/>
        </w:rPr>
        <w:t>预算项目设立</w:t>
      </w:r>
      <w:r>
        <w:rPr>
          <w:rFonts w:hint="eastAsia" w:ascii="Times New Roman" w:hAnsi="Times New Roman" w:eastAsia="仿宋_GB2312" w:cs="Times New Roman"/>
          <w:color w:val="000000"/>
          <w:kern w:val="0"/>
          <w:sz w:val="32"/>
          <w:szCs w:val="32"/>
          <w:highlight w:val="none"/>
          <w:shd w:val="clear" w:color="auto" w:fill="FFFFFF"/>
          <w:lang w:val="en-US" w:eastAsia="zh-CN"/>
        </w:rPr>
        <w:t>严格</w:t>
      </w:r>
      <w:r>
        <w:rPr>
          <w:rFonts w:hint="eastAsia" w:ascii="Times New Roman" w:hAnsi="Times New Roman" w:eastAsia="仿宋_GB2312" w:cs="Times New Roman"/>
          <w:color w:val="000000"/>
          <w:kern w:val="0"/>
          <w:sz w:val="32"/>
          <w:szCs w:val="32"/>
          <w:highlight w:val="none"/>
          <w:shd w:val="clear" w:color="auto" w:fill="FFFFFF"/>
          <w:lang w:val="zh-CN"/>
        </w:rPr>
        <w:t>按规定履行评估论证、申报程序，部门预算项目绩效目标与计划期内的任务量、预算安排的资金量</w:t>
      </w:r>
      <w:r>
        <w:rPr>
          <w:rFonts w:hint="eastAsia" w:ascii="Times New Roman" w:hAnsi="Times New Roman" w:eastAsia="仿宋_GB2312" w:cs="Times New Roman"/>
          <w:color w:val="000000"/>
          <w:kern w:val="0"/>
          <w:sz w:val="32"/>
          <w:szCs w:val="32"/>
          <w:highlight w:val="none"/>
          <w:shd w:val="clear" w:color="auto" w:fill="FFFFFF"/>
          <w:lang w:val="en-US" w:eastAsia="zh-CN"/>
        </w:rPr>
        <w:t>相</w:t>
      </w:r>
      <w:r>
        <w:rPr>
          <w:rFonts w:hint="eastAsia" w:ascii="Times New Roman" w:hAnsi="Times New Roman" w:eastAsia="仿宋_GB2312" w:cs="Times New Roman"/>
          <w:color w:val="000000"/>
          <w:kern w:val="0"/>
          <w:sz w:val="32"/>
          <w:szCs w:val="32"/>
          <w:highlight w:val="none"/>
          <w:shd w:val="clear" w:color="auto" w:fill="FFFFFF"/>
          <w:lang w:val="zh-CN"/>
        </w:rPr>
        <w:t>匹配，绩效目标设置科学合理、规范完整、量化细化、预算匹配，部门预算项目在规定时间完成项目入库</w:t>
      </w:r>
      <w:r>
        <w:rPr>
          <w:rFonts w:hint="eastAsia" w:ascii="Times New Roman" w:hAnsi="Times New Roman" w:eastAsia="仿宋_GB2312" w:cs="Times New Roman"/>
          <w:color w:val="000000"/>
          <w:kern w:val="0"/>
          <w:sz w:val="32"/>
          <w:szCs w:val="32"/>
          <w:highlight w:val="none"/>
          <w:shd w:val="clear" w:color="auto" w:fill="FFFFFF"/>
          <w:lang w:val="en-US" w:eastAsia="zh-CN"/>
        </w:rPr>
        <w:t>上报并审核。指标分值12分。</w:t>
      </w:r>
    </w:p>
    <w:p w14:paraId="62F3F33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楷体_GB2312" w:hAnsi="楷体_GB2312" w:eastAsia="仿宋_GB2312" w:cs="楷体_GB2312"/>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自查得分12分。</w:t>
      </w:r>
    </w:p>
    <w:p w14:paraId="5786C33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2.项目执行</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我</w:t>
      </w:r>
      <w:r>
        <w:rPr>
          <w:rFonts w:hint="eastAsia" w:ascii="Times New Roman" w:hAnsi="Times New Roman" w:eastAsia="仿宋_GB2312" w:cs="Times New Roman"/>
          <w:color w:val="000000"/>
          <w:kern w:val="0"/>
          <w:sz w:val="32"/>
          <w:szCs w:val="32"/>
          <w:highlight w:val="none"/>
          <w:shd w:val="clear" w:color="auto" w:fill="FFFFFF"/>
          <w:lang w:val="en-US" w:eastAsia="zh-CN"/>
        </w:rPr>
        <w:t>单位</w:t>
      </w:r>
      <w:r>
        <w:rPr>
          <w:rFonts w:hint="eastAsia" w:ascii="Times New Roman" w:hAnsi="Times New Roman" w:eastAsia="仿宋_GB2312" w:cs="Times New Roman"/>
          <w:color w:val="000000"/>
          <w:kern w:val="0"/>
          <w:sz w:val="32"/>
          <w:szCs w:val="32"/>
          <w:highlight w:val="none"/>
          <w:shd w:val="clear" w:color="auto" w:fill="FFFFFF"/>
          <w:lang w:val="zh-CN"/>
        </w:rPr>
        <w:t>预算项目实际列支内容与绩效目标设置方向相符，</w:t>
      </w:r>
      <w:r>
        <w:rPr>
          <w:rFonts w:hint="eastAsia" w:ascii="Times New Roman" w:hAnsi="Times New Roman" w:eastAsia="仿宋_GB2312" w:cs="Times New Roman"/>
          <w:color w:val="000000"/>
          <w:kern w:val="0"/>
          <w:sz w:val="32"/>
          <w:szCs w:val="32"/>
          <w:highlight w:val="none"/>
          <w:shd w:val="clear" w:color="auto" w:fill="FFFFFF"/>
          <w:lang w:val="en-US" w:eastAsia="zh-CN"/>
        </w:rPr>
        <w:t>针对特殊情况及时采取</w:t>
      </w:r>
      <w:r>
        <w:rPr>
          <w:rFonts w:hint="eastAsia" w:ascii="Times New Roman" w:hAnsi="Times New Roman" w:eastAsia="仿宋_GB2312" w:cs="Times New Roman"/>
          <w:color w:val="000000"/>
          <w:kern w:val="0"/>
          <w:sz w:val="32"/>
          <w:szCs w:val="32"/>
          <w:highlight w:val="none"/>
          <w:shd w:val="clear" w:color="auto" w:fill="FFFFFF"/>
          <w:lang w:val="zh-CN"/>
        </w:rPr>
        <w:t>对应调整措施，</w:t>
      </w:r>
      <w:r>
        <w:rPr>
          <w:rFonts w:hint="eastAsia" w:ascii="Times New Roman" w:hAnsi="Times New Roman" w:eastAsia="仿宋_GB2312" w:cs="Times New Roman"/>
          <w:color w:val="000000"/>
          <w:kern w:val="0"/>
          <w:sz w:val="32"/>
          <w:szCs w:val="32"/>
          <w:highlight w:val="none"/>
          <w:shd w:val="clear" w:color="auto" w:fill="FFFFFF"/>
          <w:lang w:val="en-US" w:eastAsia="zh-CN"/>
        </w:rPr>
        <w:t>保障</w:t>
      </w:r>
      <w:r>
        <w:rPr>
          <w:rFonts w:hint="eastAsia" w:ascii="Times New Roman" w:hAnsi="Times New Roman" w:eastAsia="仿宋_GB2312" w:cs="Times New Roman"/>
          <w:color w:val="000000"/>
          <w:kern w:val="0"/>
          <w:sz w:val="32"/>
          <w:szCs w:val="32"/>
          <w:highlight w:val="none"/>
          <w:shd w:val="clear" w:color="auto" w:fill="FFFFFF"/>
          <w:lang w:val="zh-CN"/>
        </w:rPr>
        <w:t>预算项目实际列支内容与绩效目标设置方向</w:t>
      </w:r>
      <w:r>
        <w:rPr>
          <w:rFonts w:hint="eastAsia" w:ascii="Times New Roman" w:hAnsi="Times New Roman" w:eastAsia="仿宋_GB2312" w:cs="Times New Roman"/>
          <w:color w:val="000000"/>
          <w:kern w:val="0"/>
          <w:sz w:val="32"/>
          <w:szCs w:val="32"/>
          <w:highlight w:val="none"/>
          <w:shd w:val="clear" w:color="auto" w:fill="FFFFFF"/>
          <w:lang w:val="en-US" w:eastAsia="zh-CN"/>
        </w:rPr>
        <w:t>不偏离，</w:t>
      </w:r>
      <w:r>
        <w:rPr>
          <w:rFonts w:hint="eastAsia" w:ascii="Times New Roman" w:hAnsi="Times New Roman" w:eastAsia="仿宋_GB2312" w:cs="Times New Roman"/>
          <w:color w:val="000000"/>
          <w:kern w:val="0"/>
          <w:sz w:val="32"/>
          <w:szCs w:val="32"/>
          <w:highlight w:val="none"/>
          <w:shd w:val="clear" w:color="auto" w:fill="FFFFFF"/>
          <w:lang w:val="zh-CN"/>
        </w:rPr>
        <w:t>部门预算项目预算</w:t>
      </w:r>
      <w:r>
        <w:rPr>
          <w:rFonts w:hint="eastAsia" w:ascii="Times New Roman" w:hAnsi="Times New Roman" w:eastAsia="仿宋_GB2312" w:cs="Times New Roman"/>
          <w:color w:val="000000"/>
          <w:kern w:val="0"/>
          <w:sz w:val="32"/>
          <w:szCs w:val="32"/>
          <w:highlight w:val="none"/>
          <w:shd w:val="clear" w:color="auto" w:fill="FFFFFF"/>
          <w:lang w:val="en-US" w:eastAsia="zh-CN"/>
        </w:rPr>
        <w:t>严格按照绩效目标实现情况</w:t>
      </w:r>
      <w:r>
        <w:rPr>
          <w:rFonts w:hint="eastAsia" w:ascii="Times New Roman" w:hAnsi="Times New Roman" w:eastAsia="仿宋_GB2312" w:cs="Times New Roman"/>
          <w:color w:val="000000"/>
          <w:kern w:val="0"/>
          <w:sz w:val="32"/>
          <w:szCs w:val="32"/>
          <w:highlight w:val="none"/>
          <w:shd w:val="clear" w:color="auto" w:fill="FFFFFF"/>
          <w:lang w:val="zh-CN"/>
        </w:rPr>
        <w:t>执行，</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eastAsia" w:ascii="Times New Roman" w:hAnsi="Times New Roman" w:eastAsia="仿宋_GB2312" w:cs="Times New Roman"/>
          <w:color w:val="000000"/>
          <w:kern w:val="0"/>
          <w:sz w:val="32"/>
          <w:szCs w:val="32"/>
          <w:highlight w:val="none"/>
          <w:shd w:val="clear" w:color="auto" w:fill="FFFFFF"/>
          <w:lang w:val="en-US" w:eastAsia="zh-CN"/>
        </w:rPr>
        <w:t>100</w:t>
      </w:r>
      <w:r>
        <w:rPr>
          <w:rFonts w:hint="default"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指标分值12分。</w:t>
      </w:r>
    </w:p>
    <w:p w14:paraId="49536B5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自查得分12分。</w:t>
      </w:r>
    </w:p>
    <w:p w14:paraId="3803890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eastAsia" w:ascii="楷体_GB2312" w:hAnsi="楷体_GB2312" w:eastAsia="楷体_GB2312" w:cs="楷体_GB2312"/>
          <w:color w:val="000000"/>
          <w:kern w:val="0"/>
          <w:sz w:val="32"/>
          <w:szCs w:val="32"/>
          <w:highlight w:val="none"/>
          <w:shd w:val="clear" w:color="auto" w:fill="FFFFFF"/>
          <w:lang w:val="zh-CN"/>
        </w:rPr>
        <w:t>目标实现。</w:t>
      </w:r>
      <w:r>
        <w:rPr>
          <w:rFonts w:hint="eastAsia" w:ascii="Times New Roman" w:hAnsi="Times New Roman" w:eastAsia="仿宋_GB2312" w:cs="Times New Roman"/>
          <w:sz w:val="32"/>
          <w:szCs w:val="32"/>
          <w:u w:val="none"/>
          <w:lang w:val="en-US" w:eastAsia="zh-CN"/>
        </w:rPr>
        <w:t>2023年度本单位部门预算项目绩效目标数量指标完成率100%，部门预算项目绩效目标数量指标实现程度与预期目标的相符合，未发生偏离情况，部门预算项目绩效目标效益指标实施效果显著，有助于农民工就业创业，维护农民工合法权益，为农民工做好服务保障工作。</w:t>
      </w:r>
      <w:r>
        <w:rPr>
          <w:rFonts w:hint="eastAsia" w:ascii="Times New Roman" w:hAnsi="Times New Roman" w:eastAsia="仿宋_GB2312" w:cs="Times New Roman"/>
          <w:color w:val="000000"/>
          <w:kern w:val="0"/>
          <w:sz w:val="32"/>
          <w:szCs w:val="32"/>
          <w:highlight w:val="none"/>
          <w:shd w:val="clear" w:color="auto" w:fill="FFFFFF"/>
          <w:lang w:val="en-US" w:eastAsia="zh-CN"/>
        </w:rPr>
        <w:t>指标分值11分。</w:t>
      </w:r>
    </w:p>
    <w:p w14:paraId="75F1A63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bCs/>
          <w:sz w:val="32"/>
          <w:szCs w:val="32"/>
          <w:u w:val="none"/>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自查得分11分。</w:t>
      </w:r>
    </w:p>
    <w:p w14:paraId="379DE75A">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bCs/>
          <w:color w:val="000000"/>
          <w:kern w:val="0"/>
          <w:sz w:val="32"/>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Times New Roman"/>
          <w:b w:val="0"/>
          <w:bCs w:val="0"/>
          <w:sz w:val="32"/>
          <w:szCs w:val="32"/>
          <w:highlight w:val="none"/>
          <w:u w:val="none"/>
          <w:lang w:val="en-US" w:eastAsia="zh-CN"/>
        </w:rPr>
        <w:t>我单位</w:t>
      </w:r>
      <w:r>
        <w:rPr>
          <w:rFonts w:hint="eastAsia" w:ascii="Times New Roman" w:hAnsi="Times New Roman" w:eastAsia="仿宋_GB2312" w:cs="Times New Roman"/>
          <w:sz w:val="32"/>
          <w:szCs w:val="32"/>
          <w:u w:val="none"/>
          <w:lang w:val="en-US" w:eastAsia="zh-CN"/>
        </w:rPr>
        <w:t>2023年度</w:t>
      </w:r>
      <w:r>
        <w:rPr>
          <w:rFonts w:hint="default" w:ascii="Times New Roman" w:hAnsi="Times New Roman" w:eastAsia="仿宋_GB2312" w:cs="Times New Roman"/>
          <w:sz w:val="32"/>
          <w:szCs w:val="32"/>
          <w:highlight w:val="none"/>
          <w:u w:val="none"/>
        </w:rPr>
        <w:t>行政事业性国有资产</w:t>
      </w:r>
      <w:r>
        <w:rPr>
          <w:rFonts w:hint="eastAsia" w:ascii="Times New Roman" w:hAnsi="Times New Roman" w:eastAsia="仿宋_GB2312" w:cs="Times New Roman"/>
          <w:sz w:val="32"/>
          <w:szCs w:val="32"/>
          <w:highlight w:val="none"/>
          <w:u w:val="none"/>
          <w:lang w:val="en-US" w:eastAsia="zh-CN"/>
        </w:rPr>
        <w:t>总额214002元，本年度无新增固定资产，所有固定资产均能正常使用，不存在报废闲置情况。2023年度通过公开招投标方式开展劳务品牌和返乡创业培训3000人，已于2023年底之前完成目标任务，培训合规，并颁发了培训合格证，增强了农民工素质，有助于农民工就业创业。</w:t>
      </w:r>
    </w:p>
    <w:p w14:paraId="7B1DA4B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（四）绩效结果应用情况</w:t>
      </w:r>
      <w:r>
        <w:rPr>
          <w:rFonts w:hint="eastAsia" w:ascii="Times New Roman" w:hAnsi="Times New Roman" w:eastAsia="楷体_GB2312" w:cs="Times New Roman"/>
          <w:b/>
          <w:bCs/>
          <w:sz w:val="32"/>
          <w:szCs w:val="32"/>
          <w:lang w:val="zh-CN"/>
        </w:rPr>
        <w:t>。</w:t>
      </w:r>
    </w:p>
    <w:p w14:paraId="1B42B52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000000"/>
          <w:kern w:val="0"/>
          <w:sz w:val="32"/>
          <w:shd w:val="clear" w:color="auto" w:fill="FFFFFF"/>
        </w:rPr>
      </w:pPr>
      <w:r>
        <w:rPr>
          <w:rFonts w:hint="default" w:ascii="Times New Roman" w:hAnsi="Times New Roman" w:eastAsia="仿宋_GB2312" w:cs="Times New Roman"/>
          <w:color w:val="000000"/>
          <w:kern w:val="0"/>
          <w:sz w:val="32"/>
          <w:shd w:val="clear" w:color="auto" w:fill="FFFFFF"/>
        </w:rPr>
        <w:t>1</w:t>
      </w:r>
      <w:r>
        <w:rPr>
          <w:rFonts w:hint="eastAsia" w:ascii="Times New Roman" w:hAnsi="Times New Roman" w:eastAsia="仿宋_GB2312" w:cs="Times New Roman"/>
          <w:color w:val="000000"/>
          <w:kern w:val="0"/>
          <w:sz w:val="32"/>
          <w:shd w:val="clear" w:color="auto" w:fill="FFFFFF"/>
          <w:lang w:val="en-US" w:eastAsia="zh-CN"/>
        </w:rPr>
        <w:t xml:space="preserve">. </w:t>
      </w:r>
      <w:r>
        <w:rPr>
          <w:rFonts w:hint="default" w:ascii="Times New Roman" w:hAnsi="Times New Roman" w:eastAsia="仿宋_GB2312" w:cs="Times New Roman"/>
          <w:color w:val="000000"/>
          <w:kern w:val="0"/>
          <w:sz w:val="32"/>
          <w:shd w:val="clear" w:color="auto" w:fill="FFFFFF"/>
        </w:rPr>
        <w:t>严格按照政府集中采购目录及采购限额标准执行各项采购。部门制定了资产管理规定，建立了资产实物管理台账，并按照相关要求及时开展了资产清查工作，上报数据真实、准确、全面，并纳入了资产信息管理系统进行管理。</w:t>
      </w:r>
    </w:p>
    <w:p w14:paraId="19A43D65">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000000"/>
          <w:kern w:val="0"/>
          <w:sz w:val="32"/>
          <w:shd w:val="clear" w:color="auto" w:fill="FFFFFF"/>
        </w:rPr>
      </w:pPr>
      <w:r>
        <w:rPr>
          <w:rFonts w:hint="default" w:ascii="Times New Roman" w:hAnsi="Times New Roman" w:eastAsia="仿宋_GB2312" w:cs="Times New Roman"/>
          <w:color w:val="000000"/>
          <w:kern w:val="0"/>
          <w:sz w:val="32"/>
          <w:shd w:val="clear" w:color="auto" w:fill="FFFFFF"/>
        </w:rPr>
        <w:t>2</w:t>
      </w:r>
      <w:r>
        <w:rPr>
          <w:rFonts w:hint="eastAsia" w:ascii="Times New Roman" w:hAnsi="Times New Roman" w:eastAsia="仿宋_GB2312" w:cs="Times New Roman"/>
          <w:color w:val="000000"/>
          <w:kern w:val="0"/>
          <w:sz w:val="32"/>
          <w:shd w:val="clear" w:color="auto" w:fill="FFFFFF"/>
          <w:lang w:val="en-US" w:eastAsia="zh-CN"/>
        </w:rPr>
        <w:t xml:space="preserve">. </w:t>
      </w:r>
      <w:r>
        <w:rPr>
          <w:rFonts w:hint="default" w:ascii="Times New Roman" w:hAnsi="Times New Roman" w:eastAsia="仿宋_GB2312" w:cs="Times New Roman"/>
          <w:color w:val="000000"/>
          <w:kern w:val="0"/>
          <w:sz w:val="32"/>
          <w:shd w:val="clear" w:color="auto" w:fill="FFFFFF"/>
        </w:rPr>
        <w:t>重视内控制度的建设与管理、重视财务制度的管理与监督，遵纪守法，按章办事。无因内控制度不健全或执行不力等原因造成单位廉政风险或重大责任事故。</w:t>
      </w:r>
    </w:p>
    <w:p w14:paraId="3AFA1363">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b/>
          <w:bCs w:val="0"/>
          <w:sz w:val="32"/>
          <w:szCs w:val="32"/>
        </w:rPr>
      </w:pPr>
      <w:r>
        <w:rPr>
          <w:rFonts w:hint="default" w:ascii="Times New Roman" w:hAnsi="Times New Roman" w:eastAsia="仿宋_GB2312" w:cs="Times New Roman"/>
          <w:color w:val="000000"/>
          <w:kern w:val="0"/>
          <w:sz w:val="32"/>
          <w:shd w:val="clear" w:color="auto" w:fill="FFFFFF"/>
        </w:rPr>
        <w:t>3</w:t>
      </w:r>
      <w:r>
        <w:rPr>
          <w:rFonts w:hint="eastAsia" w:ascii="Times New Roman" w:hAnsi="Times New Roman" w:eastAsia="仿宋_GB2312" w:cs="Times New Roman"/>
          <w:color w:val="000000"/>
          <w:kern w:val="0"/>
          <w:sz w:val="32"/>
          <w:shd w:val="clear" w:color="auto" w:fill="FFFFFF"/>
          <w:lang w:val="en-US" w:eastAsia="zh-CN"/>
        </w:rPr>
        <w:t xml:space="preserve">. </w:t>
      </w:r>
      <w:r>
        <w:rPr>
          <w:rFonts w:hint="default" w:ascii="Times New Roman" w:hAnsi="Times New Roman" w:eastAsia="仿宋_GB2312" w:cs="Times New Roman"/>
          <w:color w:val="000000"/>
          <w:kern w:val="0"/>
          <w:sz w:val="32"/>
          <w:shd w:val="clear" w:color="auto" w:fill="FFFFFF"/>
        </w:rPr>
        <w:t>严格按要求在规定时间内进行预、决算及其他应公开信息的公开。积极实施各项绩效评价，按规定报送相关绩效信息，对发现问题制定整改措施，并整改落实到位。各项工作依法接受财政监督。</w:t>
      </w:r>
    </w:p>
    <w:p w14:paraId="60C9B695">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p>
    <w:p w14:paraId="0C8E86C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default" w:ascii="Times New Roman" w:hAnsi="Times New Roman" w:eastAsia="仿宋_GB2312" w:cs="Times New Roman"/>
          <w:color w:val="000000"/>
          <w:kern w:val="0"/>
          <w:sz w:val="32"/>
          <w:shd w:val="clear" w:color="auto" w:fill="FFFFFF"/>
          <w:lang w:val="zh-CN"/>
        </w:rPr>
        <w:t>全年基本支出保证了部门的正常运行和日常工作任务的顺利完成。202</w:t>
      </w:r>
      <w:r>
        <w:rPr>
          <w:rFonts w:hint="eastAsia" w:ascii="Times New Roman" w:hAnsi="Times New Roman" w:eastAsia="仿宋_GB2312" w:cs="Times New Roman"/>
          <w:color w:val="000000"/>
          <w:kern w:val="0"/>
          <w:sz w:val="32"/>
          <w:shd w:val="clear" w:color="auto" w:fill="FFFFFF"/>
          <w:lang w:val="en-US" w:eastAsia="zh-CN"/>
        </w:rPr>
        <w:t>3</w:t>
      </w:r>
      <w:r>
        <w:rPr>
          <w:rFonts w:hint="default" w:ascii="Times New Roman" w:hAnsi="Times New Roman" w:eastAsia="仿宋_GB2312" w:cs="Times New Roman"/>
          <w:color w:val="000000"/>
          <w:kern w:val="0"/>
          <w:sz w:val="32"/>
          <w:shd w:val="clear" w:color="auto" w:fill="FFFFFF"/>
          <w:lang w:val="zh-CN"/>
        </w:rPr>
        <w:t>年农民工服务中心认真做好年度财政资金的预算编制工作，做到应编尽编。在资金使用和管理</w:t>
      </w:r>
      <w:r>
        <w:rPr>
          <w:rFonts w:hint="eastAsia" w:ascii="Times New Roman" w:hAnsi="Times New Roman" w:eastAsia="仿宋_GB2312" w:cs="Times New Roman"/>
          <w:color w:val="000000"/>
          <w:kern w:val="0"/>
          <w:sz w:val="32"/>
          <w:shd w:val="clear" w:color="auto" w:fill="FFFFFF"/>
          <w:lang w:val="en-US" w:eastAsia="zh-CN"/>
        </w:rPr>
        <w:t>方</w:t>
      </w:r>
      <w:r>
        <w:rPr>
          <w:rFonts w:hint="default" w:ascii="Times New Roman" w:hAnsi="Times New Roman" w:eastAsia="仿宋_GB2312" w:cs="Times New Roman"/>
          <w:color w:val="000000"/>
          <w:kern w:val="0"/>
          <w:sz w:val="32"/>
          <w:shd w:val="clear" w:color="auto" w:fill="FFFFFF"/>
          <w:lang w:val="zh-CN"/>
        </w:rPr>
        <w:t>面，进一步强化资金统筹，优化资金结构，明确开支范围，细化资金用途，以有限的资金保证单位的正常运转。资金收支管理及会计核算较规范，能够按照相关会计制度和财务管理办法进行核算。认真落实积极财政政策，优化支出结构，深化管理改革，圆满完成各项目标任务。</w:t>
      </w:r>
      <w:r>
        <w:rPr>
          <w:rFonts w:hint="eastAsia" w:ascii="Times New Roman" w:hAnsi="Times New Roman" w:eastAsia="仿宋_GB2312" w:cs="Times New Roman"/>
          <w:color w:val="000000"/>
          <w:kern w:val="0"/>
          <w:sz w:val="32"/>
          <w:szCs w:val="32"/>
          <w:highlight w:val="none"/>
          <w:shd w:val="clear" w:color="auto" w:fill="FFFFFF"/>
          <w:lang w:val="en-US" w:eastAsia="zh-CN"/>
        </w:rPr>
        <w:t>指标分值100分。自查得分100分。</w:t>
      </w:r>
    </w:p>
    <w:p w14:paraId="061BB53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仿宋_GB2312" w:cs="Times New Roman"/>
          <w:color w:val="000000"/>
          <w:kern w:val="0"/>
          <w:sz w:val="32"/>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default" w:ascii="Times New Roman" w:hAnsi="Times New Roman" w:eastAsia="仿宋_GB2312" w:cs="Times New Roman"/>
          <w:color w:val="000000"/>
          <w:kern w:val="0"/>
          <w:sz w:val="32"/>
          <w:shd w:val="clear" w:color="auto" w:fill="FFFFFF"/>
          <w:lang w:val="zh-CN"/>
        </w:rPr>
        <w:t>“三公”经费虽严格控制，但仍有下降的空间。</w:t>
      </w:r>
    </w:p>
    <w:p w14:paraId="2B041D5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仿宋_GB2312" w:cs="Times New Roman"/>
          <w:color w:val="000000"/>
          <w:kern w:val="0"/>
          <w:sz w:val="32"/>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r>
        <w:rPr>
          <w:rFonts w:hint="default" w:ascii="Times New Roman" w:hAnsi="Times New Roman" w:eastAsia="仿宋_GB2312" w:cs="Times New Roman"/>
          <w:color w:val="000000"/>
          <w:kern w:val="0"/>
          <w:sz w:val="32"/>
          <w:shd w:val="clear" w:color="auto" w:fill="FFFFFF"/>
          <w:lang w:val="en-US" w:eastAsia="zh-CN"/>
        </w:rPr>
        <w:t>严格过“紧日子”</w:t>
      </w:r>
      <w:r>
        <w:rPr>
          <w:rFonts w:hint="default" w:ascii="Times New Roman" w:hAnsi="Times New Roman" w:eastAsia="仿宋_GB2312" w:cs="Times New Roman"/>
          <w:color w:val="000000"/>
          <w:kern w:val="0"/>
          <w:sz w:val="32"/>
          <w:shd w:val="clear" w:color="auto" w:fill="FFFFFF"/>
          <w:lang w:val="zh-CN"/>
        </w:rPr>
        <w:t>，</w:t>
      </w:r>
      <w:r>
        <w:rPr>
          <w:rFonts w:hint="default" w:ascii="Times New Roman" w:hAnsi="Times New Roman" w:eastAsia="仿宋_GB2312" w:cs="Times New Roman"/>
          <w:color w:val="000000"/>
          <w:kern w:val="0"/>
          <w:sz w:val="32"/>
          <w:shd w:val="clear" w:color="auto" w:fill="FFFFFF"/>
          <w:lang w:val="en-US" w:eastAsia="zh-CN"/>
        </w:rPr>
        <w:t>控制</w:t>
      </w:r>
      <w:r>
        <w:rPr>
          <w:rFonts w:hint="default" w:ascii="Times New Roman" w:hAnsi="Times New Roman" w:eastAsia="仿宋_GB2312" w:cs="Times New Roman"/>
          <w:color w:val="000000"/>
          <w:kern w:val="0"/>
          <w:sz w:val="32"/>
          <w:shd w:val="clear" w:color="auto" w:fill="FFFFFF"/>
          <w:lang w:val="zh-CN"/>
        </w:rPr>
        <w:t>“三公”经费。</w:t>
      </w:r>
    </w:p>
    <w:p w14:paraId="11FD0803">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color w:val="000000"/>
          <w:kern w:val="0"/>
          <w:sz w:val="32"/>
          <w:szCs w:val="32"/>
          <w:highlight w:val="none"/>
          <w:shd w:val="clear" w:color="auto" w:fill="FFFFFF"/>
          <w:lang w:val="en-US" w:eastAsia="zh-CN"/>
        </w:rPr>
      </w:pPr>
    </w:p>
    <w:p w14:paraId="4DBAD00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kern w:val="0"/>
          <w:sz w:val="32"/>
          <w:shd w:val="clear" w:color="auto" w:fill="FFFFFF"/>
          <w:lang w:val="zh-CN"/>
        </w:rPr>
      </w:pPr>
      <w:r>
        <w:rPr>
          <w:rFonts w:hint="eastAsia" w:ascii="Times New Roman" w:hAnsi="Times New Roman" w:eastAsia="仿宋_GB2312" w:cs="Times New Roman"/>
          <w:color w:val="000000"/>
          <w:kern w:val="0"/>
          <w:sz w:val="32"/>
          <w:szCs w:val="32"/>
          <w:highlight w:val="none"/>
          <w:shd w:val="clear" w:color="auto" w:fill="FFFFFF"/>
          <w:lang w:val="en-US" w:eastAsia="zh-CN"/>
        </w:rPr>
        <w:t>附表：</w:t>
      </w:r>
      <w:r>
        <w:rPr>
          <w:rFonts w:hint="default" w:ascii="Times New Roman" w:hAnsi="Times New Roman" w:eastAsia="仿宋_GB2312" w:cs="Times New Roman"/>
          <w:color w:val="000000"/>
          <w:kern w:val="0"/>
          <w:sz w:val="32"/>
          <w:szCs w:val="32"/>
          <w:highlight w:val="none"/>
          <w:shd w:val="clear" w:color="auto" w:fill="FFFFFF"/>
          <w:lang w:val="en-US" w:eastAsia="zh-CN"/>
        </w:rPr>
        <w:t>部门整体支出绩效目标完成情况自评表</w:t>
      </w:r>
    </w:p>
    <w:p w14:paraId="5381CD8E">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仿宋_GB2312" w:cs="Times New Roman"/>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附表</w:t>
      </w:r>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493"/>
        <w:gridCol w:w="880"/>
        <w:gridCol w:w="1144"/>
        <w:gridCol w:w="1"/>
        <w:gridCol w:w="1289"/>
        <w:gridCol w:w="1058"/>
        <w:gridCol w:w="926"/>
        <w:gridCol w:w="1113"/>
      </w:tblGrid>
      <w:tr w14:paraId="0C55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256F82C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18F4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579585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1CC4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73F06A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1971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B30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4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A731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大竹县农民工服务中心部门</w:t>
            </w:r>
          </w:p>
        </w:tc>
      </w:tr>
      <w:tr w14:paraId="38EB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A5A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D0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68C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F35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1AB1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C09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FA0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307</w:t>
            </w:r>
            <w:r>
              <w:rPr>
                <w:rFonts w:hint="eastAsia" w:ascii="Times New Roman" w:hAnsi="Times New Roman" w:eastAsia="宋体" w:cs="Times New Roman"/>
                <w:i w:val="0"/>
                <w:color w:val="000000"/>
                <w:kern w:val="0"/>
                <w:sz w:val="24"/>
                <w:szCs w:val="24"/>
                <w:u w:val="none"/>
                <w:lang w:val="en-US" w:eastAsia="zh-CN" w:bidi="ar"/>
              </w:rPr>
              <w:t>.30</w:t>
            </w: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C3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307</w:t>
            </w:r>
            <w:r>
              <w:rPr>
                <w:rFonts w:hint="eastAsia" w:ascii="Times New Roman" w:hAnsi="Times New Roman" w:eastAsia="宋体" w:cs="Times New Roman"/>
                <w:i w:val="0"/>
                <w:color w:val="000000"/>
                <w:kern w:val="0"/>
                <w:sz w:val="24"/>
                <w:szCs w:val="24"/>
                <w:u w:val="none"/>
                <w:lang w:val="en-US" w:eastAsia="zh-CN" w:bidi="ar"/>
              </w:rPr>
              <w:t>.30</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118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0</w:t>
            </w:r>
          </w:p>
        </w:tc>
      </w:tr>
      <w:tr w14:paraId="27CE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4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0ECCA7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3CB9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贯彻落实省</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市关于农民工服务工作的方针政策，落实省委</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省政府、市委</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市政府和县委</w:t>
            </w:r>
            <w:r>
              <w:rPr>
                <w:rFonts w:hint="eastAsia"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县政府决策部署。主要职责体现在为农民工就业、创业、培训、维权的指导、服务及农民工党团组织建设等方面。</w:t>
            </w:r>
          </w:p>
        </w:tc>
      </w:tr>
      <w:tr w14:paraId="5781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40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6A414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AC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4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1B6F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1228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4D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46E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流动党组织建设</w:t>
            </w:r>
          </w:p>
        </w:tc>
        <w:tc>
          <w:tcPr>
            <w:tcW w:w="64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CECF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指导云南、重庆、广东、北京、成都、海南农民工工作站及流动党组织工作并保障其正常运转。</w:t>
            </w:r>
          </w:p>
        </w:tc>
      </w:tr>
      <w:tr w14:paraId="4918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900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1A5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开展农民工平台信息录入</w:t>
            </w:r>
          </w:p>
        </w:tc>
        <w:tc>
          <w:tcPr>
            <w:tcW w:w="64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4828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指导31个乡镇（街道）开展农民工服务平台信息录入，确保完成省事下达任务3000条目标任务。</w:t>
            </w:r>
          </w:p>
        </w:tc>
      </w:tr>
      <w:tr w14:paraId="3C13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615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E2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开展农民工平台信息录入</w:t>
            </w:r>
          </w:p>
        </w:tc>
        <w:tc>
          <w:tcPr>
            <w:tcW w:w="64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AEA4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对农民工进行技能培训和返乡入乡创业培训。</w:t>
            </w:r>
          </w:p>
        </w:tc>
      </w:tr>
      <w:tr w14:paraId="00C9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right w:val="single" w:color="000000" w:sz="4" w:space="0"/>
            </w:tcBorders>
            <w:shd w:val="clear" w:color="auto" w:fill="auto"/>
            <w:vAlign w:val="center"/>
          </w:tcPr>
          <w:p w14:paraId="2D76D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0E5BA2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7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A7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8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E9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26034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8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F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445F8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4BAEB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1447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54AF3AF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7FA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AD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4D6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完成农民工平台信息录入</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F8C1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23BC">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42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821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left w:val="single" w:color="000000" w:sz="4" w:space="0"/>
              <w:bottom w:val="single" w:color="000000" w:sz="4" w:space="0"/>
              <w:right w:val="single" w:color="000000" w:sz="4" w:space="0"/>
            </w:tcBorders>
            <w:shd w:val="clear" w:color="auto" w:fill="auto"/>
            <w:vAlign w:val="center"/>
          </w:tcPr>
          <w:p w14:paraId="07F8DBCC">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3000</w:t>
            </w:r>
          </w:p>
        </w:tc>
      </w:tr>
      <w:tr w14:paraId="1308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738A390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6903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7ED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F30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指导流动党组织建设</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8ACD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AE27">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38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008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01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0763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1C548E0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631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89A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完成农民工平台信息录入</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CD3E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EDE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6E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A07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2657">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r>
      <w:tr w14:paraId="084B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jc w:val="center"/>
        </w:trPr>
        <w:tc>
          <w:tcPr>
            <w:tcW w:w="1309" w:type="dxa"/>
            <w:vMerge w:val="continue"/>
            <w:tcBorders>
              <w:left w:val="single" w:color="000000" w:sz="4" w:space="0"/>
              <w:right w:val="single" w:color="000000" w:sz="4" w:space="0"/>
            </w:tcBorders>
            <w:shd w:val="clear" w:color="auto" w:fill="auto"/>
            <w:vAlign w:val="center"/>
          </w:tcPr>
          <w:p w14:paraId="60A0AF8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46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493" w:type="dxa"/>
            <w:tcBorders>
              <w:top w:val="single" w:color="000000" w:sz="4" w:space="0"/>
              <w:left w:val="single" w:color="000000" w:sz="4" w:space="0"/>
              <w:right w:val="single" w:color="000000" w:sz="4" w:space="0"/>
            </w:tcBorders>
            <w:shd w:val="clear" w:color="auto" w:fill="auto"/>
            <w:vAlign w:val="center"/>
          </w:tcPr>
          <w:p w14:paraId="0DEF8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673728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D86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提供农民工就业培训服务，为流动党员提供温暖之家</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9792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FE2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C4D5">
            <w:pPr>
              <w:jc w:val="left"/>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311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92C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优良</w:t>
            </w:r>
          </w:p>
        </w:tc>
      </w:tr>
      <w:tr w14:paraId="07E3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13BE826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4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89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7D7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流动党员及农民工的满意度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8E42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966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465C">
            <w:pPr>
              <w:jc w:val="left"/>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B5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19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优良</w:t>
            </w:r>
          </w:p>
        </w:tc>
      </w:tr>
      <w:tr w14:paraId="37D1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bottom w:val="single" w:color="000000" w:sz="4" w:space="0"/>
              <w:right w:val="single" w:color="000000" w:sz="4" w:space="0"/>
            </w:tcBorders>
            <w:shd w:val="clear" w:color="auto" w:fill="auto"/>
            <w:vAlign w:val="center"/>
          </w:tcPr>
          <w:p w14:paraId="2D5B8CC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EC9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成本指标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CDAD">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经济成本指标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6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保障农民工平台运转，做好农民工服务工作人员经费</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77A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5B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307</w:t>
            </w:r>
            <w:r>
              <w:rPr>
                <w:rFonts w:hint="eastAsia" w:ascii="Times New Roman" w:hAnsi="Times New Roman" w:eastAsia="宋体" w:cs="Times New Roman"/>
                <w:i w:val="0"/>
                <w:color w:val="000000"/>
                <w:kern w:val="0"/>
                <w:sz w:val="24"/>
                <w:szCs w:val="24"/>
                <w:u w:val="none"/>
                <w:lang w:val="en-US" w:eastAsia="zh-CN" w:bidi="ar"/>
              </w:rPr>
              <w:t>.30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86F0">
            <w:pPr>
              <w:keepNext w:val="0"/>
              <w:keepLines w:val="0"/>
              <w:widowControl/>
              <w:suppressLineNumbers w:val="0"/>
              <w:jc w:val="left"/>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万元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2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F3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kern w:val="0"/>
                <w:sz w:val="24"/>
                <w:szCs w:val="24"/>
                <w:u w:val="none"/>
                <w:lang w:val="en-US" w:eastAsia="zh-CN" w:bidi="ar"/>
              </w:rPr>
              <w:t>307</w:t>
            </w:r>
            <w:r>
              <w:rPr>
                <w:rFonts w:hint="eastAsia" w:ascii="Times New Roman" w:hAnsi="Times New Roman" w:eastAsia="宋体" w:cs="Times New Roman"/>
                <w:i w:val="0"/>
                <w:color w:val="000000"/>
                <w:kern w:val="0"/>
                <w:sz w:val="24"/>
                <w:szCs w:val="24"/>
                <w:u w:val="none"/>
                <w:lang w:val="en-US" w:eastAsia="zh-CN" w:bidi="ar"/>
              </w:rPr>
              <w:t>.30</w:t>
            </w:r>
          </w:p>
        </w:tc>
      </w:tr>
    </w:tbl>
    <w:p w14:paraId="6E1A9A90">
      <w:pPr>
        <w:widowControl/>
        <w:adjustRightInd w:val="0"/>
        <w:snapToGrid w:val="0"/>
        <w:spacing w:line="580" w:lineRule="exact"/>
        <w:ind w:firstLine="3465" w:firstLineChars="1650"/>
        <w:contextualSpacing/>
        <w:jc w:val="left"/>
        <w:rPr>
          <w:rFonts w:hint="default" w:ascii="Times New Roman" w:hAnsi="Times New Roman" w:cs="Times New Roman"/>
          <w:color w:val="000000"/>
          <w:kern w:val="0"/>
          <w:shd w:val="clear" w:color="auto" w:fill="FFFFFF"/>
          <w:lang w:val="zh-CN"/>
        </w:rPr>
      </w:pPr>
    </w:p>
    <w:p w14:paraId="16E00C7C">
      <w:pPr>
        <w:widowControl/>
        <w:adjustRightInd w:val="0"/>
        <w:snapToGrid w:val="0"/>
        <w:spacing w:line="580" w:lineRule="exact"/>
        <w:ind w:firstLine="3465" w:firstLineChars="1650"/>
        <w:contextualSpacing/>
        <w:jc w:val="left"/>
        <w:rPr>
          <w:rFonts w:hint="default" w:ascii="Times New Roman" w:hAnsi="Times New Roman" w:cs="Times New Roman"/>
          <w:color w:val="000000"/>
          <w:kern w:val="0"/>
          <w:shd w:val="clear" w:color="auto" w:fill="FFFFFF"/>
          <w:lang w:val="zh-CN"/>
        </w:rPr>
      </w:pPr>
    </w:p>
    <w:p w14:paraId="7E7FC24F">
      <w:pPr>
        <w:keepNext w:val="0"/>
        <w:keepLines w:val="0"/>
        <w:pageBreakBefore w:val="0"/>
        <w:kinsoku/>
        <w:wordWrap/>
        <w:overflowPunct/>
        <w:topLinePunct w:val="0"/>
        <w:autoSpaceDE/>
        <w:autoSpaceDN/>
        <w:bidi w:val="0"/>
        <w:spacing w:line="578" w:lineRule="exact"/>
        <w:ind w:firstLine="420" w:firstLineChars="200"/>
        <w:textAlignment w:val="auto"/>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cs="Times New Roman"/>
          <w:color w:val="000000"/>
          <w:kern w:val="0"/>
          <w:szCs w:val="32"/>
          <w:highlight w:val="none"/>
          <w:shd w:val="clear" w:color="auto" w:fill="FFFFFF"/>
          <w:lang w:val="en-US" w:eastAsia="zh-CN"/>
        </w:rPr>
        <w:br w:type="page"/>
      </w:r>
    </w:p>
    <w:p w14:paraId="14BA53C4">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附件2</w:t>
      </w:r>
    </w:p>
    <w:tbl>
      <w:tblPr>
        <w:tblStyle w:val="14"/>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55"/>
        <w:gridCol w:w="766"/>
        <w:gridCol w:w="1730"/>
        <w:gridCol w:w="499"/>
        <w:gridCol w:w="876"/>
        <w:gridCol w:w="986"/>
        <w:gridCol w:w="546"/>
        <w:gridCol w:w="547"/>
        <w:gridCol w:w="1215"/>
      </w:tblGrid>
      <w:tr w14:paraId="64BD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0" w:hRule="atLeast"/>
        </w:trPr>
        <w:tc>
          <w:tcPr>
            <w:tcW w:w="89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4F5EF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53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B4A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项目名称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1272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51172422T000007386388-拍摄农民工返乡创业故事工作经费</w:t>
            </w:r>
          </w:p>
        </w:tc>
      </w:tr>
      <w:tr w14:paraId="4428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D8D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主管部门</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889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大竹县农民工服务中心部门</w:t>
            </w:r>
          </w:p>
        </w:tc>
        <w:tc>
          <w:tcPr>
            <w:tcW w:w="910" w:type="dxa"/>
            <w:tcBorders>
              <w:top w:val="nil"/>
              <w:left w:val="nil"/>
              <w:bottom w:val="nil"/>
              <w:right w:val="nil"/>
            </w:tcBorders>
            <w:shd w:val="clear" w:color="auto" w:fill="auto"/>
            <w:vAlign w:val="center"/>
          </w:tcPr>
          <w:p w14:paraId="03EBD5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实施单位 （盖章）</w:t>
            </w:r>
          </w:p>
        </w:tc>
        <w:tc>
          <w:tcPr>
            <w:tcW w:w="2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5BA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w:t>
            </w:r>
          </w:p>
        </w:tc>
      </w:tr>
      <w:tr w14:paraId="71A7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741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项目基本情况</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56D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1.项目年度目标完成情况</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F0F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项目年度目标</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117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年度目标完成情况</w:t>
            </w:r>
          </w:p>
        </w:tc>
      </w:tr>
      <w:tr w14:paraId="4BDF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1B8E">
            <w:pPr>
              <w:rPr>
                <w:rFonts w:hint="eastAsia" w:asciiTheme="minorEastAsia" w:hAnsiTheme="minorEastAsia" w:eastAsiaTheme="minorEastAsia" w:cstheme="minorEastAsia"/>
                <w:b w:val="0"/>
                <w:bCs w:val="0"/>
                <w:i w:val="0"/>
                <w:iCs w:val="0"/>
                <w:color w:val="000000"/>
                <w:sz w:val="22"/>
                <w:szCs w:val="22"/>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E83B5">
            <w:pPr>
              <w:rPr>
                <w:rFonts w:hint="eastAsia" w:asciiTheme="minorEastAsia" w:hAnsiTheme="minorEastAsia" w:eastAsiaTheme="minorEastAsia" w:cstheme="minorEastAsia"/>
                <w:b w:val="0"/>
                <w:bCs w:val="0"/>
                <w:i w:val="0"/>
                <w:iCs w:val="0"/>
                <w:color w:val="000000"/>
                <w:sz w:val="22"/>
                <w:szCs w:val="22"/>
                <w:u w:val="none"/>
              </w:rPr>
            </w:pP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FCDE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对返乡创业农民工的优秀事迹进行宣传</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A95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已完成对李丙见、李忠杰、邱明权等3人返乡创业农民工优秀事迹的拍摄、制作并发表</w:t>
            </w:r>
          </w:p>
        </w:tc>
      </w:tr>
      <w:tr w14:paraId="435C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E720">
            <w:pP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04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2.项目实施内容及过程概述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0257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通过询价方式确定四川海驿实业有限公司对李丙见、李忠杰、邱明权等3人返乡创业农民工优秀事迹进行拍摄、制作并发表。</w:t>
            </w:r>
          </w:p>
        </w:tc>
      </w:tr>
      <w:tr w14:paraId="7309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E96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预算执行情况（10分）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66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年度预算数（万元）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D0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年初预算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调整后预算数</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E1E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0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A1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4E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A7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原因</w:t>
            </w:r>
          </w:p>
        </w:tc>
      </w:tr>
      <w:tr w14:paraId="79F9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DB8A">
            <w:pPr>
              <w:jc w:val="cente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53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总额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5A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2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F5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FB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05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24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1419D">
            <w:pPr>
              <w:keepNext w:val="0"/>
              <w:keepLines w:val="0"/>
              <w:widowControl/>
              <w:suppressLineNumbers w:val="0"/>
              <w:jc w:val="left"/>
              <w:textAlignment w:val="center"/>
              <w:rPr>
                <w:rFonts w:hint="eastAsia" w:asciiTheme="minorEastAsia" w:hAnsiTheme="minorEastAsia" w:eastAsiaTheme="minorEastAsia" w:cstheme="minorEastAsia"/>
                <w:b w:val="0"/>
                <w:bCs w:val="0"/>
                <w:i/>
                <w:iCs/>
                <w:color w:val="000000"/>
                <w:sz w:val="22"/>
                <w:szCs w:val="22"/>
                <w:u w:val="none"/>
              </w:rPr>
            </w:pPr>
            <w:r>
              <w:rPr>
                <w:rFonts w:hint="eastAsia" w:asciiTheme="minorEastAsia" w:hAnsiTheme="minorEastAsia" w:eastAsiaTheme="minorEastAsia" w:cstheme="minorEastAsia"/>
                <w:b w:val="0"/>
                <w:bCs w:val="0"/>
                <w:i/>
                <w:iCs/>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920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6A75">
            <w:pPr>
              <w:jc w:val="cente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A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其中：财政资金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77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23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D49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18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91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2C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4610">
            <w:pPr>
              <w:rPr>
                <w:rFonts w:hint="eastAsia" w:asciiTheme="minorEastAsia" w:hAnsiTheme="minorEastAsia" w:eastAsiaTheme="minorEastAsia" w:cstheme="minorEastAsia"/>
                <w:b w:val="0"/>
                <w:bCs w:val="0"/>
                <w:i/>
                <w:iCs/>
                <w:color w:val="000000"/>
                <w:sz w:val="22"/>
                <w:szCs w:val="22"/>
                <w:u w:val="none"/>
              </w:rPr>
            </w:pPr>
          </w:p>
        </w:tc>
      </w:tr>
      <w:tr w14:paraId="6859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DF5C5">
            <w:pPr>
              <w:jc w:val="cente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73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0B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AA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DA6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7E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D9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C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6EFF3">
            <w:pPr>
              <w:rPr>
                <w:rFonts w:hint="eastAsia" w:asciiTheme="minorEastAsia" w:hAnsiTheme="minorEastAsia" w:eastAsiaTheme="minorEastAsia" w:cstheme="minorEastAsia"/>
                <w:b w:val="0"/>
                <w:bCs w:val="0"/>
                <w:i/>
                <w:iCs/>
                <w:color w:val="000000"/>
                <w:sz w:val="22"/>
                <w:szCs w:val="22"/>
                <w:u w:val="none"/>
              </w:rPr>
            </w:pPr>
          </w:p>
        </w:tc>
      </w:tr>
      <w:tr w14:paraId="5C07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FBF2">
            <w:pPr>
              <w:jc w:val="cente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77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8C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BB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4A3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ED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EF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C5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AE399">
            <w:pPr>
              <w:rPr>
                <w:rFonts w:hint="eastAsia" w:asciiTheme="minorEastAsia" w:hAnsiTheme="minorEastAsia" w:eastAsiaTheme="minorEastAsia" w:cstheme="minorEastAsia"/>
                <w:b w:val="0"/>
                <w:bCs w:val="0"/>
                <w:i/>
                <w:iCs/>
                <w:color w:val="000000"/>
                <w:sz w:val="22"/>
                <w:szCs w:val="22"/>
                <w:u w:val="none"/>
              </w:rPr>
            </w:pPr>
          </w:p>
        </w:tc>
      </w:tr>
      <w:tr w14:paraId="4C7D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54E0">
            <w:pPr>
              <w:jc w:val="cente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E1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257">
            <w:pPr>
              <w:jc w:val="center"/>
              <w:rPr>
                <w:rFonts w:hint="eastAsia" w:asciiTheme="minorEastAsia" w:hAnsiTheme="minorEastAsia" w:eastAsiaTheme="minorEastAsia" w:cstheme="minorEastAsia"/>
                <w:b w:val="0"/>
                <w:bCs w:val="0"/>
                <w:i/>
                <w:iCs/>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BC8A">
            <w:pPr>
              <w:jc w:val="center"/>
              <w:rPr>
                <w:rFonts w:hint="eastAsia" w:asciiTheme="minorEastAsia" w:hAnsiTheme="minorEastAsia" w:eastAsiaTheme="minorEastAsia" w:cstheme="minorEastAsia"/>
                <w:b w:val="0"/>
                <w:bCs w:val="0"/>
                <w:i/>
                <w:iCs/>
                <w:color w:val="000000"/>
                <w:sz w:val="22"/>
                <w:szCs w:val="22"/>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0B513">
            <w:pPr>
              <w:jc w:val="center"/>
              <w:rPr>
                <w:rFonts w:hint="eastAsia" w:asciiTheme="minorEastAsia" w:hAnsiTheme="minorEastAsia" w:eastAsiaTheme="minorEastAsia" w:cstheme="minorEastAsia"/>
                <w:b w:val="0"/>
                <w:bCs w:val="0"/>
                <w:i/>
                <w:iCs/>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1AA">
            <w:pPr>
              <w:jc w:val="center"/>
              <w:rPr>
                <w:rFonts w:hint="eastAsia" w:asciiTheme="minorEastAsia" w:hAnsiTheme="minorEastAsia" w:eastAsiaTheme="minorEastAsia" w:cstheme="minorEastAsia"/>
                <w:b w:val="0"/>
                <w:bCs w:val="0"/>
                <w:i/>
                <w:iCs/>
                <w:color w:val="000000"/>
                <w:sz w:val="22"/>
                <w:szCs w:val="22"/>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0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17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652C">
            <w:pPr>
              <w:rPr>
                <w:rFonts w:hint="eastAsia" w:asciiTheme="minorEastAsia" w:hAnsiTheme="minorEastAsia" w:eastAsiaTheme="minorEastAsia" w:cstheme="minorEastAsia"/>
                <w:b w:val="0"/>
                <w:bCs w:val="0"/>
                <w:i/>
                <w:iCs/>
                <w:color w:val="000000"/>
                <w:sz w:val="22"/>
                <w:szCs w:val="22"/>
                <w:u w:val="none"/>
              </w:rPr>
            </w:pPr>
          </w:p>
        </w:tc>
      </w:tr>
      <w:tr w14:paraId="2057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840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绩效指标（90分）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E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3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92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三级指标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99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指标性质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80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34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完成值</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9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E9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未完成原因分析</w:t>
            </w:r>
          </w:p>
        </w:tc>
      </w:tr>
      <w:tr w14:paraId="129B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F7398">
            <w:pPr>
              <w:jc w:val="cente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F9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产出指标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C7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1F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拍摄3-4个返乡创业农民工的优秀事迹进行宣传</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2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03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2EB">
            <w:pPr>
              <w:keepNext w:val="0"/>
              <w:keepLines w:val="0"/>
              <w:widowControl/>
              <w:suppressLineNumbers w:val="0"/>
              <w:jc w:val="center"/>
              <w:textAlignment w:val="center"/>
              <w:rPr>
                <w:rFonts w:hint="eastAsia" w:asciiTheme="minorEastAsia" w:hAnsiTheme="minorEastAsia" w:eastAsiaTheme="minorEastAsia" w:cstheme="minorEastAsia"/>
                <w:b w:val="0"/>
                <w:bCs w:val="0"/>
                <w:i/>
                <w:iCs/>
                <w:color w:val="000000"/>
                <w:sz w:val="22"/>
                <w:szCs w:val="22"/>
                <w:u w:val="none"/>
              </w:rPr>
            </w:pPr>
            <w:r>
              <w:rPr>
                <w:rFonts w:hint="eastAsia" w:asciiTheme="minorEastAsia" w:hAnsiTheme="minorEastAsia" w:eastAsiaTheme="minorEastAsia" w:cstheme="minorEastAsia"/>
                <w:b w:val="0"/>
                <w:bCs w:val="0"/>
                <w:i/>
                <w:iCs/>
                <w:color w:val="000000"/>
                <w:kern w:val="0"/>
                <w:sz w:val="22"/>
                <w:szCs w:val="22"/>
                <w:u w:val="none"/>
                <w:lang w:val="en-US" w:eastAsia="zh-CN" w:bidi="ar"/>
              </w:rPr>
              <w:t>95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91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1F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9EC9">
            <w:pPr>
              <w:jc w:val="center"/>
              <w:rPr>
                <w:rFonts w:hint="eastAsia" w:asciiTheme="minorEastAsia" w:hAnsiTheme="minorEastAsia" w:eastAsiaTheme="minorEastAsia" w:cstheme="minorEastAsia"/>
                <w:b w:val="0"/>
                <w:bCs w:val="0"/>
                <w:i/>
                <w:iCs/>
                <w:color w:val="000000"/>
                <w:sz w:val="22"/>
                <w:szCs w:val="22"/>
                <w:u w:val="none"/>
              </w:rPr>
            </w:pPr>
          </w:p>
        </w:tc>
      </w:tr>
      <w:tr w14:paraId="3A96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65D6">
            <w:pPr>
              <w:jc w:val="center"/>
              <w:rPr>
                <w:rFonts w:hint="eastAsia" w:asciiTheme="minorEastAsia" w:hAnsiTheme="minorEastAsia" w:eastAsiaTheme="minorEastAsia" w:cstheme="minorEastAsia"/>
                <w:b w:val="0"/>
                <w:bCs w:val="0"/>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46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E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57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助力乡村振兴，激发社会创业创新潜能。</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A3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1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F631">
            <w:pPr>
              <w:keepNext w:val="0"/>
              <w:keepLines w:val="0"/>
              <w:widowControl/>
              <w:suppressLineNumbers w:val="0"/>
              <w:jc w:val="center"/>
              <w:textAlignment w:val="center"/>
              <w:rPr>
                <w:rFonts w:hint="eastAsia" w:asciiTheme="minorEastAsia" w:hAnsiTheme="minorEastAsia" w:eastAsiaTheme="minorEastAsia" w:cstheme="minorEastAsia"/>
                <w:b w:val="0"/>
                <w:bCs w:val="0"/>
                <w:i/>
                <w:iCs/>
                <w:color w:val="000000"/>
                <w:sz w:val="22"/>
                <w:szCs w:val="22"/>
                <w:u w:val="none"/>
              </w:rPr>
            </w:pPr>
            <w:r>
              <w:rPr>
                <w:rFonts w:hint="eastAsia" w:asciiTheme="minorEastAsia" w:hAnsiTheme="minorEastAsia" w:eastAsiaTheme="minorEastAsia" w:cstheme="minorEastAsia"/>
                <w:b w:val="0"/>
                <w:bCs w:val="0"/>
                <w:i/>
                <w:iCs/>
                <w:color w:val="000000"/>
                <w:kern w:val="0"/>
                <w:sz w:val="22"/>
                <w:szCs w:val="22"/>
                <w:u w:val="none"/>
                <w:lang w:val="en-US" w:eastAsia="zh-CN" w:bidi="ar"/>
              </w:rPr>
              <w:t>95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A1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36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7F6E">
            <w:pPr>
              <w:jc w:val="center"/>
              <w:rPr>
                <w:rFonts w:hint="eastAsia" w:asciiTheme="minorEastAsia" w:hAnsiTheme="minorEastAsia" w:eastAsiaTheme="minorEastAsia" w:cstheme="minorEastAsia"/>
                <w:b w:val="0"/>
                <w:bCs w:val="0"/>
                <w:i/>
                <w:iCs/>
                <w:color w:val="000000"/>
                <w:sz w:val="22"/>
                <w:szCs w:val="22"/>
                <w:u w:val="none"/>
              </w:rPr>
            </w:pPr>
          </w:p>
        </w:tc>
      </w:tr>
      <w:tr w14:paraId="399C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DCF6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EC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00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0F7C">
            <w:pPr>
              <w:rPr>
                <w:rFonts w:hint="eastAsia" w:asciiTheme="minorEastAsia" w:hAnsiTheme="minorEastAsia" w:eastAsiaTheme="minorEastAsia" w:cstheme="minorEastAsia"/>
                <w:b w:val="0"/>
                <w:bCs w:val="0"/>
                <w:i w:val="0"/>
                <w:iCs w:val="0"/>
                <w:color w:val="000000"/>
                <w:sz w:val="22"/>
                <w:szCs w:val="22"/>
                <w:u w:val="none"/>
              </w:rPr>
            </w:pPr>
          </w:p>
        </w:tc>
      </w:tr>
      <w:tr w14:paraId="2506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0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评价结论</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1546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已完成对李丙见、李忠杰、邱明权等3人返乡创业农民工优秀事迹的拍摄、制作并发表，助力了乡村振兴，激发了社会创业创新潜能。该项目总分100分，通过自评，自评得分100分。</w:t>
            </w:r>
          </w:p>
        </w:tc>
      </w:tr>
      <w:tr w14:paraId="4372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0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存在问题</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93E474">
            <w:pPr>
              <w:keepNext w:val="0"/>
              <w:keepLines w:val="0"/>
              <w:widowControl/>
              <w:suppressLineNumbers w:val="0"/>
              <w:jc w:val="left"/>
              <w:textAlignment w:val="center"/>
              <w:rPr>
                <w:rFonts w:hint="eastAsia" w:asciiTheme="minorEastAsia" w:hAnsiTheme="minorEastAsia" w:eastAsiaTheme="minorEastAsia" w:cstheme="minorEastAsia"/>
                <w:b w:val="0"/>
                <w:bCs w:val="0"/>
                <w:i/>
                <w:iCs/>
                <w:color w:val="000000"/>
                <w:sz w:val="22"/>
                <w:szCs w:val="22"/>
                <w:u w:val="none"/>
              </w:rPr>
            </w:pPr>
            <w:r>
              <w:rPr>
                <w:rFonts w:hint="eastAsia" w:asciiTheme="minorEastAsia" w:hAnsiTheme="minorEastAsia" w:eastAsiaTheme="minorEastAsia" w:cstheme="minorEastAsia"/>
                <w:b w:val="0"/>
                <w:bCs w:val="0"/>
                <w:i/>
                <w:iCs/>
                <w:color w:val="000000"/>
                <w:kern w:val="0"/>
                <w:sz w:val="22"/>
                <w:szCs w:val="22"/>
                <w:u w:val="none"/>
                <w:lang w:val="en-US" w:eastAsia="zh-CN" w:bidi="ar"/>
              </w:rPr>
              <w:t>无</w:t>
            </w:r>
          </w:p>
        </w:tc>
      </w:tr>
      <w:tr w14:paraId="4490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DB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改进措施</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999088">
            <w:pPr>
              <w:keepNext w:val="0"/>
              <w:keepLines w:val="0"/>
              <w:widowControl/>
              <w:suppressLineNumbers w:val="0"/>
              <w:jc w:val="left"/>
              <w:textAlignment w:val="center"/>
              <w:rPr>
                <w:rFonts w:hint="eastAsia" w:asciiTheme="minorEastAsia" w:hAnsiTheme="minorEastAsia" w:eastAsiaTheme="minorEastAsia" w:cstheme="minorEastAsia"/>
                <w:b w:val="0"/>
                <w:bCs w:val="0"/>
                <w:i/>
                <w:iCs/>
                <w:color w:val="000000"/>
                <w:sz w:val="22"/>
                <w:szCs w:val="22"/>
                <w:u w:val="none"/>
              </w:rPr>
            </w:pPr>
            <w:r>
              <w:rPr>
                <w:rFonts w:hint="eastAsia" w:asciiTheme="minorEastAsia" w:hAnsiTheme="minorEastAsia" w:eastAsiaTheme="minorEastAsia" w:cstheme="minorEastAsia"/>
                <w:b w:val="0"/>
                <w:bCs w:val="0"/>
                <w:i/>
                <w:iCs/>
                <w:color w:val="000000"/>
                <w:kern w:val="0"/>
                <w:sz w:val="22"/>
                <w:szCs w:val="22"/>
                <w:u w:val="none"/>
                <w:lang w:val="en-US" w:eastAsia="zh-CN" w:bidi="ar"/>
              </w:rPr>
              <w:t>无</w:t>
            </w:r>
          </w:p>
        </w:tc>
      </w:tr>
      <w:tr w14:paraId="047C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44E8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项目负责人：谢维</w:t>
            </w:r>
          </w:p>
        </w:tc>
        <w:tc>
          <w:tcPr>
            <w:tcW w:w="4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EA7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财务负责人：冷琳琳</w:t>
            </w:r>
          </w:p>
        </w:tc>
      </w:tr>
      <w:tr w14:paraId="5EC7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4" w:hRule="atLeast"/>
        </w:trPr>
        <w:tc>
          <w:tcPr>
            <w:tcW w:w="729" w:type="dxa"/>
            <w:tcBorders>
              <w:top w:val="nil"/>
              <w:left w:val="nil"/>
              <w:bottom w:val="nil"/>
              <w:right w:val="nil"/>
            </w:tcBorders>
            <w:shd w:val="clear" w:color="auto" w:fill="auto"/>
            <w:vAlign w:val="center"/>
          </w:tcPr>
          <w:p w14:paraId="3B9EEBAD">
            <w:pPr>
              <w:rPr>
                <w:rFonts w:hint="eastAsia" w:ascii="宋体" w:hAnsi="宋体" w:eastAsia="宋体" w:cs="宋体"/>
                <w:i w:val="0"/>
                <w:iCs w:val="0"/>
                <w:color w:val="000000"/>
                <w:sz w:val="18"/>
                <w:szCs w:val="18"/>
                <w:u w:val="none"/>
              </w:rPr>
            </w:pPr>
          </w:p>
        </w:tc>
        <w:tc>
          <w:tcPr>
            <w:tcW w:w="1109" w:type="dxa"/>
            <w:tcBorders>
              <w:top w:val="nil"/>
              <w:left w:val="nil"/>
              <w:bottom w:val="nil"/>
              <w:right w:val="nil"/>
            </w:tcBorders>
            <w:shd w:val="clear" w:color="auto" w:fill="auto"/>
            <w:vAlign w:val="center"/>
          </w:tcPr>
          <w:p w14:paraId="19F36810">
            <w:pPr>
              <w:rPr>
                <w:rFonts w:hint="eastAsia" w:ascii="宋体" w:hAnsi="宋体" w:eastAsia="宋体" w:cs="宋体"/>
                <w:i w:val="0"/>
                <w:iCs w:val="0"/>
                <w:color w:val="000000"/>
                <w:sz w:val="18"/>
                <w:szCs w:val="18"/>
                <w:u w:val="none"/>
              </w:rPr>
            </w:pPr>
          </w:p>
          <w:p w14:paraId="137EE0BB">
            <w:pPr>
              <w:rPr>
                <w:rFonts w:hint="eastAsia" w:ascii="宋体" w:hAnsi="宋体" w:eastAsia="宋体" w:cs="宋体"/>
                <w:i w:val="0"/>
                <w:iCs w:val="0"/>
                <w:color w:val="000000"/>
                <w:sz w:val="18"/>
                <w:szCs w:val="18"/>
                <w:u w:val="none"/>
              </w:rPr>
            </w:pPr>
          </w:p>
          <w:p w14:paraId="0920550C">
            <w:pPr>
              <w:rPr>
                <w:rFonts w:hint="eastAsia" w:ascii="宋体" w:hAnsi="宋体" w:eastAsia="宋体" w:cs="宋体"/>
                <w:i w:val="0"/>
                <w:iCs w:val="0"/>
                <w:color w:val="000000"/>
                <w:sz w:val="18"/>
                <w:szCs w:val="18"/>
                <w:u w:val="none"/>
              </w:rPr>
            </w:pPr>
          </w:p>
          <w:p w14:paraId="374CAAE8">
            <w:pPr>
              <w:rPr>
                <w:rFonts w:hint="eastAsia" w:ascii="宋体" w:hAnsi="宋体" w:eastAsia="宋体" w:cs="宋体"/>
                <w:i w:val="0"/>
                <w:iCs w:val="0"/>
                <w:color w:val="000000"/>
                <w:sz w:val="18"/>
                <w:szCs w:val="18"/>
                <w:u w:val="none"/>
              </w:rPr>
            </w:pPr>
          </w:p>
          <w:p w14:paraId="2EB0C861">
            <w:pPr>
              <w:rPr>
                <w:rFonts w:hint="eastAsia" w:ascii="宋体" w:hAnsi="宋体" w:eastAsia="宋体" w:cs="宋体"/>
                <w:i w:val="0"/>
                <w:iCs w:val="0"/>
                <w:color w:val="000000"/>
                <w:sz w:val="18"/>
                <w:szCs w:val="18"/>
                <w:u w:val="none"/>
              </w:rPr>
            </w:pPr>
          </w:p>
          <w:p w14:paraId="31597342">
            <w:pPr>
              <w:rPr>
                <w:rFonts w:hint="eastAsia" w:ascii="宋体" w:hAnsi="宋体" w:eastAsia="宋体" w:cs="宋体"/>
                <w:i w:val="0"/>
                <w:iCs w:val="0"/>
                <w:color w:val="000000"/>
                <w:sz w:val="18"/>
                <w:szCs w:val="18"/>
                <w:u w:val="none"/>
              </w:rPr>
            </w:pPr>
          </w:p>
          <w:p w14:paraId="4EDE9D75">
            <w:pPr>
              <w:rPr>
                <w:rFonts w:hint="eastAsia" w:ascii="宋体" w:hAnsi="宋体" w:eastAsia="宋体" w:cs="宋体"/>
                <w:i w:val="0"/>
                <w:iCs w:val="0"/>
                <w:color w:val="000000"/>
                <w:sz w:val="18"/>
                <w:szCs w:val="18"/>
                <w:u w:val="none"/>
              </w:rPr>
            </w:pPr>
          </w:p>
          <w:p w14:paraId="16469AFE">
            <w:pPr>
              <w:rPr>
                <w:rFonts w:hint="eastAsia" w:ascii="宋体" w:hAnsi="宋体" w:eastAsia="宋体" w:cs="宋体"/>
                <w:i w:val="0"/>
                <w:iCs w:val="0"/>
                <w:color w:val="000000"/>
                <w:sz w:val="18"/>
                <w:szCs w:val="18"/>
                <w:u w:val="none"/>
              </w:rPr>
            </w:pPr>
          </w:p>
          <w:p w14:paraId="572C6890">
            <w:pPr>
              <w:rPr>
                <w:rFonts w:hint="eastAsia" w:ascii="宋体" w:hAnsi="宋体" w:eastAsia="宋体" w:cs="宋体"/>
                <w:i w:val="0"/>
                <w:iCs w:val="0"/>
                <w:color w:val="000000"/>
                <w:sz w:val="18"/>
                <w:szCs w:val="18"/>
                <w:u w:val="none"/>
              </w:rPr>
            </w:pPr>
          </w:p>
          <w:p w14:paraId="38CD7F83">
            <w:pPr>
              <w:rPr>
                <w:rFonts w:hint="eastAsia" w:ascii="宋体" w:hAnsi="宋体" w:eastAsia="宋体" w:cs="宋体"/>
                <w:i w:val="0"/>
                <w:iCs w:val="0"/>
                <w:color w:val="000000"/>
                <w:sz w:val="18"/>
                <w:szCs w:val="18"/>
                <w:u w:val="none"/>
              </w:rPr>
            </w:pPr>
          </w:p>
          <w:p w14:paraId="25583E90">
            <w:pPr>
              <w:rPr>
                <w:rFonts w:hint="eastAsia" w:ascii="宋体" w:hAnsi="宋体" w:eastAsia="宋体" w:cs="宋体"/>
                <w:i w:val="0"/>
                <w:iCs w:val="0"/>
                <w:color w:val="000000"/>
                <w:sz w:val="18"/>
                <w:szCs w:val="18"/>
                <w:u w:val="none"/>
              </w:rPr>
            </w:pPr>
          </w:p>
          <w:p w14:paraId="57CFDE6D">
            <w:pPr>
              <w:rPr>
                <w:rFonts w:hint="eastAsia" w:ascii="宋体" w:hAnsi="宋体" w:eastAsia="宋体" w:cs="宋体"/>
                <w:i w:val="0"/>
                <w:iCs w:val="0"/>
                <w:color w:val="000000"/>
                <w:sz w:val="18"/>
                <w:szCs w:val="18"/>
                <w:u w:val="none"/>
              </w:rPr>
            </w:pPr>
          </w:p>
          <w:p w14:paraId="6423A9C8">
            <w:pPr>
              <w:rPr>
                <w:rFonts w:hint="eastAsia" w:ascii="宋体" w:hAnsi="宋体" w:eastAsia="宋体" w:cs="宋体"/>
                <w:i w:val="0"/>
                <w:iCs w:val="0"/>
                <w:color w:val="000000"/>
                <w:sz w:val="18"/>
                <w:szCs w:val="18"/>
                <w:u w:val="none"/>
              </w:rPr>
            </w:pPr>
          </w:p>
          <w:p w14:paraId="2CEFC886">
            <w:pPr>
              <w:rPr>
                <w:rFonts w:hint="eastAsia" w:ascii="宋体" w:hAnsi="宋体" w:eastAsia="宋体" w:cs="宋体"/>
                <w:i w:val="0"/>
                <w:iCs w:val="0"/>
                <w:color w:val="000000"/>
                <w:sz w:val="18"/>
                <w:szCs w:val="18"/>
                <w:u w:val="none"/>
              </w:rPr>
            </w:pPr>
          </w:p>
          <w:p w14:paraId="0974C447">
            <w:pPr>
              <w:rPr>
                <w:rFonts w:hint="eastAsia" w:ascii="宋体" w:hAnsi="宋体" w:eastAsia="宋体" w:cs="宋体"/>
                <w:i w:val="0"/>
                <w:iCs w:val="0"/>
                <w:color w:val="000000"/>
                <w:sz w:val="18"/>
                <w:szCs w:val="18"/>
                <w:u w:val="none"/>
              </w:rPr>
            </w:pPr>
          </w:p>
          <w:p w14:paraId="15453FAD">
            <w:pPr>
              <w:rPr>
                <w:rFonts w:hint="eastAsia" w:ascii="宋体" w:hAnsi="宋体" w:eastAsia="宋体" w:cs="宋体"/>
                <w:i w:val="0"/>
                <w:iCs w:val="0"/>
                <w:color w:val="000000"/>
                <w:sz w:val="18"/>
                <w:szCs w:val="18"/>
                <w:u w:val="none"/>
              </w:rPr>
            </w:pPr>
          </w:p>
          <w:p w14:paraId="3F6CAFB0">
            <w:pPr>
              <w:rPr>
                <w:rFonts w:hint="eastAsia" w:ascii="宋体" w:hAnsi="宋体" w:eastAsia="宋体" w:cs="宋体"/>
                <w:i w:val="0"/>
                <w:iCs w:val="0"/>
                <w:color w:val="000000"/>
                <w:sz w:val="18"/>
                <w:szCs w:val="18"/>
                <w:u w:val="none"/>
              </w:rPr>
            </w:pPr>
          </w:p>
        </w:tc>
        <w:tc>
          <w:tcPr>
            <w:tcW w:w="716" w:type="dxa"/>
            <w:tcBorders>
              <w:top w:val="nil"/>
              <w:left w:val="nil"/>
              <w:bottom w:val="nil"/>
              <w:right w:val="nil"/>
            </w:tcBorders>
            <w:shd w:val="clear" w:color="auto" w:fill="auto"/>
            <w:vAlign w:val="center"/>
          </w:tcPr>
          <w:p w14:paraId="16B1DDF5">
            <w:pPr>
              <w:rPr>
                <w:rFonts w:hint="eastAsia" w:ascii="宋体" w:hAnsi="宋体" w:eastAsia="宋体" w:cs="宋体"/>
                <w:i w:val="0"/>
                <w:iCs w:val="0"/>
                <w:color w:val="000000"/>
                <w:sz w:val="18"/>
                <w:szCs w:val="18"/>
                <w:u w:val="none"/>
              </w:rPr>
            </w:pPr>
          </w:p>
        </w:tc>
        <w:tc>
          <w:tcPr>
            <w:tcW w:w="1860" w:type="dxa"/>
            <w:tcBorders>
              <w:top w:val="nil"/>
              <w:left w:val="nil"/>
              <w:bottom w:val="nil"/>
              <w:right w:val="nil"/>
            </w:tcBorders>
            <w:shd w:val="clear" w:color="auto" w:fill="auto"/>
            <w:vAlign w:val="center"/>
          </w:tcPr>
          <w:p w14:paraId="49B20457">
            <w:pPr>
              <w:rPr>
                <w:rFonts w:hint="eastAsia" w:ascii="宋体" w:hAnsi="宋体" w:eastAsia="宋体" w:cs="宋体"/>
                <w:i w:val="0"/>
                <w:iCs w:val="0"/>
                <w:color w:val="000000"/>
                <w:sz w:val="18"/>
                <w:szCs w:val="18"/>
                <w:u w:val="none"/>
              </w:rPr>
            </w:pPr>
          </w:p>
          <w:p w14:paraId="3DC4F2B4">
            <w:pPr>
              <w:rPr>
                <w:rFonts w:hint="eastAsia" w:ascii="宋体" w:hAnsi="宋体" w:eastAsia="宋体" w:cs="宋体"/>
                <w:i w:val="0"/>
                <w:iCs w:val="0"/>
                <w:color w:val="000000"/>
                <w:sz w:val="18"/>
                <w:szCs w:val="18"/>
                <w:u w:val="none"/>
              </w:rPr>
            </w:pPr>
          </w:p>
          <w:p w14:paraId="3B9FB422">
            <w:pPr>
              <w:rPr>
                <w:rFonts w:hint="eastAsia" w:ascii="宋体" w:hAnsi="宋体" w:eastAsia="宋体" w:cs="宋体"/>
                <w:i w:val="0"/>
                <w:iCs w:val="0"/>
                <w:color w:val="000000"/>
                <w:sz w:val="18"/>
                <w:szCs w:val="18"/>
                <w:u w:val="none"/>
              </w:rPr>
            </w:pPr>
          </w:p>
          <w:p w14:paraId="7D68251F">
            <w:pPr>
              <w:rPr>
                <w:rFonts w:hint="eastAsia" w:ascii="宋体" w:hAnsi="宋体" w:eastAsia="宋体" w:cs="宋体"/>
                <w:i w:val="0"/>
                <w:iCs w:val="0"/>
                <w:color w:val="000000"/>
                <w:sz w:val="18"/>
                <w:szCs w:val="18"/>
                <w:u w:val="none"/>
              </w:rPr>
            </w:pPr>
          </w:p>
          <w:p w14:paraId="0E1421D7">
            <w:pPr>
              <w:rPr>
                <w:rFonts w:hint="eastAsia" w:ascii="宋体" w:hAnsi="宋体" w:eastAsia="宋体" w:cs="宋体"/>
                <w:i w:val="0"/>
                <w:iCs w:val="0"/>
                <w:color w:val="000000"/>
                <w:sz w:val="18"/>
                <w:szCs w:val="18"/>
                <w:u w:val="none"/>
              </w:rPr>
            </w:pPr>
          </w:p>
          <w:p w14:paraId="4C4668A9">
            <w:pPr>
              <w:rPr>
                <w:rFonts w:hint="eastAsia" w:ascii="宋体" w:hAnsi="宋体" w:eastAsia="宋体" w:cs="宋体"/>
                <w:i w:val="0"/>
                <w:iCs w:val="0"/>
                <w:color w:val="000000"/>
                <w:sz w:val="18"/>
                <w:szCs w:val="18"/>
                <w:u w:val="none"/>
              </w:rPr>
            </w:pPr>
          </w:p>
          <w:p w14:paraId="67906227">
            <w:pPr>
              <w:rPr>
                <w:rFonts w:hint="eastAsia" w:ascii="宋体" w:hAnsi="宋体" w:eastAsia="宋体" w:cs="宋体"/>
                <w:i w:val="0"/>
                <w:iCs w:val="0"/>
                <w:color w:val="000000"/>
                <w:sz w:val="18"/>
                <w:szCs w:val="18"/>
                <w:u w:val="none"/>
              </w:rPr>
            </w:pPr>
          </w:p>
          <w:p w14:paraId="63BACD4E">
            <w:pPr>
              <w:rPr>
                <w:rFonts w:hint="eastAsia" w:ascii="宋体" w:hAnsi="宋体" w:eastAsia="宋体" w:cs="宋体"/>
                <w:i w:val="0"/>
                <w:iCs w:val="0"/>
                <w:color w:val="000000"/>
                <w:sz w:val="18"/>
                <w:szCs w:val="18"/>
                <w:u w:val="none"/>
              </w:rPr>
            </w:pPr>
          </w:p>
          <w:p w14:paraId="52C75163">
            <w:pPr>
              <w:rPr>
                <w:rFonts w:hint="eastAsia" w:ascii="宋体" w:hAnsi="宋体" w:eastAsia="宋体" w:cs="宋体"/>
                <w:i w:val="0"/>
                <w:iCs w:val="0"/>
                <w:color w:val="000000"/>
                <w:sz w:val="18"/>
                <w:szCs w:val="18"/>
                <w:u w:val="none"/>
              </w:rPr>
            </w:pPr>
          </w:p>
          <w:p w14:paraId="1D11011E">
            <w:pPr>
              <w:rPr>
                <w:rFonts w:hint="eastAsia" w:ascii="宋体" w:hAnsi="宋体" w:eastAsia="宋体" w:cs="宋体"/>
                <w:i w:val="0"/>
                <w:iCs w:val="0"/>
                <w:color w:val="000000"/>
                <w:sz w:val="18"/>
                <w:szCs w:val="18"/>
                <w:u w:val="none"/>
              </w:rPr>
            </w:pPr>
          </w:p>
          <w:p w14:paraId="1B58E88E">
            <w:pPr>
              <w:rPr>
                <w:rFonts w:hint="eastAsia" w:ascii="宋体" w:hAnsi="宋体" w:eastAsia="宋体" w:cs="宋体"/>
                <w:i w:val="0"/>
                <w:iCs w:val="0"/>
                <w:color w:val="000000"/>
                <w:sz w:val="18"/>
                <w:szCs w:val="18"/>
                <w:u w:val="none"/>
              </w:rPr>
            </w:pPr>
          </w:p>
          <w:p w14:paraId="6C528567">
            <w:pPr>
              <w:rPr>
                <w:rFonts w:hint="eastAsia" w:ascii="宋体" w:hAnsi="宋体" w:eastAsia="宋体" w:cs="宋体"/>
                <w:i w:val="0"/>
                <w:iCs w:val="0"/>
                <w:color w:val="000000"/>
                <w:sz w:val="18"/>
                <w:szCs w:val="18"/>
                <w:u w:val="none"/>
              </w:rPr>
            </w:pPr>
          </w:p>
          <w:p w14:paraId="40C51877">
            <w:pPr>
              <w:rPr>
                <w:rFonts w:hint="eastAsia" w:ascii="宋体" w:hAnsi="宋体" w:eastAsia="宋体" w:cs="宋体"/>
                <w:i w:val="0"/>
                <w:iCs w:val="0"/>
                <w:color w:val="000000"/>
                <w:sz w:val="18"/>
                <w:szCs w:val="18"/>
                <w:u w:val="none"/>
              </w:rPr>
            </w:pPr>
          </w:p>
          <w:p w14:paraId="7D8B1EB5">
            <w:pPr>
              <w:rPr>
                <w:rFonts w:hint="eastAsia" w:ascii="宋体" w:hAnsi="宋体" w:eastAsia="宋体" w:cs="宋体"/>
                <w:i w:val="0"/>
                <w:iCs w:val="0"/>
                <w:color w:val="000000"/>
                <w:sz w:val="18"/>
                <w:szCs w:val="18"/>
                <w:u w:val="none"/>
              </w:rPr>
            </w:pPr>
          </w:p>
          <w:p w14:paraId="1ED8931E">
            <w:pPr>
              <w:rPr>
                <w:rFonts w:hint="eastAsia" w:ascii="宋体" w:hAnsi="宋体" w:eastAsia="宋体" w:cs="宋体"/>
                <w:i w:val="0"/>
                <w:iCs w:val="0"/>
                <w:color w:val="000000"/>
                <w:sz w:val="18"/>
                <w:szCs w:val="18"/>
                <w:u w:val="none"/>
              </w:rPr>
            </w:pPr>
          </w:p>
          <w:p w14:paraId="21B1A15C">
            <w:pPr>
              <w:rPr>
                <w:rFonts w:hint="eastAsia" w:ascii="宋体" w:hAnsi="宋体" w:eastAsia="宋体" w:cs="宋体"/>
                <w:i w:val="0"/>
                <w:iCs w:val="0"/>
                <w:color w:val="000000"/>
                <w:sz w:val="18"/>
                <w:szCs w:val="18"/>
                <w:u w:val="none"/>
              </w:rPr>
            </w:pPr>
          </w:p>
          <w:p w14:paraId="4FDB4EBE">
            <w:pPr>
              <w:rPr>
                <w:rFonts w:hint="eastAsia" w:ascii="宋体" w:hAnsi="宋体" w:eastAsia="宋体" w:cs="宋体"/>
                <w:i w:val="0"/>
                <w:iCs w:val="0"/>
                <w:color w:val="000000"/>
                <w:sz w:val="18"/>
                <w:szCs w:val="18"/>
                <w:u w:val="none"/>
              </w:rPr>
            </w:pPr>
          </w:p>
          <w:p w14:paraId="2B0C6BBB">
            <w:pPr>
              <w:rPr>
                <w:rFonts w:hint="eastAsia" w:ascii="宋体" w:hAnsi="宋体" w:eastAsia="宋体" w:cs="宋体"/>
                <w:i w:val="0"/>
                <w:iCs w:val="0"/>
                <w:color w:val="000000"/>
                <w:sz w:val="18"/>
                <w:szCs w:val="18"/>
                <w:u w:val="none"/>
              </w:rPr>
            </w:pPr>
          </w:p>
          <w:p w14:paraId="5B70681C">
            <w:pPr>
              <w:rPr>
                <w:rFonts w:hint="eastAsia" w:ascii="宋体" w:hAnsi="宋体" w:eastAsia="宋体" w:cs="宋体"/>
                <w:i w:val="0"/>
                <w:iCs w:val="0"/>
                <w:color w:val="000000"/>
                <w:sz w:val="18"/>
                <w:szCs w:val="18"/>
                <w:u w:val="none"/>
              </w:rPr>
            </w:pPr>
          </w:p>
          <w:p w14:paraId="3E044737">
            <w:pPr>
              <w:rPr>
                <w:rFonts w:hint="eastAsia" w:ascii="宋体" w:hAnsi="宋体" w:eastAsia="宋体" w:cs="宋体"/>
                <w:i w:val="0"/>
                <w:iCs w:val="0"/>
                <w:color w:val="000000"/>
                <w:sz w:val="18"/>
                <w:szCs w:val="18"/>
                <w:u w:val="none"/>
              </w:rPr>
            </w:pPr>
          </w:p>
          <w:p w14:paraId="77955FCD">
            <w:pPr>
              <w:rPr>
                <w:rFonts w:hint="eastAsia" w:ascii="宋体" w:hAnsi="宋体" w:eastAsia="宋体" w:cs="宋体"/>
                <w:i w:val="0"/>
                <w:iCs w:val="0"/>
                <w:color w:val="000000"/>
                <w:sz w:val="18"/>
                <w:szCs w:val="18"/>
                <w:u w:val="none"/>
              </w:rPr>
            </w:pPr>
          </w:p>
          <w:p w14:paraId="284AC4D2">
            <w:pPr>
              <w:rPr>
                <w:rFonts w:hint="eastAsia" w:ascii="宋体" w:hAnsi="宋体" w:eastAsia="宋体" w:cs="宋体"/>
                <w:i w:val="0"/>
                <w:iCs w:val="0"/>
                <w:color w:val="000000"/>
                <w:sz w:val="18"/>
                <w:szCs w:val="18"/>
                <w:u w:val="none"/>
              </w:rPr>
            </w:pPr>
          </w:p>
          <w:p w14:paraId="2E7DD5E2">
            <w:pPr>
              <w:rPr>
                <w:rFonts w:hint="eastAsia" w:ascii="宋体" w:hAnsi="宋体" w:eastAsia="宋体" w:cs="宋体"/>
                <w:i w:val="0"/>
                <w:iCs w:val="0"/>
                <w:color w:val="000000"/>
                <w:sz w:val="18"/>
                <w:szCs w:val="18"/>
                <w:u w:val="none"/>
              </w:rPr>
            </w:pPr>
          </w:p>
          <w:p w14:paraId="4DD1C0E7">
            <w:pPr>
              <w:rPr>
                <w:rFonts w:hint="eastAsia" w:ascii="宋体" w:hAnsi="宋体" w:eastAsia="宋体" w:cs="宋体"/>
                <w:i w:val="0"/>
                <w:iCs w:val="0"/>
                <w:color w:val="000000"/>
                <w:sz w:val="18"/>
                <w:szCs w:val="18"/>
                <w:u w:val="none"/>
              </w:rPr>
            </w:pPr>
          </w:p>
          <w:p w14:paraId="72864357">
            <w:pPr>
              <w:rPr>
                <w:rFonts w:hint="eastAsia" w:ascii="宋体" w:hAnsi="宋体" w:eastAsia="宋体" w:cs="宋体"/>
                <w:i w:val="0"/>
                <w:iCs w:val="0"/>
                <w:color w:val="000000"/>
                <w:sz w:val="18"/>
                <w:szCs w:val="18"/>
                <w:u w:val="none"/>
              </w:rPr>
            </w:pPr>
          </w:p>
          <w:p w14:paraId="44DF004E">
            <w:pPr>
              <w:rPr>
                <w:rFonts w:hint="eastAsia" w:ascii="宋体" w:hAnsi="宋体" w:eastAsia="宋体" w:cs="宋体"/>
                <w:i w:val="0"/>
                <w:iCs w:val="0"/>
                <w:color w:val="000000"/>
                <w:sz w:val="18"/>
                <w:szCs w:val="18"/>
                <w:u w:val="none"/>
              </w:rPr>
            </w:pPr>
          </w:p>
          <w:p w14:paraId="6610D383">
            <w:pPr>
              <w:rPr>
                <w:rFonts w:hint="eastAsia" w:ascii="宋体" w:hAnsi="宋体" w:eastAsia="宋体" w:cs="宋体"/>
                <w:i w:val="0"/>
                <w:iCs w:val="0"/>
                <w:color w:val="000000"/>
                <w:sz w:val="18"/>
                <w:szCs w:val="18"/>
                <w:u w:val="none"/>
              </w:rPr>
            </w:pPr>
          </w:p>
        </w:tc>
        <w:tc>
          <w:tcPr>
            <w:tcW w:w="508" w:type="dxa"/>
            <w:tcBorders>
              <w:top w:val="nil"/>
              <w:left w:val="nil"/>
              <w:bottom w:val="nil"/>
              <w:right w:val="nil"/>
            </w:tcBorders>
            <w:shd w:val="clear" w:color="auto" w:fill="auto"/>
            <w:vAlign w:val="center"/>
          </w:tcPr>
          <w:p w14:paraId="0FEE9640">
            <w:pPr>
              <w:rPr>
                <w:rFonts w:hint="eastAsia" w:ascii="宋体" w:hAnsi="宋体" w:eastAsia="宋体" w:cs="宋体"/>
                <w:i w:val="0"/>
                <w:iCs w:val="0"/>
                <w:color w:val="000000"/>
                <w:sz w:val="18"/>
                <w:szCs w:val="18"/>
                <w:u w:val="none"/>
              </w:rPr>
            </w:pPr>
          </w:p>
        </w:tc>
        <w:tc>
          <w:tcPr>
            <w:tcW w:w="817" w:type="dxa"/>
            <w:tcBorders>
              <w:top w:val="nil"/>
              <w:left w:val="nil"/>
              <w:bottom w:val="nil"/>
              <w:right w:val="nil"/>
            </w:tcBorders>
            <w:shd w:val="clear" w:color="auto" w:fill="auto"/>
            <w:vAlign w:val="center"/>
          </w:tcPr>
          <w:p w14:paraId="5B3E20DC">
            <w:pPr>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auto"/>
            <w:vAlign w:val="center"/>
          </w:tcPr>
          <w:p w14:paraId="025C69E8">
            <w:pPr>
              <w:rPr>
                <w:rFonts w:hint="eastAsia" w:ascii="宋体" w:hAnsi="宋体" w:eastAsia="宋体" w:cs="宋体"/>
                <w:i w:val="0"/>
                <w:iCs w:val="0"/>
                <w:color w:val="000000"/>
                <w:sz w:val="18"/>
                <w:szCs w:val="18"/>
                <w:u w:val="none"/>
              </w:rPr>
            </w:pPr>
          </w:p>
        </w:tc>
        <w:tc>
          <w:tcPr>
            <w:tcW w:w="523" w:type="dxa"/>
            <w:tcBorders>
              <w:top w:val="nil"/>
              <w:left w:val="nil"/>
              <w:bottom w:val="nil"/>
              <w:right w:val="nil"/>
            </w:tcBorders>
            <w:shd w:val="clear" w:color="auto" w:fill="auto"/>
            <w:vAlign w:val="center"/>
          </w:tcPr>
          <w:p w14:paraId="4C96BBE0">
            <w:pPr>
              <w:rPr>
                <w:rFonts w:hint="eastAsia" w:ascii="宋体" w:hAnsi="宋体" w:eastAsia="宋体" w:cs="宋体"/>
                <w:i w:val="0"/>
                <w:iCs w:val="0"/>
                <w:color w:val="000000"/>
                <w:sz w:val="18"/>
                <w:szCs w:val="18"/>
                <w:u w:val="none"/>
              </w:rPr>
            </w:pPr>
          </w:p>
        </w:tc>
        <w:tc>
          <w:tcPr>
            <w:tcW w:w="523" w:type="dxa"/>
            <w:tcBorders>
              <w:top w:val="nil"/>
              <w:left w:val="nil"/>
              <w:bottom w:val="nil"/>
              <w:right w:val="nil"/>
            </w:tcBorders>
            <w:shd w:val="clear" w:color="auto" w:fill="auto"/>
            <w:vAlign w:val="center"/>
          </w:tcPr>
          <w:p w14:paraId="1E450967">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216DD32A">
            <w:pPr>
              <w:rPr>
                <w:rFonts w:hint="eastAsia" w:ascii="宋体" w:hAnsi="宋体" w:eastAsia="宋体" w:cs="宋体"/>
                <w:i w:val="0"/>
                <w:iCs w:val="0"/>
                <w:color w:val="000000"/>
                <w:sz w:val="18"/>
                <w:szCs w:val="18"/>
                <w:u w:val="none"/>
              </w:rPr>
            </w:pPr>
          </w:p>
        </w:tc>
      </w:tr>
      <w:tr w14:paraId="3CC6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D3FF4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ED2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D52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项目名称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EE5E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51172423T000008702907-农民工党建工作经费</w:t>
            </w:r>
          </w:p>
        </w:tc>
      </w:tr>
      <w:tr w14:paraId="3A12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396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主管部门</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BDB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大竹县农民工服务中心部门</w:t>
            </w:r>
          </w:p>
        </w:tc>
        <w:tc>
          <w:tcPr>
            <w:tcW w:w="910" w:type="dxa"/>
            <w:tcBorders>
              <w:top w:val="nil"/>
              <w:left w:val="nil"/>
              <w:bottom w:val="nil"/>
              <w:right w:val="nil"/>
            </w:tcBorders>
            <w:shd w:val="clear" w:color="auto" w:fill="auto"/>
            <w:vAlign w:val="center"/>
          </w:tcPr>
          <w:p w14:paraId="17DFF9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实施单位 （盖章）</w:t>
            </w:r>
          </w:p>
        </w:tc>
        <w:tc>
          <w:tcPr>
            <w:tcW w:w="2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7DF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w:t>
            </w:r>
          </w:p>
        </w:tc>
      </w:tr>
      <w:tr w14:paraId="7245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EA4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项目基本情况</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28A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1.项目年度目标完成情况</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FDD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项目年度目标</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743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年度目标完成情况</w:t>
            </w:r>
          </w:p>
        </w:tc>
      </w:tr>
      <w:tr w14:paraId="3A37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D36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46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185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开展农民工党建工作</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427D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已完成对重庆、云南、北京、成都、浙江、上海等6个党组织党建工作及农民工工作站工作的指导，强化了党组织建设。</w:t>
            </w:r>
          </w:p>
        </w:tc>
      </w:tr>
      <w:tr w14:paraId="34EA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F0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9D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2.项目实施内容及过程概述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346C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指导重庆、云南、北京、成都、浙江、上海等6个党组织党建工作及农民工工作站工作，强化党组织建设。</w:t>
            </w:r>
          </w:p>
        </w:tc>
      </w:tr>
      <w:tr w14:paraId="4EE9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2EC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预算执行情况（10分）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4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年度预算数（万元）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93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年初预算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91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调整后预算数</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CA1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99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6C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5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C4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原因</w:t>
            </w:r>
          </w:p>
        </w:tc>
      </w:tr>
      <w:tr w14:paraId="6227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DB3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F0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总额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D7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F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A5F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81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0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48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4FE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A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22D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03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其中：财政资金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09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34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3A0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9D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23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3F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A1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6BB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39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DF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4C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00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F54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A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24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5B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A1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65E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514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AA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8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23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24B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A9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5B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A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DA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81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15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BC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0F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BF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60D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ED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5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29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36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386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E60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绩效指标（90分）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A2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5A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61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三级指标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指标性质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C5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C7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完成值</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2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01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F6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未完成原因分析</w:t>
            </w:r>
          </w:p>
        </w:tc>
      </w:tr>
      <w:tr w14:paraId="18C1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0A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449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产出指标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B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F1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指导流动党组织及农民工工作站，开展流动党员活动</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E3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1D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5F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1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4C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47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8C9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BA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30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69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质量指标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9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完成省市县党建工作目标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A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4D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优良中差</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4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良好</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7E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F9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A7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B33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15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7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0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D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强化党组织建设</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DE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2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优良中差</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4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良好</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F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B5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D4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A20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1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38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D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满意度指标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C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服务对象满意度指标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2B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农民工及流动党员满意度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9D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E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00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54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A7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23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80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C33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10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成本指标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BB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经济成本指标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F1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控制党建活动经费</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1E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3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83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C6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82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F6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38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5905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B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EE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55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7A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评价结论</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FB57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已完成对重庆、云南、北京、成都、浙江、上海等6个党组织党建工作及农民工工作站工作的指导，强化了党组织建设，提高了农民工及流动党员满意度。该项目总分100分，通过自评，自评得分100分。</w:t>
            </w:r>
          </w:p>
        </w:tc>
      </w:tr>
      <w:tr w14:paraId="0B0F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75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存在问题</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BC0F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1395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AF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改进措施</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B713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7A5B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B79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项目负责人：唐文果</w:t>
            </w:r>
          </w:p>
        </w:tc>
        <w:tc>
          <w:tcPr>
            <w:tcW w:w="4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9E7B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财务负责人：冷琳琳</w:t>
            </w:r>
          </w:p>
        </w:tc>
      </w:tr>
      <w:tr w14:paraId="0410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9" w:type="dxa"/>
            <w:tcBorders>
              <w:top w:val="nil"/>
              <w:left w:val="nil"/>
              <w:bottom w:val="nil"/>
              <w:right w:val="nil"/>
            </w:tcBorders>
            <w:shd w:val="clear" w:color="auto" w:fill="auto"/>
            <w:vAlign w:val="center"/>
          </w:tcPr>
          <w:p w14:paraId="18F6FD0A">
            <w:pPr>
              <w:rPr>
                <w:rFonts w:hint="eastAsia" w:ascii="宋体" w:hAnsi="宋体" w:eastAsia="宋体" w:cs="宋体"/>
                <w:i w:val="0"/>
                <w:iCs w:val="0"/>
                <w:color w:val="000000"/>
                <w:sz w:val="18"/>
                <w:szCs w:val="18"/>
                <w:u w:val="none"/>
              </w:rPr>
            </w:pPr>
          </w:p>
        </w:tc>
        <w:tc>
          <w:tcPr>
            <w:tcW w:w="1109" w:type="dxa"/>
            <w:tcBorders>
              <w:top w:val="nil"/>
              <w:left w:val="nil"/>
              <w:bottom w:val="nil"/>
              <w:right w:val="nil"/>
            </w:tcBorders>
            <w:shd w:val="clear" w:color="auto" w:fill="auto"/>
            <w:vAlign w:val="center"/>
          </w:tcPr>
          <w:p w14:paraId="14F18445">
            <w:pPr>
              <w:rPr>
                <w:rFonts w:hint="eastAsia" w:ascii="宋体" w:hAnsi="宋体" w:eastAsia="宋体" w:cs="宋体"/>
                <w:i w:val="0"/>
                <w:iCs w:val="0"/>
                <w:color w:val="000000"/>
                <w:sz w:val="18"/>
                <w:szCs w:val="18"/>
                <w:u w:val="none"/>
              </w:rPr>
            </w:pPr>
          </w:p>
        </w:tc>
        <w:tc>
          <w:tcPr>
            <w:tcW w:w="716" w:type="dxa"/>
            <w:tcBorders>
              <w:top w:val="nil"/>
              <w:left w:val="nil"/>
              <w:bottom w:val="nil"/>
              <w:right w:val="nil"/>
            </w:tcBorders>
            <w:shd w:val="clear" w:color="auto" w:fill="auto"/>
            <w:vAlign w:val="center"/>
          </w:tcPr>
          <w:p w14:paraId="09DC1F0E">
            <w:pPr>
              <w:rPr>
                <w:rFonts w:hint="eastAsia" w:ascii="宋体" w:hAnsi="宋体" w:eastAsia="宋体" w:cs="宋体"/>
                <w:i w:val="0"/>
                <w:iCs w:val="0"/>
                <w:color w:val="000000"/>
                <w:sz w:val="18"/>
                <w:szCs w:val="18"/>
                <w:u w:val="none"/>
              </w:rPr>
            </w:pPr>
          </w:p>
          <w:p w14:paraId="53D69D6E">
            <w:pPr>
              <w:rPr>
                <w:rFonts w:hint="eastAsia" w:ascii="宋体" w:hAnsi="宋体" w:eastAsia="宋体" w:cs="宋体"/>
                <w:i w:val="0"/>
                <w:iCs w:val="0"/>
                <w:color w:val="000000"/>
                <w:sz w:val="18"/>
                <w:szCs w:val="18"/>
                <w:u w:val="none"/>
              </w:rPr>
            </w:pPr>
          </w:p>
          <w:p w14:paraId="3BC335F6">
            <w:pPr>
              <w:rPr>
                <w:rFonts w:hint="eastAsia" w:ascii="宋体" w:hAnsi="宋体" w:eastAsia="宋体" w:cs="宋体"/>
                <w:i w:val="0"/>
                <w:iCs w:val="0"/>
                <w:color w:val="000000"/>
                <w:sz w:val="18"/>
                <w:szCs w:val="18"/>
                <w:u w:val="none"/>
              </w:rPr>
            </w:pPr>
          </w:p>
          <w:p w14:paraId="404CD08A">
            <w:pPr>
              <w:rPr>
                <w:rFonts w:hint="eastAsia" w:ascii="宋体" w:hAnsi="宋体" w:eastAsia="宋体" w:cs="宋体"/>
                <w:i w:val="0"/>
                <w:iCs w:val="0"/>
                <w:color w:val="000000"/>
                <w:sz w:val="18"/>
                <w:szCs w:val="18"/>
                <w:u w:val="none"/>
              </w:rPr>
            </w:pPr>
          </w:p>
          <w:p w14:paraId="46E1A905">
            <w:pPr>
              <w:rPr>
                <w:rFonts w:hint="eastAsia" w:ascii="宋体" w:hAnsi="宋体" w:eastAsia="宋体" w:cs="宋体"/>
                <w:i w:val="0"/>
                <w:iCs w:val="0"/>
                <w:color w:val="000000"/>
                <w:sz w:val="18"/>
                <w:szCs w:val="18"/>
                <w:u w:val="none"/>
              </w:rPr>
            </w:pPr>
          </w:p>
          <w:p w14:paraId="21C55DE5">
            <w:pPr>
              <w:rPr>
                <w:rFonts w:hint="eastAsia" w:ascii="宋体" w:hAnsi="宋体" w:eastAsia="宋体" w:cs="宋体"/>
                <w:i w:val="0"/>
                <w:iCs w:val="0"/>
                <w:color w:val="000000"/>
                <w:sz w:val="18"/>
                <w:szCs w:val="18"/>
                <w:u w:val="none"/>
              </w:rPr>
            </w:pPr>
          </w:p>
          <w:p w14:paraId="39693249">
            <w:pPr>
              <w:rPr>
                <w:rFonts w:hint="eastAsia" w:ascii="宋体" w:hAnsi="宋体" w:eastAsia="宋体" w:cs="宋体"/>
                <w:i w:val="0"/>
                <w:iCs w:val="0"/>
                <w:color w:val="000000"/>
                <w:sz w:val="18"/>
                <w:szCs w:val="18"/>
                <w:u w:val="none"/>
              </w:rPr>
            </w:pPr>
          </w:p>
          <w:p w14:paraId="3EB851F5">
            <w:pPr>
              <w:rPr>
                <w:rFonts w:hint="eastAsia" w:ascii="宋体" w:hAnsi="宋体" w:eastAsia="宋体" w:cs="宋体"/>
                <w:i w:val="0"/>
                <w:iCs w:val="0"/>
                <w:color w:val="000000"/>
                <w:sz w:val="18"/>
                <w:szCs w:val="18"/>
                <w:u w:val="none"/>
              </w:rPr>
            </w:pPr>
          </w:p>
          <w:p w14:paraId="427A88A2">
            <w:pPr>
              <w:rPr>
                <w:rFonts w:hint="eastAsia" w:ascii="宋体" w:hAnsi="宋体" w:eastAsia="宋体" w:cs="宋体"/>
                <w:i w:val="0"/>
                <w:iCs w:val="0"/>
                <w:color w:val="000000"/>
                <w:sz w:val="18"/>
                <w:szCs w:val="18"/>
                <w:u w:val="none"/>
              </w:rPr>
            </w:pPr>
          </w:p>
          <w:p w14:paraId="3585BB00">
            <w:pPr>
              <w:rPr>
                <w:rFonts w:hint="eastAsia" w:ascii="宋体" w:hAnsi="宋体" w:eastAsia="宋体" w:cs="宋体"/>
                <w:i w:val="0"/>
                <w:iCs w:val="0"/>
                <w:color w:val="000000"/>
                <w:sz w:val="18"/>
                <w:szCs w:val="18"/>
                <w:u w:val="none"/>
              </w:rPr>
            </w:pPr>
          </w:p>
          <w:p w14:paraId="422FED0F">
            <w:pPr>
              <w:rPr>
                <w:rFonts w:hint="eastAsia" w:ascii="宋体" w:hAnsi="宋体" w:eastAsia="宋体" w:cs="宋体"/>
                <w:i w:val="0"/>
                <w:iCs w:val="0"/>
                <w:color w:val="000000"/>
                <w:sz w:val="18"/>
                <w:szCs w:val="18"/>
                <w:u w:val="none"/>
              </w:rPr>
            </w:pPr>
          </w:p>
          <w:p w14:paraId="62BE3A59">
            <w:pPr>
              <w:rPr>
                <w:rFonts w:hint="eastAsia" w:ascii="宋体" w:hAnsi="宋体" w:eastAsia="宋体" w:cs="宋体"/>
                <w:i w:val="0"/>
                <w:iCs w:val="0"/>
                <w:color w:val="000000"/>
                <w:sz w:val="18"/>
                <w:szCs w:val="18"/>
                <w:u w:val="none"/>
              </w:rPr>
            </w:pPr>
          </w:p>
        </w:tc>
        <w:tc>
          <w:tcPr>
            <w:tcW w:w="1860" w:type="dxa"/>
            <w:tcBorders>
              <w:top w:val="nil"/>
              <w:left w:val="nil"/>
              <w:bottom w:val="nil"/>
              <w:right w:val="nil"/>
            </w:tcBorders>
            <w:shd w:val="clear" w:color="auto" w:fill="auto"/>
            <w:vAlign w:val="center"/>
          </w:tcPr>
          <w:p w14:paraId="7C7F12E2">
            <w:pPr>
              <w:rPr>
                <w:rFonts w:hint="eastAsia" w:ascii="宋体" w:hAnsi="宋体" w:eastAsia="宋体" w:cs="宋体"/>
                <w:i w:val="0"/>
                <w:iCs w:val="0"/>
                <w:color w:val="000000"/>
                <w:sz w:val="18"/>
                <w:szCs w:val="18"/>
                <w:u w:val="none"/>
              </w:rPr>
            </w:pPr>
          </w:p>
          <w:p w14:paraId="22BC8722">
            <w:pPr>
              <w:rPr>
                <w:rFonts w:hint="eastAsia" w:ascii="宋体" w:hAnsi="宋体" w:eastAsia="宋体" w:cs="宋体"/>
                <w:i w:val="0"/>
                <w:iCs w:val="0"/>
                <w:color w:val="000000"/>
                <w:sz w:val="18"/>
                <w:szCs w:val="18"/>
                <w:u w:val="none"/>
              </w:rPr>
            </w:pPr>
          </w:p>
          <w:p w14:paraId="12ABEDF9">
            <w:pPr>
              <w:rPr>
                <w:rFonts w:hint="eastAsia" w:ascii="宋体" w:hAnsi="宋体" w:eastAsia="宋体" w:cs="宋体"/>
                <w:i w:val="0"/>
                <w:iCs w:val="0"/>
                <w:color w:val="000000"/>
                <w:sz w:val="18"/>
                <w:szCs w:val="18"/>
                <w:u w:val="none"/>
              </w:rPr>
            </w:pPr>
          </w:p>
          <w:p w14:paraId="7B1027CC">
            <w:pPr>
              <w:rPr>
                <w:rFonts w:hint="eastAsia" w:ascii="宋体" w:hAnsi="宋体" w:eastAsia="宋体" w:cs="宋体"/>
                <w:i w:val="0"/>
                <w:iCs w:val="0"/>
                <w:color w:val="000000"/>
                <w:sz w:val="18"/>
                <w:szCs w:val="18"/>
                <w:u w:val="none"/>
              </w:rPr>
            </w:pPr>
          </w:p>
          <w:p w14:paraId="373401FE">
            <w:pPr>
              <w:rPr>
                <w:rFonts w:hint="eastAsia" w:ascii="宋体" w:hAnsi="宋体" w:eastAsia="宋体" w:cs="宋体"/>
                <w:i w:val="0"/>
                <w:iCs w:val="0"/>
                <w:color w:val="000000"/>
                <w:sz w:val="18"/>
                <w:szCs w:val="18"/>
                <w:u w:val="none"/>
              </w:rPr>
            </w:pPr>
          </w:p>
          <w:p w14:paraId="5B84C21F">
            <w:pPr>
              <w:rPr>
                <w:rFonts w:hint="eastAsia" w:ascii="宋体" w:hAnsi="宋体" w:eastAsia="宋体" w:cs="宋体"/>
                <w:i w:val="0"/>
                <w:iCs w:val="0"/>
                <w:color w:val="000000"/>
                <w:sz w:val="18"/>
                <w:szCs w:val="18"/>
                <w:u w:val="none"/>
              </w:rPr>
            </w:pPr>
          </w:p>
          <w:p w14:paraId="6D80D1CF">
            <w:pPr>
              <w:rPr>
                <w:rFonts w:hint="eastAsia" w:ascii="宋体" w:hAnsi="宋体" w:eastAsia="宋体" w:cs="宋体"/>
                <w:i w:val="0"/>
                <w:iCs w:val="0"/>
                <w:color w:val="000000"/>
                <w:sz w:val="18"/>
                <w:szCs w:val="18"/>
                <w:u w:val="none"/>
              </w:rPr>
            </w:pPr>
          </w:p>
          <w:p w14:paraId="2C557BE3">
            <w:pPr>
              <w:rPr>
                <w:rFonts w:hint="eastAsia" w:ascii="宋体" w:hAnsi="宋体" w:eastAsia="宋体" w:cs="宋体"/>
                <w:i w:val="0"/>
                <w:iCs w:val="0"/>
                <w:color w:val="000000"/>
                <w:sz w:val="18"/>
                <w:szCs w:val="18"/>
                <w:u w:val="none"/>
              </w:rPr>
            </w:pPr>
          </w:p>
          <w:p w14:paraId="5A7654E9">
            <w:pPr>
              <w:rPr>
                <w:rFonts w:hint="eastAsia" w:ascii="宋体" w:hAnsi="宋体" w:eastAsia="宋体" w:cs="宋体"/>
                <w:i w:val="0"/>
                <w:iCs w:val="0"/>
                <w:color w:val="000000"/>
                <w:sz w:val="18"/>
                <w:szCs w:val="18"/>
                <w:u w:val="none"/>
              </w:rPr>
            </w:pPr>
          </w:p>
          <w:p w14:paraId="1A61D68C">
            <w:pPr>
              <w:rPr>
                <w:rFonts w:hint="eastAsia" w:ascii="宋体" w:hAnsi="宋体" w:eastAsia="宋体" w:cs="宋体"/>
                <w:i w:val="0"/>
                <w:iCs w:val="0"/>
                <w:color w:val="000000"/>
                <w:sz w:val="18"/>
                <w:szCs w:val="18"/>
                <w:u w:val="none"/>
              </w:rPr>
            </w:pPr>
          </w:p>
          <w:p w14:paraId="50CBEF2A">
            <w:pPr>
              <w:rPr>
                <w:rFonts w:hint="eastAsia" w:ascii="宋体" w:hAnsi="宋体" w:eastAsia="宋体" w:cs="宋体"/>
                <w:i w:val="0"/>
                <w:iCs w:val="0"/>
                <w:color w:val="000000"/>
                <w:sz w:val="18"/>
                <w:szCs w:val="18"/>
                <w:u w:val="none"/>
              </w:rPr>
            </w:pPr>
          </w:p>
          <w:p w14:paraId="4E80FBE2">
            <w:pPr>
              <w:rPr>
                <w:rFonts w:hint="eastAsia" w:ascii="宋体" w:hAnsi="宋体" w:eastAsia="宋体" w:cs="宋体"/>
                <w:i w:val="0"/>
                <w:iCs w:val="0"/>
                <w:color w:val="000000"/>
                <w:sz w:val="18"/>
                <w:szCs w:val="18"/>
                <w:u w:val="none"/>
              </w:rPr>
            </w:pPr>
          </w:p>
          <w:p w14:paraId="54BE17D4">
            <w:pPr>
              <w:rPr>
                <w:rFonts w:hint="eastAsia" w:ascii="宋体" w:hAnsi="宋体" w:eastAsia="宋体" w:cs="宋体"/>
                <w:i w:val="0"/>
                <w:iCs w:val="0"/>
                <w:color w:val="000000"/>
                <w:sz w:val="18"/>
                <w:szCs w:val="18"/>
                <w:u w:val="none"/>
              </w:rPr>
            </w:pPr>
          </w:p>
          <w:p w14:paraId="31F34503">
            <w:pPr>
              <w:rPr>
                <w:rFonts w:hint="eastAsia" w:ascii="宋体" w:hAnsi="宋体" w:eastAsia="宋体" w:cs="宋体"/>
                <w:i w:val="0"/>
                <w:iCs w:val="0"/>
                <w:color w:val="000000"/>
                <w:sz w:val="18"/>
                <w:szCs w:val="18"/>
                <w:u w:val="none"/>
              </w:rPr>
            </w:pPr>
          </w:p>
          <w:p w14:paraId="0C4371CB">
            <w:pPr>
              <w:rPr>
                <w:rFonts w:hint="eastAsia" w:ascii="宋体" w:hAnsi="宋体" w:eastAsia="宋体" w:cs="宋体"/>
                <w:i w:val="0"/>
                <w:iCs w:val="0"/>
                <w:color w:val="000000"/>
                <w:sz w:val="18"/>
                <w:szCs w:val="18"/>
                <w:u w:val="none"/>
              </w:rPr>
            </w:pPr>
          </w:p>
          <w:p w14:paraId="72127CFF">
            <w:pPr>
              <w:rPr>
                <w:rFonts w:hint="eastAsia" w:ascii="宋体" w:hAnsi="宋体" w:eastAsia="宋体" w:cs="宋体"/>
                <w:i w:val="0"/>
                <w:iCs w:val="0"/>
                <w:color w:val="000000"/>
                <w:sz w:val="18"/>
                <w:szCs w:val="18"/>
                <w:u w:val="none"/>
              </w:rPr>
            </w:pPr>
          </w:p>
          <w:p w14:paraId="075B5DDE">
            <w:pPr>
              <w:rPr>
                <w:rFonts w:hint="eastAsia" w:ascii="宋体" w:hAnsi="宋体" w:eastAsia="宋体" w:cs="宋体"/>
                <w:i w:val="0"/>
                <w:iCs w:val="0"/>
                <w:color w:val="000000"/>
                <w:sz w:val="18"/>
                <w:szCs w:val="18"/>
                <w:u w:val="none"/>
              </w:rPr>
            </w:pPr>
          </w:p>
        </w:tc>
        <w:tc>
          <w:tcPr>
            <w:tcW w:w="508" w:type="dxa"/>
            <w:tcBorders>
              <w:top w:val="nil"/>
              <w:left w:val="nil"/>
              <w:bottom w:val="nil"/>
              <w:right w:val="nil"/>
            </w:tcBorders>
            <w:shd w:val="clear" w:color="auto" w:fill="auto"/>
            <w:vAlign w:val="center"/>
          </w:tcPr>
          <w:p w14:paraId="11600902">
            <w:pPr>
              <w:rPr>
                <w:rFonts w:hint="eastAsia" w:ascii="宋体" w:hAnsi="宋体" w:eastAsia="宋体" w:cs="宋体"/>
                <w:i w:val="0"/>
                <w:iCs w:val="0"/>
                <w:color w:val="000000"/>
                <w:sz w:val="18"/>
                <w:szCs w:val="18"/>
                <w:u w:val="none"/>
              </w:rPr>
            </w:pPr>
          </w:p>
        </w:tc>
        <w:tc>
          <w:tcPr>
            <w:tcW w:w="817" w:type="dxa"/>
            <w:tcBorders>
              <w:top w:val="nil"/>
              <w:left w:val="nil"/>
              <w:bottom w:val="nil"/>
              <w:right w:val="nil"/>
            </w:tcBorders>
            <w:shd w:val="clear" w:color="auto" w:fill="auto"/>
            <w:vAlign w:val="center"/>
          </w:tcPr>
          <w:p w14:paraId="4315DBF6">
            <w:pPr>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auto"/>
            <w:vAlign w:val="center"/>
          </w:tcPr>
          <w:p w14:paraId="70A07766">
            <w:pPr>
              <w:rPr>
                <w:rFonts w:hint="eastAsia" w:ascii="宋体" w:hAnsi="宋体" w:eastAsia="宋体" w:cs="宋体"/>
                <w:i w:val="0"/>
                <w:iCs w:val="0"/>
                <w:color w:val="000000"/>
                <w:sz w:val="18"/>
                <w:szCs w:val="18"/>
                <w:u w:val="none"/>
              </w:rPr>
            </w:pPr>
          </w:p>
        </w:tc>
        <w:tc>
          <w:tcPr>
            <w:tcW w:w="523" w:type="dxa"/>
            <w:tcBorders>
              <w:top w:val="nil"/>
              <w:left w:val="nil"/>
              <w:bottom w:val="nil"/>
              <w:right w:val="nil"/>
            </w:tcBorders>
            <w:shd w:val="clear" w:color="auto" w:fill="auto"/>
            <w:vAlign w:val="center"/>
          </w:tcPr>
          <w:p w14:paraId="161C72BA">
            <w:pPr>
              <w:rPr>
                <w:rFonts w:hint="eastAsia" w:ascii="宋体" w:hAnsi="宋体" w:eastAsia="宋体" w:cs="宋体"/>
                <w:i w:val="0"/>
                <w:iCs w:val="0"/>
                <w:color w:val="000000"/>
                <w:sz w:val="18"/>
                <w:szCs w:val="18"/>
                <w:u w:val="none"/>
              </w:rPr>
            </w:pPr>
          </w:p>
        </w:tc>
        <w:tc>
          <w:tcPr>
            <w:tcW w:w="523" w:type="dxa"/>
            <w:tcBorders>
              <w:top w:val="nil"/>
              <w:left w:val="nil"/>
              <w:bottom w:val="nil"/>
              <w:right w:val="nil"/>
            </w:tcBorders>
            <w:shd w:val="clear" w:color="auto" w:fill="auto"/>
            <w:vAlign w:val="center"/>
          </w:tcPr>
          <w:p w14:paraId="7E2FD094">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7E29A416">
            <w:pPr>
              <w:rPr>
                <w:rFonts w:hint="eastAsia" w:ascii="宋体" w:hAnsi="宋体" w:eastAsia="宋体" w:cs="宋体"/>
                <w:i w:val="0"/>
                <w:iCs w:val="0"/>
                <w:color w:val="000000"/>
                <w:sz w:val="18"/>
                <w:szCs w:val="18"/>
                <w:u w:val="none"/>
              </w:rPr>
            </w:pPr>
          </w:p>
        </w:tc>
      </w:tr>
      <w:tr w14:paraId="6214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5815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5AA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064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项目名称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5ADC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51172423T000008702914-农民工服务平台建设</w:t>
            </w:r>
          </w:p>
        </w:tc>
      </w:tr>
      <w:tr w14:paraId="2A23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F57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主管部门</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DF4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大竹县农民工服务中心部门</w:t>
            </w:r>
          </w:p>
        </w:tc>
        <w:tc>
          <w:tcPr>
            <w:tcW w:w="910" w:type="dxa"/>
            <w:tcBorders>
              <w:top w:val="nil"/>
              <w:left w:val="nil"/>
              <w:bottom w:val="nil"/>
              <w:right w:val="nil"/>
            </w:tcBorders>
            <w:shd w:val="clear" w:color="auto" w:fill="auto"/>
            <w:vAlign w:val="center"/>
          </w:tcPr>
          <w:p w14:paraId="4A5F93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实施单位 （盖章）</w:t>
            </w:r>
          </w:p>
        </w:tc>
        <w:tc>
          <w:tcPr>
            <w:tcW w:w="2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AE6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w:t>
            </w:r>
          </w:p>
        </w:tc>
      </w:tr>
      <w:tr w14:paraId="6B43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319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项目基本情况</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79D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1.项目年度目标完成情况</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F17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项目年度目标</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B65D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年度目标完成情况</w:t>
            </w:r>
          </w:p>
        </w:tc>
      </w:tr>
      <w:tr w14:paraId="416A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9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DD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C6DA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建设农民工服务平台</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AA9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已完成对31个乡镇（街道）提供农民工服务平台指导，督促开展农民工相关信息采集，完成省市农民工信息采集任务，有助于农民工通过该平台了解相关政策及家乡信息。</w:t>
            </w:r>
          </w:p>
        </w:tc>
      </w:tr>
      <w:tr w14:paraId="58E2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AF8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4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2.项目实施内容及过程概述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A72E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指导31个乡镇（街道）开展农民工服务平台工作，督促开展农民工相关信息采集，完成省市农民工信息采集任务，有助于农民工通过该平台了解相关政策及家乡信息。</w:t>
            </w:r>
          </w:p>
        </w:tc>
      </w:tr>
      <w:tr w14:paraId="7A7A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134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预算执行情况（10分）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4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年度预算数（万元）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C5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年初预算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39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调整后预算数</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49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3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B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CA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81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原因</w:t>
            </w:r>
          </w:p>
        </w:tc>
      </w:tr>
      <w:tr w14:paraId="7CBD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7A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7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总额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89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1D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DBA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1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1B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38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846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6A3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E4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F7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其中：财政资金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4E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3E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99B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25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6E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E4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27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307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072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00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42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F0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B9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E8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16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FB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6F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543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2A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B7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4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6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C28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5C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3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4D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98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809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83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BB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F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68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841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26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06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B0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7DC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D4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4D1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绩效指标（90分）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3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5F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E3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三级指标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C3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指标性质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86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26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完成值</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09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96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69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未完成原因分析</w:t>
            </w:r>
          </w:p>
        </w:tc>
      </w:tr>
      <w:tr w14:paraId="5D4A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27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59A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产出指标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7B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3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开展农民工相关信息采集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E2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0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D3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5A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E0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87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9B9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F0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7B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A9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质量指标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D2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为31个乡镇（街道）提供服务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3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57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88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1F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22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13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AE7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03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A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46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A6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加强农民工在平台上的了解信息</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B9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0D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58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BA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94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E2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B0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47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3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满意度指标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2D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满意度指标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76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农民工对平台使用满意度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3A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86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优良中差</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E0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良好</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0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FF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14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41F8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7DA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53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成本指标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79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经济成本指标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A6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指导乡镇信息采集、录入</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8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64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79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57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D0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8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F6E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00E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A4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E1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67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E00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FC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评价结论</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D72D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指导31个乡镇（街道）开展农民工服务平台工作，督促开展农民工相关信息采集任务3000条，有助于农民工通过该平台了解相关政策及家乡信息。该项目总分100分，通过自评，自评得分100分。</w:t>
            </w:r>
          </w:p>
        </w:tc>
      </w:tr>
      <w:tr w14:paraId="2876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3E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存在问题</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71AB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0E22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D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改进措施</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DB2B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36DE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354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项目负责人：何是灼</w:t>
            </w:r>
          </w:p>
        </w:tc>
        <w:tc>
          <w:tcPr>
            <w:tcW w:w="4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BE2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财务负责人：冷琳琳</w:t>
            </w:r>
          </w:p>
        </w:tc>
      </w:tr>
      <w:tr w14:paraId="0AF4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4" w:hRule="atLeast"/>
        </w:trPr>
        <w:tc>
          <w:tcPr>
            <w:tcW w:w="729" w:type="dxa"/>
            <w:tcBorders>
              <w:top w:val="nil"/>
              <w:left w:val="nil"/>
              <w:bottom w:val="nil"/>
              <w:right w:val="nil"/>
            </w:tcBorders>
            <w:shd w:val="clear" w:color="auto" w:fill="auto"/>
            <w:vAlign w:val="center"/>
          </w:tcPr>
          <w:p w14:paraId="1CC69C08">
            <w:pPr>
              <w:rPr>
                <w:rFonts w:hint="eastAsia" w:ascii="宋体" w:hAnsi="宋体" w:eastAsia="宋体" w:cs="宋体"/>
                <w:i w:val="0"/>
                <w:iCs w:val="0"/>
                <w:color w:val="000000"/>
                <w:sz w:val="18"/>
                <w:szCs w:val="18"/>
                <w:u w:val="none"/>
              </w:rPr>
            </w:pPr>
          </w:p>
        </w:tc>
        <w:tc>
          <w:tcPr>
            <w:tcW w:w="1109" w:type="dxa"/>
            <w:tcBorders>
              <w:top w:val="nil"/>
              <w:left w:val="nil"/>
              <w:bottom w:val="nil"/>
              <w:right w:val="nil"/>
            </w:tcBorders>
            <w:shd w:val="clear" w:color="auto" w:fill="auto"/>
            <w:vAlign w:val="center"/>
          </w:tcPr>
          <w:p w14:paraId="4F00DED9">
            <w:pPr>
              <w:rPr>
                <w:rFonts w:hint="eastAsia" w:ascii="宋体" w:hAnsi="宋体" w:eastAsia="宋体" w:cs="宋体"/>
                <w:i w:val="0"/>
                <w:iCs w:val="0"/>
                <w:color w:val="000000"/>
                <w:sz w:val="18"/>
                <w:szCs w:val="18"/>
                <w:u w:val="none"/>
              </w:rPr>
            </w:pPr>
          </w:p>
        </w:tc>
        <w:tc>
          <w:tcPr>
            <w:tcW w:w="716" w:type="dxa"/>
            <w:tcBorders>
              <w:top w:val="nil"/>
              <w:left w:val="nil"/>
              <w:bottom w:val="nil"/>
              <w:right w:val="nil"/>
            </w:tcBorders>
            <w:shd w:val="clear" w:color="auto" w:fill="auto"/>
            <w:vAlign w:val="center"/>
          </w:tcPr>
          <w:p w14:paraId="7676BBEF">
            <w:pPr>
              <w:rPr>
                <w:rFonts w:hint="eastAsia" w:ascii="宋体" w:hAnsi="宋体" w:eastAsia="宋体" w:cs="宋体"/>
                <w:i w:val="0"/>
                <w:iCs w:val="0"/>
                <w:color w:val="000000"/>
                <w:sz w:val="18"/>
                <w:szCs w:val="18"/>
                <w:u w:val="none"/>
              </w:rPr>
            </w:pPr>
          </w:p>
          <w:p w14:paraId="57F364CF">
            <w:pPr>
              <w:rPr>
                <w:rFonts w:hint="eastAsia" w:ascii="宋体" w:hAnsi="宋体" w:eastAsia="宋体" w:cs="宋体"/>
                <w:i w:val="0"/>
                <w:iCs w:val="0"/>
                <w:color w:val="000000"/>
                <w:sz w:val="18"/>
                <w:szCs w:val="18"/>
                <w:u w:val="none"/>
              </w:rPr>
            </w:pPr>
          </w:p>
          <w:p w14:paraId="1580C2C9">
            <w:pPr>
              <w:rPr>
                <w:rFonts w:hint="eastAsia" w:ascii="宋体" w:hAnsi="宋体" w:eastAsia="宋体" w:cs="宋体"/>
                <w:i w:val="0"/>
                <w:iCs w:val="0"/>
                <w:color w:val="000000"/>
                <w:sz w:val="18"/>
                <w:szCs w:val="18"/>
                <w:u w:val="none"/>
              </w:rPr>
            </w:pPr>
          </w:p>
          <w:p w14:paraId="4F2459C6">
            <w:pPr>
              <w:rPr>
                <w:rFonts w:hint="eastAsia" w:ascii="宋体" w:hAnsi="宋体" w:eastAsia="宋体" w:cs="宋体"/>
                <w:i w:val="0"/>
                <w:iCs w:val="0"/>
                <w:color w:val="000000"/>
                <w:sz w:val="18"/>
                <w:szCs w:val="18"/>
                <w:u w:val="none"/>
              </w:rPr>
            </w:pPr>
          </w:p>
          <w:p w14:paraId="2BCCD081">
            <w:pPr>
              <w:rPr>
                <w:rFonts w:hint="eastAsia" w:ascii="宋体" w:hAnsi="宋体" w:eastAsia="宋体" w:cs="宋体"/>
                <w:i w:val="0"/>
                <w:iCs w:val="0"/>
                <w:color w:val="000000"/>
                <w:sz w:val="18"/>
                <w:szCs w:val="18"/>
                <w:u w:val="none"/>
              </w:rPr>
            </w:pPr>
          </w:p>
          <w:p w14:paraId="0E2CB7FE">
            <w:pPr>
              <w:rPr>
                <w:rFonts w:hint="eastAsia" w:ascii="宋体" w:hAnsi="宋体" w:eastAsia="宋体" w:cs="宋体"/>
                <w:i w:val="0"/>
                <w:iCs w:val="0"/>
                <w:color w:val="000000"/>
                <w:sz w:val="18"/>
                <w:szCs w:val="18"/>
                <w:u w:val="none"/>
              </w:rPr>
            </w:pPr>
          </w:p>
          <w:p w14:paraId="71163528">
            <w:pPr>
              <w:rPr>
                <w:rFonts w:hint="eastAsia" w:ascii="宋体" w:hAnsi="宋体" w:eastAsia="宋体" w:cs="宋体"/>
                <w:i w:val="0"/>
                <w:iCs w:val="0"/>
                <w:color w:val="000000"/>
                <w:sz w:val="18"/>
                <w:szCs w:val="18"/>
                <w:u w:val="none"/>
              </w:rPr>
            </w:pPr>
          </w:p>
          <w:p w14:paraId="40F5FA6C">
            <w:pPr>
              <w:rPr>
                <w:rFonts w:hint="eastAsia" w:ascii="宋体" w:hAnsi="宋体" w:eastAsia="宋体" w:cs="宋体"/>
                <w:i w:val="0"/>
                <w:iCs w:val="0"/>
                <w:color w:val="000000"/>
                <w:sz w:val="18"/>
                <w:szCs w:val="18"/>
                <w:u w:val="none"/>
              </w:rPr>
            </w:pPr>
          </w:p>
          <w:p w14:paraId="31CC59FE">
            <w:pPr>
              <w:rPr>
                <w:rFonts w:hint="eastAsia" w:ascii="宋体" w:hAnsi="宋体" w:eastAsia="宋体" w:cs="宋体"/>
                <w:i w:val="0"/>
                <w:iCs w:val="0"/>
                <w:color w:val="000000"/>
                <w:sz w:val="18"/>
                <w:szCs w:val="18"/>
                <w:u w:val="none"/>
              </w:rPr>
            </w:pPr>
          </w:p>
          <w:p w14:paraId="4F479079">
            <w:pPr>
              <w:rPr>
                <w:rFonts w:hint="eastAsia" w:ascii="宋体" w:hAnsi="宋体" w:eastAsia="宋体" w:cs="宋体"/>
                <w:i w:val="0"/>
                <w:iCs w:val="0"/>
                <w:color w:val="000000"/>
                <w:sz w:val="18"/>
                <w:szCs w:val="18"/>
                <w:u w:val="none"/>
              </w:rPr>
            </w:pPr>
          </w:p>
          <w:p w14:paraId="156545F4">
            <w:pPr>
              <w:rPr>
                <w:rFonts w:hint="eastAsia" w:ascii="宋体" w:hAnsi="宋体" w:eastAsia="宋体" w:cs="宋体"/>
                <w:i w:val="0"/>
                <w:iCs w:val="0"/>
                <w:color w:val="000000"/>
                <w:sz w:val="18"/>
                <w:szCs w:val="18"/>
                <w:u w:val="none"/>
              </w:rPr>
            </w:pPr>
          </w:p>
          <w:p w14:paraId="245B727E">
            <w:pPr>
              <w:rPr>
                <w:rFonts w:hint="eastAsia" w:ascii="宋体" w:hAnsi="宋体" w:eastAsia="宋体" w:cs="宋体"/>
                <w:i w:val="0"/>
                <w:iCs w:val="0"/>
                <w:color w:val="000000"/>
                <w:sz w:val="18"/>
                <w:szCs w:val="18"/>
                <w:u w:val="none"/>
              </w:rPr>
            </w:pPr>
          </w:p>
          <w:p w14:paraId="51507FF0">
            <w:pPr>
              <w:rPr>
                <w:rFonts w:hint="eastAsia" w:ascii="宋体" w:hAnsi="宋体" w:eastAsia="宋体" w:cs="宋体"/>
                <w:i w:val="0"/>
                <w:iCs w:val="0"/>
                <w:color w:val="000000"/>
                <w:sz w:val="18"/>
                <w:szCs w:val="18"/>
                <w:u w:val="none"/>
              </w:rPr>
            </w:pPr>
          </w:p>
          <w:p w14:paraId="5FCCC1F5">
            <w:pPr>
              <w:rPr>
                <w:rFonts w:hint="eastAsia" w:ascii="宋体" w:hAnsi="宋体" w:eastAsia="宋体" w:cs="宋体"/>
                <w:i w:val="0"/>
                <w:iCs w:val="0"/>
                <w:color w:val="000000"/>
                <w:sz w:val="18"/>
                <w:szCs w:val="18"/>
                <w:u w:val="none"/>
              </w:rPr>
            </w:pPr>
          </w:p>
          <w:p w14:paraId="66ED0BF8">
            <w:pPr>
              <w:rPr>
                <w:rFonts w:hint="eastAsia" w:ascii="宋体" w:hAnsi="宋体" w:eastAsia="宋体" w:cs="宋体"/>
                <w:i w:val="0"/>
                <w:iCs w:val="0"/>
                <w:color w:val="000000"/>
                <w:sz w:val="18"/>
                <w:szCs w:val="18"/>
                <w:u w:val="none"/>
              </w:rPr>
            </w:pPr>
          </w:p>
        </w:tc>
        <w:tc>
          <w:tcPr>
            <w:tcW w:w="1860" w:type="dxa"/>
            <w:tcBorders>
              <w:top w:val="nil"/>
              <w:left w:val="nil"/>
              <w:bottom w:val="nil"/>
              <w:right w:val="nil"/>
            </w:tcBorders>
            <w:shd w:val="clear" w:color="auto" w:fill="auto"/>
            <w:vAlign w:val="center"/>
          </w:tcPr>
          <w:p w14:paraId="724FB7B6">
            <w:pPr>
              <w:rPr>
                <w:rFonts w:hint="eastAsia" w:ascii="宋体" w:hAnsi="宋体" w:eastAsia="宋体" w:cs="宋体"/>
                <w:i w:val="0"/>
                <w:iCs w:val="0"/>
                <w:color w:val="000000"/>
                <w:sz w:val="18"/>
                <w:szCs w:val="18"/>
                <w:u w:val="none"/>
              </w:rPr>
            </w:pPr>
          </w:p>
          <w:p w14:paraId="562B75B1">
            <w:pPr>
              <w:rPr>
                <w:rFonts w:hint="eastAsia" w:ascii="宋体" w:hAnsi="宋体" w:eastAsia="宋体" w:cs="宋体"/>
                <w:i w:val="0"/>
                <w:iCs w:val="0"/>
                <w:color w:val="000000"/>
                <w:sz w:val="18"/>
                <w:szCs w:val="18"/>
                <w:u w:val="none"/>
              </w:rPr>
            </w:pPr>
          </w:p>
          <w:p w14:paraId="58A771F6">
            <w:pPr>
              <w:rPr>
                <w:rFonts w:hint="eastAsia" w:ascii="宋体" w:hAnsi="宋体" w:eastAsia="宋体" w:cs="宋体"/>
                <w:i w:val="0"/>
                <w:iCs w:val="0"/>
                <w:color w:val="000000"/>
                <w:sz w:val="18"/>
                <w:szCs w:val="18"/>
                <w:u w:val="none"/>
              </w:rPr>
            </w:pPr>
          </w:p>
          <w:p w14:paraId="26F3CB9E">
            <w:pPr>
              <w:rPr>
                <w:rFonts w:hint="eastAsia" w:ascii="宋体" w:hAnsi="宋体" w:eastAsia="宋体" w:cs="宋体"/>
                <w:i w:val="0"/>
                <w:iCs w:val="0"/>
                <w:color w:val="000000"/>
                <w:sz w:val="18"/>
                <w:szCs w:val="18"/>
                <w:u w:val="none"/>
              </w:rPr>
            </w:pPr>
          </w:p>
          <w:p w14:paraId="68D20FC1">
            <w:pPr>
              <w:rPr>
                <w:rFonts w:hint="eastAsia" w:ascii="宋体" w:hAnsi="宋体" w:eastAsia="宋体" w:cs="宋体"/>
                <w:i w:val="0"/>
                <w:iCs w:val="0"/>
                <w:color w:val="000000"/>
                <w:sz w:val="18"/>
                <w:szCs w:val="18"/>
                <w:u w:val="none"/>
              </w:rPr>
            </w:pPr>
          </w:p>
          <w:p w14:paraId="43A4BA76">
            <w:pPr>
              <w:rPr>
                <w:rFonts w:hint="eastAsia" w:ascii="宋体" w:hAnsi="宋体" w:eastAsia="宋体" w:cs="宋体"/>
                <w:i w:val="0"/>
                <w:iCs w:val="0"/>
                <w:color w:val="000000"/>
                <w:sz w:val="18"/>
                <w:szCs w:val="18"/>
                <w:u w:val="none"/>
              </w:rPr>
            </w:pPr>
          </w:p>
          <w:p w14:paraId="43CAB010">
            <w:pPr>
              <w:rPr>
                <w:rFonts w:hint="eastAsia" w:ascii="宋体" w:hAnsi="宋体" w:eastAsia="宋体" w:cs="宋体"/>
                <w:i w:val="0"/>
                <w:iCs w:val="0"/>
                <w:color w:val="000000"/>
                <w:sz w:val="18"/>
                <w:szCs w:val="18"/>
                <w:u w:val="none"/>
              </w:rPr>
            </w:pPr>
          </w:p>
          <w:p w14:paraId="6EEE3037">
            <w:pPr>
              <w:rPr>
                <w:rFonts w:hint="eastAsia" w:ascii="宋体" w:hAnsi="宋体" w:eastAsia="宋体" w:cs="宋体"/>
                <w:i w:val="0"/>
                <w:iCs w:val="0"/>
                <w:color w:val="000000"/>
                <w:sz w:val="18"/>
                <w:szCs w:val="18"/>
                <w:u w:val="none"/>
              </w:rPr>
            </w:pPr>
          </w:p>
          <w:p w14:paraId="50528237">
            <w:pPr>
              <w:rPr>
                <w:rFonts w:hint="eastAsia" w:ascii="宋体" w:hAnsi="宋体" w:eastAsia="宋体" w:cs="宋体"/>
                <w:i w:val="0"/>
                <w:iCs w:val="0"/>
                <w:color w:val="000000"/>
                <w:sz w:val="18"/>
                <w:szCs w:val="18"/>
                <w:u w:val="none"/>
              </w:rPr>
            </w:pPr>
          </w:p>
          <w:p w14:paraId="04269CBB">
            <w:pPr>
              <w:rPr>
                <w:rFonts w:hint="eastAsia" w:ascii="宋体" w:hAnsi="宋体" w:eastAsia="宋体" w:cs="宋体"/>
                <w:i w:val="0"/>
                <w:iCs w:val="0"/>
                <w:color w:val="000000"/>
                <w:sz w:val="18"/>
                <w:szCs w:val="18"/>
                <w:u w:val="none"/>
              </w:rPr>
            </w:pPr>
          </w:p>
          <w:p w14:paraId="5F852231">
            <w:pPr>
              <w:rPr>
                <w:rFonts w:hint="eastAsia" w:ascii="宋体" w:hAnsi="宋体" w:eastAsia="宋体" w:cs="宋体"/>
                <w:i w:val="0"/>
                <w:iCs w:val="0"/>
                <w:color w:val="000000"/>
                <w:sz w:val="18"/>
                <w:szCs w:val="18"/>
                <w:u w:val="none"/>
              </w:rPr>
            </w:pPr>
          </w:p>
          <w:p w14:paraId="5E28AD63">
            <w:pPr>
              <w:rPr>
                <w:rFonts w:hint="eastAsia" w:ascii="宋体" w:hAnsi="宋体" w:eastAsia="宋体" w:cs="宋体"/>
                <w:i w:val="0"/>
                <w:iCs w:val="0"/>
                <w:color w:val="000000"/>
                <w:sz w:val="18"/>
                <w:szCs w:val="18"/>
                <w:u w:val="none"/>
              </w:rPr>
            </w:pPr>
          </w:p>
          <w:p w14:paraId="5403683E">
            <w:pPr>
              <w:rPr>
                <w:rFonts w:hint="eastAsia" w:ascii="宋体" w:hAnsi="宋体" w:eastAsia="宋体" w:cs="宋体"/>
                <w:i w:val="0"/>
                <w:iCs w:val="0"/>
                <w:color w:val="000000"/>
                <w:sz w:val="18"/>
                <w:szCs w:val="18"/>
                <w:u w:val="none"/>
              </w:rPr>
            </w:pPr>
          </w:p>
          <w:p w14:paraId="3AE4FC5D">
            <w:pPr>
              <w:rPr>
                <w:rFonts w:hint="eastAsia" w:ascii="宋体" w:hAnsi="宋体" w:eastAsia="宋体" w:cs="宋体"/>
                <w:i w:val="0"/>
                <w:iCs w:val="0"/>
                <w:color w:val="000000"/>
                <w:sz w:val="18"/>
                <w:szCs w:val="18"/>
                <w:u w:val="none"/>
              </w:rPr>
            </w:pPr>
          </w:p>
          <w:p w14:paraId="0B0BDA1C">
            <w:pPr>
              <w:rPr>
                <w:rFonts w:hint="eastAsia" w:ascii="宋体" w:hAnsi="宋体" w:eastAsia="宋体" w:cs="宋体"/>
                <w:i w:val="0"/>
                <w:iCs w:val="0"/>
                <w:color w:val="000000"/>
                <w:sz w:val="18"/>
                <w:szCs w:val="18"/>
                <w:u w:val="none"/>
              </w:rPr>
            </w:pPr>
          </w:p>
          <w:p w14:paraId="1A80A15E">
            <w:pPr>
              <w:rPr>
                <w:rFonts w:hint="eastAsia" w:ascii="宋体" w:hAnsi="宋体" w:eastAsia="宋体" w:cs="宋体"/>
                <w:i w:val="0"/>
                <w:iCs w:val="0"/>
                <w:color w:val="000000"/>
                <w:sz w:val="18"/>
                <w:szCs w:val="18"/>
                <w:u w:val="none"/>
              </w:rPr>
            </w:pPr>
          </w:p>
          <w:p w14:paraId="70423949">
            <w:pPr>
              <w:rPr>
                <w:rFonts w:hint="eastAsia" w:ascii="宋体" w:hAnsi="宋体" w:eastAsia="宋体" w:cs="宋体"/>
                <w:i w:val="0"/>
                <w:iCs w:val="0"/>
                <w:color w:val="000000"/>
                <w:sz w:val="18"/>
                <w:szCs w:val="18"/>
                <w:u w:val="none"/>
              </w:rPr>
            </w:pPr>
          </w:p>
          <w:p w14:paraId="01988C1A">
            <w:pPr>
              <w:rPr>
                <w:rFonts w:hint="eastAsia" w:ascii="宋体" w:hAnsi="宋体" w:eastAsia="宋体" w:cs="宋体"/>
                <w:i w:val="0"/>
                <w:iCs w:val="0"/>
                <w:color w:val="000000"/>
                <w:sz w:val="18"/>
                <w:szCs w:val="18"/>
                <w:u w:val="none"/>
              </w:rPr>
            </w:pPr>
          </w:p>
          <w:p w14:paraId="325C9522">
            <w:pPr>
              <w:rPr>
                <w:rFonts w:hint="eastAsia" w:ascii="宋体" w:hAnsi="宋体" w:eastAsia="宋体" w:cs="宋体"/>
                <w:i w:val="0"/>
                <w:iCs w:val="0"/>
                <w:color w:val="000000"/>
                <w:sz w:val="18"/>
                <w:szCs w:val="18"/>
                <w:u w:val="none"/>
              </w:rPr>
            </w:pPr>
          </w:p>
          <w:p w14:paraId="0E028A0B">
            <w:pPr>
              <w:rPr>
                <w:rFonts w:hint="eastAsia" w:ascii="宋体" w:hAnsi="宋体" w:eastAsia="宋体" w:cs="宋体"/>
                <w:i w:val="0"/>
                <w:iCs w:val="0"/>
                <w:color w:val="000000"/>
                <w:sz w:val="18"/>
                <w:szCs w:val="18"/>
                <w:u w:val="none"/>
              </w:rPr>
            </w:pPr>
          </w:p>
        </w:tc>
        <w:tc>
          <w:tcPr>
            <w:tcW w:w="508" w:type="dxa"/>
            <w:tcBorders>
              <w:top w:val="nil"/>
              <w:left w:val="nil"/>
              <w:bottom w:val="nil"/>
              <w:right w:val="nil"/>
            </w:tcBorders>
            <w:shd w:val="clear" w:color="auto" w:fill="auto"/>
            <w:vAlign w:val="center"/>
          </w:tcPr>
          <w:p w14:paraId="4788ABF5">
            <w:pPr>
              <w:rPr>
                <w:rFonts w:hint="eastAsia" w:ascii="宋体" w:hAnsi="宋体" w:eastAsia="宋体" w:cs="宋体"/>
                <w:i w:val="0"/>
                <w:iCs w:val="0"/>
                <w:color w:val="000000"/>
                <w:sz w:val="18"/>
                <w:szCs w:val="18"/>
                <w:u w:val="none"/>
              </w:rPr>
            </w:pPr>
          </w:p>
        </w:tc>
        <w:tc>
          <w:tcPr>
            <w:tcW w:w="817" w:type="dxa"/>
            <w:tcBorders>
              <w:top w:val="nil"/>
              <w:left w:val="nil"/>
              <w:bottom w:val="nil"/>
              <w:right w:val="nil"/>
            </w:tcBorders>
            <w:shd w:val="clear" w:color="auto" w:fill="auto"/>
            <w:vAlign w:val="center"/>
          </w:tcPr>
          <w:p w14:paraId="195BCA40">
            <w:pPr>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auto"/>
            <w:vAlign w:val="center"/>
          </w:tcPr>
          <w:p w14:paraId="236C4FC8">
            <w:pPr>
              <w:rPr>
                <w:rFonts w:hint="eastAsia" w:ascii="宋体" w:hAnsi="宋体" w:eastAsia="宋体" w:cs="宋体"/>
                <w:i w:val="0"/>
                <w:iCs w:val="0"/>
                <w:color w:val="000000"/>
                <w:sz w:val="18"/>
                <w:szCs w:val="18"/>
                <w:u w:val="none"/>
              </w:rPr>
            </w:pPr>
          </w:p>
        </w:tc>
        <w:tc>
          <w:tcPr>
            <w:tcW w:w="523" w:type="dxa"/>
            <w:tcBorders>
              <w:top w:val="nil"/>
              <w:left w:val="nil"/>
              <w:bottom w:val="nil"/>
              <w:right w:val="nil"/>
            </w:tcBorders>
            <w:shd w:val="clear" w:color="auto" w:fill="auto"/>
            <w:vAlign w:val="center"/>
          </w:tcPr>
          <w:p w14:paraId="0F273A09">
            <w:pPr>
              <w:rPr>
                <w:rFonts w:hint="eastAsia" w:ascii="宋体" w:hAnsi="宋体" w:eastAsia="宋体" w:cs="宋体"/>
                <w:i w:val="0"/>
                <w:iCs w:val="0"/>
                <w:color w:val="000000"/>
                <w:sz w:val="18"/>
                <w:szCs w:val="18"/>
                <w:u w:val="none"/>
              </w:rPr>
            </w:pPr>
          </w:p>
        </w:tc>
        <w:tc>
          <w:tcPr>
            <w:tcW w:w="523" w:type="dxa"/>
            <w:tcBorders>
              <w:top w:val="nil"/>
              <w:left w:val="nil"/>
              <w:bottom w:val="nil"/>
              <w:right w:val="nil"/>
            </w:tcBorders>
            <w:shd w:val="clear" w:color="auto" w:fill="auto"/>
            <w:vAlign w:val="center"/>
          </w:tcPr>
          <w:p w14:paraId="2E06A10C">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4034D099">
            <w:pPr>
              <w:rPr>
                <w:rFonts w:hint="eastAsia" w:ascii="宋体" w:hAnsi="宋体" w:eastAsia="宋体" w:cs="宋体"/>
                <w:i w:val="0"/>
                <w:iCs w:val="0"/>
                <w:color w:val="000000"/>
                <w:sz w:val="18"/>
                <w:szCs w:val="18"/>
                <w:u w:val="none"/>
              </w:rPr>
            </w:pPr>
          </w:p>
        </w:tc>
      </w:tr>
      <w:tr w14:paraId="60C3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8144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4F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7F9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项目名称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F0D7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51172423T000008793659-返乡创业明星企业奖励经费</w:t>
            </w:r>
          </w:p>
        </w:tc>
      </w:tr>
      <w:tr w14:paraId="339F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E84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主管部门</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8B0C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大竹县农民工服务中心部门</w:t>
            </w:r>
          </w:p>
        </w:tc>
        <w:tc>
          <w:tcPr>
            <w:tcW w:w="910" w:type="dxa"/>
            <w:tcBorders>
              <w:top w:val="nil"/>
              <w:left w:val="nil"/>
              <w:bottom w:val="nil"/>
              <w:right w:val="nil"/>
            </w:tcBorders>
            <w:shd w:val="clear" w:color="auto" w:fill="auto"/>
            <w:vAlign w:val="center"/>
          </w:tcPr>
          <w:p w14:paraId="5CB190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实施单位 （盖章）</w:t>
            </w:r>
          </w:p>
        </w:tc>
        <w:tc>
          <w:tcPr>
            <w:tcW w:w="2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CC5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w:t>
            </w:r>
          </w:p>
        </w:tc>
      </w:tr>
      <w:tr w14:paraId="15C3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917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项目基本情况</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A61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1.项目年度目标完成情况</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81D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项目年度目标</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8F3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年度目标完成情况</w:t>
            </w:r>
          </w:p>
        </w:tc>
      </w:tr>
      <w:tr w14:paraId="520C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F8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680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CAE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对明星返乡创业农民工的奖励</w:t>
            </w:r>
          </w:p>
        </w:tc>
        <w:tc>
          <w:tcPr>
            <w:tcW w:w="3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DCAF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已完成本年度明星返乡创业农民工信息收集并上报，优秀农民工余永宽获得“明星返乡创业农民工”荣誉，获得奖励经费5万元。</w:t>
            </w:r>
          </w:p>
        </w:tc>
      </w:tr>
      <w:tr w14:paraId="4957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01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D0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2.项目实施内容及过程概述</w:t>
            </w:r>
          </w:p>
        </w:tc>
        <w:tc>
          <w:tcPr>
            <w:tcW w:w="71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472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已完成本年度明星返乡创业农民工信息收集并上报，</w:t>
            </w:r>
          </w:p>
        </w:tc>
      </w:tr>
      <w:tr w14:paraId="60A2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2A1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预算执行情况（10分）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98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年度预算数（万元）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0A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年初预算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6B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调整后预算数</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B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8B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12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C0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10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原因</w:t>
            </w:r>
          </w:p>
        </w:tc>
      </w:tr>
      <w:tr w14:paraId="09A9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70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73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总额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BB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24E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A8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36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B7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67F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91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285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4A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其中：财政资金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76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3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35A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1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46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2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BC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BC7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38C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44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4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02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DB5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3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2B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7D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0A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430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AB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88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9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B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41B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4C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3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D4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5B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2CF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D9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9A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其他资金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BB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65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F8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2C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9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E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C8B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A31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ACA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绩效指标（90分）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0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08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CD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三级指标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3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指标性质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BA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CC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完成值</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82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51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95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未完成原因分析</w:t>
            </w:r>
          </w:p>
        </w:tc>
      </w:tr>
      <w:tr w14:paraId="68F4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088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7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产出指标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37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04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对明星返乡创业农民工的奖励</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C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85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C8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C9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9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D0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BE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91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DE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A2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A4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助力乡村振兴，激励社会创业创新潜能。</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18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40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C1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6B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D9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E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AEA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83DD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62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DF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75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43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3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评价结论</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1931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已完成本年度明星返乡创业农民工信息收集并上报，优秀农民工余永宽获得“明星返乡创业农民工”荣誉，获得奖励经费5万元，已全额支付到位。该项目总分100分，通过自评，自评得分100分。</w:t>
            </w:r>
          </w:p>
        </w:tc>
      </w:tr>
      <w:tr w14:paraId="1E34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FF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存在问题</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FECF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2EC8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62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改进措施</w:t>
            </w:r>
          </w:p>
        </w:tc>
        <w:tc>
          <w:tcPr>
            <w:tcW w:w="82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103D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2506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12120">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项目负责人：谢维</w:t>
            </w:r>
          </w:p>
        </w:tc>
        <w:tc>
          <w:tcPr>
            <w:tcW w:w="4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A19FD">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财务负责人：冷琳琳</w:t>
            </w:r>
          </w:p>
        </w:tc>
      </w:tr>
    </w:tbl>
    <w:p w14:paraId="38AEE8FD">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23C4262B">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544088F1">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5FFDA64F">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42BEDDFB">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4FC208D1">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6F849011">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1B9A036D">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79876821">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0A5AB60B">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405F7448">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636FEA83">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4AB142E1">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0FD8BDCC">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p w14:paraId="5E5C27E0">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rPr>
          <w:rFonts w:hint="default" w:ascii="黑体" w:hAnsi="黑体" w:eastAsia="黑体" w:cs="黑体"/>
          <w:kern w:val="2"/>
          <w:sz w:val="32"/>
          <w:szCs w:val="24"/>
          <w:highlight w:val="none"/>
          <w:lang w:val="en-US" w:eastAsia="zh-CN" w:bidi="ar-SA"/>
        </w:rPr>
      </w:pPr>
    </w:p>
    <w:tbl>
      <w:tblPr>
        <w:tblStyle w:val="14"/>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59"/>
        <w:gridCol w:w="696"/>
        <w:gridCol w:w="1472"/>
        <w:gridCol w:w="517"/>
        <w:gridCol w:w="792"/>
        <w:gridCol w:w="986"/>
        <w:gridCol w:w="565"/>
        <w:gridCol w:w="546"/>
        <w:gridCol w:w="1691"/>
      </w:tblGrid>
      <w:tr w14:paraId="5597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9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31432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33D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448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项目名称</w:t>
            </w:r>
          </w:p>
        </w:tc>
        <w:tc>
          <w:tcPr>
            <w:tcW w:w="72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2900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51172423Y000008578582-第一书记和驻村工作队工作经费</w:t>
            </w:r>
          </w:p>
        </w:tc>
      </w:tr>
      <w:tr w14:paraId="3B2E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CDD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主管部门</w:t>
            </w: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6F8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大竹县农民工服务中心部门</w:t>
            </w:r>
          </w:p>
        </w:tc>
        <w:tc>
          <w:tcPr>
            <w:tcW w:w="927" w:type="dxa"/>
            <w:tcBorders>
              <w:top w:val="nil"/>
              <w:left w:val="nil"/>
              <w:bottom w:val="nil"/>
              <w:right w:val="nil"/>
            </w:tcBorders>
            <w:shd w:val="clear" w:color="auto" w:fill="auto"/>
            <w:vAlign w:val="center"/>
          </w:tcPr>
          <w:p w14:paraId="027A17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实施单位 （盖章）</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9F9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大竹县农民工服务中心</w:t>
            </w:r>
          </w:p>
        </w:tc>
      </w:tr>
      <w:tr w14:paraId="7FC0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A2F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项目基本情况</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CAA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1.项目年度目标完成情况</w:t>
            </w: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FE9E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项目年度目标</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7FD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年度目标完成情况</w:t>
            </w:r>
          </w:p>
        </w:tc>
      </w:tr>
      <w:tr w14:paraId="4277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3A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FF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37E8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开展驻村帮扶工作，促进脱贫攻坚与乡村振兴有效衔接。</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7A88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已完成年度驻村帮扶工作</w:t>
            </w:r>
          </w:p>
        </w:tc>
      </w:tr>
      <w:tr w14:paraId="519C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450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BE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2.项目实施内容及过程概述</w:t>
            </w:r>
          </w:p>
        </w:tc>
        <w:tc>
          <w:tcPr>
            <w:tcW w:w="72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2B99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选派第一书记驻村到相关帮扶村，开展驻村帮扶工作，促进脱贫攻坚与乡村振兴有效衔接。</w:t>
            </w:r>
          </w:p>
        </w:tc>
      </w:tr>
      <w:tr w14:paraId="13E0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212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预算执行情况（10分）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D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年度预算数（万元）</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C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年初预算</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4A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调整后预算数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AAC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预算执行数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67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预算执行率</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F1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权重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FB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得分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3D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原因</w:t>
            </w:r>
          </w:p>
        </w:tc>
      </w:tr>
      <w:tr w14:paraId="19F8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00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7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总额</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3B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6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91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6F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C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FE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8C4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9D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41D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38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其中：财政资金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5B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C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B2B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2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EC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2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F9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r>
      <w:tr w14:paraId="3198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67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7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财政专户管理资金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1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2C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B9D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A5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2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7D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BAE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r>
      <w:tr w14:paraId="2E6D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3E3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1C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单位资金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B9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62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59F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A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7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A1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81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r>
      <w:tr w14:paraId="6986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98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1D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其他资金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A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18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2A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B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4C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4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7F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r>
      <w:tr w14:paraId="6E15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B3C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绩效指标（90分）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DF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一级指标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36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二级指标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AA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三级指标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B0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A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指标值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8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完成值</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6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权重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23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得分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E8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未完成原因分析</w:t>
            </w:r>
          </w:p>
        </w:tc>
      </w:tr>
      <w:tr w14:paraId="354A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E3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F0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产出指标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EE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质量指标</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8D0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服务于帮扶村，开展驻村帮扶工作</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6F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97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F0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0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50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DB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r>
      <w:tr w14:paraId="196F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84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F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效益指标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45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社会效益指标</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3C5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开展帮扶工作，提高满意度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59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优良中低差</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9B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良好</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76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F2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40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50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r>
      <w:tr w14:paraId="7646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0BA3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合计</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DB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8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37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r>
      <w:tr w14:paraId="5FBF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0F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评价结论</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986E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选派第一书记驻村到相关帮扶村，已完成年度驻村帮扶工作，促进脱贫攻坚与乡村振兴有效衔接。该项目总分100分，通过自评，自评得分100分。</w:t>
            </w:r>
          </w:p>
        </w:tc>
      </w:tr>
      <w:tr w14:paraId="200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6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存在问题</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EDAE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无</w:t>
            </w:r>
          </w:p>
        </w:tc>
      </w:tr>
      <w:tr w14:paraId="7D89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E4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改进措施</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93B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无</w:t>
            </w:r>
          </w:p>
        </w:tc>
      </w:tr>
      <w:tr w14:paraId="1E76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B63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项目负责人：王世乾</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568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财务负责人：冷琳琳</w:t>
            </w:r>
          </w:p>
        </w:tc>
      </w:tr>
      <w:tr w14:paraId="7921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tcBorders>
              <w:top w:val="nil"/>
              <w:left w:val="nil"/>
              <w:bottom w:val="nil"/>
              <w:right w:val="nil"/>
            </w:tcBorders>
            <w:shd w:val="clear" w:color="auto" w:fill="auto"/>
            <w:vAlign w:val="center"/>
          </w:tcPr>
          <w:p w14:paraId="6CFB6E51">
            <w:pPr>
              <w:rPr>
                <w:rFonts w:hint="eastAsia" w:ascii="宋体" w:hAnsi="宋体" w:eastAsia="宋体" w:cs="宋体"/>
                <w:i w:val="0"/>
                <w:iCs w:val="0"/>
                <w:color w:val="000000"/>
                <w:sz w:val="18"/>
                <w:szCs w:val="18"/>
                <w:u w:val="none"/>
              </w:rPr>
            </w:pPr>
          </w:p>
        </w:tc>
        <w:tc>
          <w:tcPr>
            <w:tcW w:w="1192" w:type="dxa"/>
            <w:tcBorders>
              <w:top w:val="nil"/>
              <w:left w:val="nil"/>
              <w:bottom w:val="nil"/>
              <w:right w:val="nil"/>
            </w:tcBorders>
            <w:shd w:val="clear" w:color="auto" w:fill="auto"/>
            <w:vAlign w:val="center"/>
          </w:tcPr>
          <w:p w14:paraId="16C776CF">
            <w:pPr>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auto"/>
            <w:vAlign w:val="center"/>
          </w:tcPr>
          <w:p w14:paraId="65FE3275">
            <w:pPr>
              <w:rPr>
                <w:rFonts w:hint="eastAsia" w:ascii="宋体" w:hAnsi="宋体" w:eastAsia="宋体" w:cs="宋体"/>
                <w:i w:val="0"/>
                <w:iCs w:val="0"/>
                <w:color w:val="000000"/>
                <w:sz w:val="18"/>
                <w:szCs w:val="18"/>
                <w:u w:val="none"/>
              </w:rPr>
            </w:pPr>
          </w:p>
        </w:tc>
        <w:tc>
          <w:tcPr>
            <w:tcW w:w="1523" w:type="dxa"/>
            <w:tcBorders>
              <w:top w:val="nil"/>
              <w:left w:val="nil"/>
              <w:bottom w:val="nil"/>
              <w:right w:val="nil"/>
            </w:tcBorders>
            <w:shd w:val="clear" w:color="auto" w:fill="auto"/>
            <w:vAlign w:val="center"/>
          </w:tcPr>
          <w:p w14:paraId="53755351">
            <w:pPr>
              <w:rPr>
                <w:rFonts w:hint="eastAsia" w:ascii="宋体" w:hAnsi="宋体" w:eastAsia="宋体" w:cs="宋体"/>
                <w:i w:val="0"/>
                <w:iCs w:val="0"/>
                <w:color w:val="000000"/>
                <w:sz w:val="18"/>
                <w:szCs w:val="18"/>
                <w:u w:val="none"/>
              </w:rPr>
            </w:pPr>
          </w:p>
          <w:p w14:paraId="5FF6861E">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14:paraId="7B2B4FA5">
            <w:pPr>
              <w:rPr>
                <w:rFonts w:hint="eastAsia" w:ascii="宋体" w:hAnsi="宋体" w:eastAsia="宋体" w:cs="宋体"/>
                <w:i w:val="0"/>
                <w:iCs w:val="0"/>
                <w:color w:val="000000"/>
                <w:sz w:val="18"/>
                <w:szCs w:val="18"/>
                <w:u w:val="none"/>
              </w:rPr>
            </w:pPr>
          </w:p>
        </w:tc>
        <w:tc>
          <w:tcPr>
            <w:tcW w:w="794" w:type="dxa"/>
            <w:tcBorders>
              <w:top w:val="nil"/>
              <w:left w:val="nil"/>
              <w:bottom w:val="nil"/>
              <w:right w:val="nil"/>
            </w:tcBorders>
            <w:shd w:val="clear" w:color="auto" w:fill="auto"/>
            <w:vAlign w:val="center"/>
          </w:tcPr>
          <w:p w14:paraId="038EA21F">
            <w:pPr>
              <w:rPr>
                <w:rFonts w:hint="eastAsia" w:ascii="宋体" w:hAnsi="宋体" w:eastAsia="宋体" w:cs="宋体"/>
                <w:i w:val="0"/>
                <w:iCs w:val="0"/>
                <w:color w:val="000000"/>
                <w:sz w:val="18"/>
                <w:szCs w:val="18"/>
                <w:u w:val="none"/>
              </w:rPr>
            </w:pPr>
          </w:p>
        </w:tc>
        <w:tc>
          <w:tcPr>
            <w:tcW w:w="927" w:type="dxa"/>
            <w:tcBorders>
              <w:top w:val="nil"/>
              <w:left w:val="nil"/>
              <w:bottom w:val="nil"/>
              <w:right w:val="nil"/>
            </w:tcBorders>
            <w:shd w:val="clear" w:color="auto" w:fill="auto"/>
            <w:vAlign w:val="center"/>
          </w:tcPr>
          <w:p w14:paraId="00DC94F6">
            <w:pPr>
              <w:rPr>
                <w:rFonts w:hint="eastAsia" w:ascii="宋体" w:hAnsi="宋体" w:eastAsia="宋体" w:cs="宋体"/>
                <w:i w:val="0"/>
                <w:iCs w:val="0"/>
                <w:color w:val="000000"/>
                <w:sz w:val="18"/>
                <w:szCs w:val="18"/>
                <w:u w:val="none"/>
              </w:rPr>
            </w:pPr>
          </w:p>
        </w:tc>
        <w:tc>
          <w:tcPr>
            <w:tcW w:w="566" w:type="dxa"/>
            <w:tcBorders>
              <w:top w:val="nil"/>
              <w:left w:val="nil"/>
              <w:bottom w:val="nil"/>
              <w:right w:val="nil"/>
            </w:tcBorders>
            <w:shd w:val="clear" w:color="auto" w:fill="auto"/>
            <w:vAlign w:val="center"/>
          </w:tcPr>
          <w:p w14:paraId="3291EA15">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3B1B7CA9">
            <w:pPr>
              <w:rPr>
                <w:rFonts w:hint="eastAsia" w:ascii="宋体" w:hAnsi="宋体" w:eastAsia="宋体" w:cs="宋体"/>
                <w:i w:val="0"/>
                <w:iCs w:val="0"/>
                <w:color w:val="000000"/>
                <w:sz w:val="18"/>
                <w:szCs w:val="18"/>
                <w:u w:val="none"/>
              </w:rPr>
            </w:pPr>
          </w:p>
        </w:tc>
        <w:tc>
          <w:tcPr>
            <w:tcW w:w="1735" w:type="dxa"/>
            <w:tcBorders>
              <w:top w:val="nil"/>
              <w:left w:val="nil"/>
              <w:bottom w:val="nil"/>
              <w:right w:val="nil"/>
            </w:tcBorders>
            <w:shd w:val="clear" w:color="auto" w:fill="auto"/>
            <w:vAlign w:val="center"/>
          </w:tcPr>
          <w:p w14:paraId="66F7CF2A">
            <w:pPr>
              <w:rPr>
                <w:rFonts w:hint="eastAsia" w:ascii="宋体" w:hAnsi="宋体" w:eastAsia="宋体" w:cs="宋体"/>
                <w:i w:val="0"/>
                <w:iCs w:val="0"/>
                <w:color w:val="000000"/>
                <w:sz w:val="18"/>
                <w:szCs w:val="18"/>
                <w:u w:val="none"/>
              </w:rPr>
            </w:pPr>
          </w:p>
        </w:tc>
      </w:tr>
      <w:tr w14:paraId="4BFB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1A4BD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32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619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项目名称</w:t>
            </w:r>
          </w:p>
        </w:tc>
        <w:tc>
          <w:tcPr>
            <w:tcW w:w="72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3F4E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51172422T000006946692</w:t>
            </w:r>
            <w:bookmarkStart w:id="46" w:name="_GoBack"/>
            <w:bookmarkEnd w:id="46"/>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-大竹县驻成都流动党员党委工作经费</w:t>
            </w:r>
          </w:p>
        </w:tc>
      </w:tr>
      <w:tr w14:paraId="22A0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F0B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主管部门</w:t>
            </w: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318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大竹县农民工服务中心部门</w:t>
            </w:r>
          </w:p>
        </w:tc>
        <w:tc>
          <w:tcPr>
            <w:tcW w:w="927" w:type="dxa"/>
            <w:tcBorders>
              <w:top w:val="nil"/>
              <w:left w:val="nil"/>
              <w:bottom w:val="nil"/>
              <w:right w:val="nil"/>
            </w:tcBorders>
            <w:shd w:val="clear" w:color="auto" w:fill="auto"/>
            <w:vAlign w:val="center"/>
          </w:tcPr>
          <w:p w14:paraId="02813B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实施单位 （盖章）</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F49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w:t>
            </w:r>
          </w:p>
        </w:tc>
      </w:tr>
      <w:tr w14:paraId="35CD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219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项目基本情况</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DD0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1.项目年度目标完成情况</w:t>
            </w: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11E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项目年度目标</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B7E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年度目标完成情况</w:t>
            </w:r>
          </w:p>
        </w:tc>
      </w:tr>
      <w:tr w14:paraId="3CBD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19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A1E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6AF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驻成都流动党员党委工作经费</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8CB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开展党建工作及指导农民工工作站工作，强化党组织建设。</w:t>
            </w:r>
          </w:p>
        </w:tc>
      </w:tr>
      <w:tr w14:paraId="2EA6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08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53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2.项目实施内容及过程概述</w:t>
            </w:r>
          </w:p>
        </w:tc>
        <w:tc>
          <w:tcPr>
            <w:tcW w:w="72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E7B3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驻成都流动党员党委开展党建工作及指导农民工工作站工作，强化党组织建设。</w:t>
            </w:r>
          </w:p>
        </w:tc>
      </w:tr>
      <w:tr w14:paraId="2D6E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14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预算执行情况（10分）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95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年度预算数（万元）</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47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年初预算</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A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调整后预算数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9C0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E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预算执行率</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8B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0C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3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原因</w:t>
            </w:r>
          </w:p>
        </w:tc>
      </w:tr>
      <w:tr w14:paraId="44E9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F1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A2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总额</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CF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F7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476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7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D0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4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10B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C6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212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39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其中：财政资金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27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D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2B8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6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08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24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A4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C82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9F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6C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5C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A3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C9C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00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6E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80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8A7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129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58F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DC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DA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45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40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FF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E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61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1B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DDA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0D0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63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2F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79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CF8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2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8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A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7A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5F7A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C61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绩效指标（90分）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57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一级指标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89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二级指标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CD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三级指标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C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3C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B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完成值</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F6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A2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79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未完成原因分析</w:t>
            </w:r>
          </w:p>
        </w:tc>
      </w:tr>
      <w:tr w14:paraId="0A6E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73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4D9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产出指标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0F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数量指标</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EDF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组织流动党员学习</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1F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DE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7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DE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52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7FEF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9D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E8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B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质量指标</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748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举办党建活动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0F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优良中低差</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1F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优良</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F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D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C7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203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EFC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AA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效益指标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B1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社会效益指标</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893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提高党员素质，加强党的建设</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8E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优良中低差</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65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优良</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A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2C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A2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485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F9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B4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满意度指标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20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满意度指标</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E7D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党员满意度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D1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9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50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D4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CB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1F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466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1A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成本指标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8B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经济成本指标</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F90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严格控制经费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71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5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DA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32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D1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2C45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F6D8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CA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BC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5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DAD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BD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评价结论</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2A78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已完成党建工作及指导农民工工作站工作，强化党组织建设。，提高了农民工及流动党员满意度。该项目总分100分，通过自评，自评得分100分。</w:t>
            </w:r>
          </w:p>
        </w:tc>
      </w:tr>
      <w:tr w14:paraId="70BF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A3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存在问题</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3C29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2A52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FB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改进措施</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3DFB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6501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9F3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项目负责人：唐文果</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7EB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财务负责人：冷琳琳</w:t>
            </w:r>
          </w:p>
        </w:tc>
      </w:tr>
      <w:tr w14:paraId="648B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tcBorders>
              <w:top w:val="nil"/>
              <w:left w:val="nil"/>
              <w:bottom w:val="nil"/>
              <w:right w:val="nil"/>
            </w:tcBorders>
            <w:shd w:val="clear" w:color="auto" w:fill="auto"/>
            <w:vAlign w:val="center"/>
          </w:tcPr>
          <w:p w14:paraId="656A8E55">
            <w:pPr>
              <w:rPr>
                <w:rFonts w:hint="eastAsia" w:ascii="宋体" w:hAnsi="宋体" w:eastAsia="宋体" w:cs="宋体"/>
                <w:i w:val="0"/>
                <w:iCs w:val="0"/>
                <w:color w:val="000000"/>
                <w:sz w:val="18"/>
                <w:szCs w:val="18"/>
                <w:u w:val="none"/>
              </w:rPr>
            </w:pPr>
          </w:p>
        </w:tc>
        <w:tc>
          <w:tcPr>
            <w:tcW w:w="1192" w:type="dxa"/>
            <w:tcBorders>
              <w:top w:val="nil"/>
              <w:left w:val="nil"/>
              <w:bottom w:val="nil"/>
              <w:right w:val="nil"/>
            </w:tcBorders>
            <w:shd w:val="clear" w:color="auto" w:fill="auto"/>
            <w:vAlign w:val="center"/>
          </w:tcPr>
          <w:p w14:paraId="6FC6AF1A">
            <w:pPr>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auto"/>
            <w:vAlign w:val="center"/>
          </w:tcPr>
          <w:p w14:paraId="3974CCE9">
            <w:pPr>
              <w:rPr>
                <w:rFonts w:hint="eastAsia" w:ascii="宋体" w:hAnsi="宋体" w:eastAsia="宋体" w:cs="宋体"/>
                <w:i w:val="0"/>
                <w:iCs w:val="0"/>
                <w:color w:val="000000"/>
                <w:sz w:val="18"/>
                <w:szCs w:val="18"/>
                <w:u w:val="none"/>
              </w:rPr>
            </w:pPr>
          </w:p>
        </w:tc>
        <w:tc>
          <w:tcPr>
            <w:tcW w:w="1523" w:type="dxa"/>
            <w:tcBorders>
              <w:top w:val="nil"/>
              <w:left w:val="nil"/>
              <w:bottom w:val="nil"/>
              <w:right w:val="nil"/>
            </w:tcBorders>
            <w:shd w:val="clear" w:color="auto" w:fill="auto"/>
            <w:vAlign w:val="center"/>
          </w:tcPr>
          <w:p w14:paraId="6317FD8E">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14:paraId="48B107A0">
            <w:pPr>
              <w:rPr>
                <w:rFonts w:hint="eastAsia" w:ascii="宋体" w:hAnsi="宋体" w:eastAsia="宋体" w:cs="宋体"/>
                <w:i w:val="0"/>
                <w:iCs w:val="0"/>
                <w:color w:val="000000"/>
                <w:sz w:val="18"/>
                <w:szCs w:val="18"/>
                <w:u w:val="none"/>
              </w:rPr>
            </w:pPr>
          </w:p>
        </w:tc>
        <w:tc>
          <w:tcPr>
            <w:tcW w:w="794" w:type="dxa"/>
            <w:tcBorders>
              <w:top w:val="nil"/>
              <w:left w:val="nil"/>
              <w:bottom w:val="nil"/>
              <w:right w:val="nil"/>
            </w:tcBorders>
            <w:shd w:val="clear" w:color="auto" w:fill="auto"/>
            <w:vAlign w:val="center"/>
          </w:tcPr>
          <w:p w14:paraId="2DB1FA7B">
            <w:pPr>
              <w:rPr>
                <w:rFonts w:hint="eastAsia" w:ascii="宋体" w:hAnsi="宋体" w:eastAsia="宋体" w:cs="宋体"/>
                <w:i w:val="0"/>
                <w:iCs w:val="0"/>
                <w:color w:val="000000"/>
                <w:sz w:val="18"/>
                <w:szCs w:val="18"/>
                <w:u w:val="none"/>
              </w:rPr>
            </w:pPr>
          </w:p>
          <w:p w14:paraId="060CE336">
            <w:pPr>
              <w:rPr>
                <w:rFonts w:hint="eastAsia" w:ascii="宋体" w:hAnsi="宋体" w:eastAsia="宋体" w:cs="宋体"/>
                <w:i w:val="0"/>
                <w:iCs w:val="0"/>
                <w:color w:val="000000"/>
                <w:sz w:val="18"/>
                <w:szCs w:val="18"/>
                <w:u w:val="none"/>
              </w:rPr>
            </w:pPr>
          </w:p>
          <w:p w14:paraId="202E9543">
            <w:pPr>
              <w:rPr>
                <w:rFonts w:hint="eastAsia" w:ascii="宋体" w:hAnsi="宋体" w:eastAsia="宋体" w:cs="宋体"/>
                <w:i w:val="0"/>
                <w:iCs w:val="0"/>
                <w:color w:val="000000"/>
                <w:sz w:val="18"/>
                <w:szCs w:val="18"/>
                <w:u w:val="none"/>
              </w:rPr>
            </w:pPr>
          </w:p>
          <w:p w14:paraId="23BC1627">
            <w:pPr>
              <w:rPr>
                <w:rFonts w:hint="eastAsia" w:ascii="宋体" w:hAnsi="宋体" w:eastAsia="宋体" w:cs="宋体"/>
                <w:i w:val="0"/>
                <w:iCs w:val="0"/>
                <w:color w:val="000000"/>
                <w:sz w:val="18"/>
                <w:szCs w:val="18"/>
                <w:u w:val="none"/>
              </w:rPr>
            </w:pPr>
          </w:p>
          <w:p w14:paraId="0F0AB1C9">
            <w:pPr>
              <w:rPr>
                <w:rFonts w:hint="eastAsia" w:ascii="宋体" w:hAnsi="宋体" w:eastAsia="宋体" w:cs="宋体"/>
                <w:i w:val="0"/>
                <w:iCs w:val="0"/>
                <w:color w:val="000000"/>
                <w:sz w:val="18"/>
                <w:szCs w:val="18"/>
                <w:u w:val="none"/>
              </w:rPr>
            </w:pPr>
          </w:p>
          <w:p w14:paraId="0A009401">
            <w:pPr>
              <w:rPr>
                <w:rFonts w:hint="eastAsia" w:ascii="宋体" w:hAnsi="宋体" w:eastAsia="宋体" w:cs="宋体"/>
                <w:i w:val="0"/>
                <w:iCs w:val="0"/>
                <w:color w:val="000000"/>
                <w:sz w:val="18"/>
                <w:szCs w:val="18"/>
                <w:u w:val="none"/>
              </w:rPr>
            </w:pPr>
          </w:p>
          <w:p w14:paraId="6FA86374">
            <w:pPr>
              <w:rPr>
                <w:rFonts w:hint="eastAsia" w:ascii="宋体" w:hAnsi="宋体" w:eastAsia="宋体" w:cs="宋体"/>
                <w:i w:val="0"/>
                <w:iCs w:val="0"/>
                <w:color w:val="000000"/>
                <w:sz w:val="18"/>
                <w:szCs w:val="18"/>
                <w:u w:val="none"/>
              </w:rPr>
            </w:pPr>
          </w:p>
          <w:p w14:paraId="1F31ED19">
            <w:pPr>
              <w:rPr>
                <w:rFonts w:hint="eastAsia" w:ascii="宋体" w:hAnsi="宋体" w:eastAsia="宋体" w:cs="宋体"/>
                <w:i w:val="0"/>
                <w:iCs w:val="0"/>
                <w:color w:val="000000"/>
                <w:sz w:val="18"/>
                <w:szCs w:val="18"/>
                <w:u w:val="none"/>
              </w:rPr>
            </w:pPr>
          </w:p>
          <w:p w14:paraId="451003AD">
            <w:pPr>
              <w:rPr>
                <w:rFonts w:hint="eastAsia" w:ascii="宋体" w:hAnsi="宋体" w:eastAsia="宋体" w:cs="宋体"/>
                <w:i w:val="0"/>
                <w:iCs w:val="0"/>
                <w:color w:val="000000"/>
                <w:sz w:val="18"/>
                <w:szCs w:val="18"/>
                <w:u w:val="none"/>
              </w:rPr>
            </w:pPr>
          </w:p>
          <w:p w14:paraId="1BFEC17B">
            <w:pPr>
              <w:rPr>
                <w:rFonts w:hint="eastAsia" w:ascii="宋体" w:hAnsi="宋体" w:eastAsia="宋体" w:cs="宋体"/>
                <w:i w:val="0"/>
                <w:iCs w:val="0"/>
                <w:color w:val="000000"/>
                <w:sz w:val="18"/>
                <w:szCs w:val="18"/>
                <w:u w:val="none"/>
              </w:rPr>
            </w:pPr>
          </w:p>
          <w:p w14:paraId="5A1EA4A5">
            <w:pPr>
              <w:rPr>
                <w:rFonts w:hint="eastAsia" w:ascii="宋体" w:hAnsi="宋体" w:eastAsia="宋体" w:cs="宋体"/>
                <w:i w:val="0"/>
                <w:iCs w:val="0"/>
                <w:color w:val="000000"/>
                <w:sz w:val="18"/>
                <w:szCs w:val="18"/>
                <w:u w:val="none"/>
              </w:rPr>
            </w:pPr>
          </w:p>
          <w:p w14:paraId="0A8307DE">
            <w:pPr>
              <w:rPr>
                <w:rFonts w:hint="eastAsia" w:ascii="宋体" w:hAnsi="宋体" w:eastAsia="宋体" w:cs="宋体"/>
                <w:i w:val="0"/>
                <w:iCs w:val="0"/>
                <w:color w:val="000000"/>
                <w:sz w:val="18"/>
                <w:szCs w:val="18"/>
                <w:u w:val="none"/>
              </w:rPr>
            </w:pPr>
          </w:p>
          <w:p w14:paraId="52BC446B">
            <w:pPr>
              <w:rPr>
                <w:rFonts w:hint="eastAsia" w:ascii="宋体" w:hAnsi="宋体" w:eastAsia="宋体" w:cs="宋体"/>
                <w:i w:val="0"/>
                <w:iCs w:val="0"/>
                <w:color w:val="000000"/>
                <w:sz w:val="18"/>
                <w:szCs w:val="18"/>
                <w:u w:val="none"/>
              </w:rPr>
            </w:pPr>
          </w:p>
          <w:p w14:paraId="5B829A14">
            <w:pPr>
              <w:rPr>
                <w:rFonts w:hint="eastAsia" w:ascii="宋体" w:hAnsi="宋体" w:eastAsia="宋体" w:cs="宋体"/>
                <w:i w:val="0"/>
                <w:iCs w:val="0"/>
                <w:color w:val="000000"/>
                <w:sz w:val="18"/>
                <w:szCs w:val="18"/>
                <w:u w:val="none"/>
              </w:rPr>
            </w:pPr>
          </w:p>
          <w:p w14:paraId="448CD329">
            <w:pPr>
              <w:rPr>
                <w:rFonts w:hint="eastAsia" w:ascii="宋体" w:hAnsi="宋体" w:eastAsia="宋体" w:cs="宋体"/>
                <w:i w:val="0"/>
                <w:iCs w:val="0"/>
                <w:color w:val="000000"/>
                <w:sz w:val="18"/>
                <w:szCs w:val="18"/>
                <w:u w:val="none"/>
              </w:rPr>
            </w:pPr>
          </w:p>
          <w:p w14:paraId="00A154B3">
            <w:pPr>
              <w:rPr>
                <w:rFonts w:hint="eastAsia" w:ascii="宋体" w:hAnsi="宋体" w:eastAsia="宋体" w:cs="宋体"/>
                <w:i w:val="0"/>
                <w:iCs w:val="0"/>
                <w:color w:val="000000"/>
                <w:sz w:val="18"/>
                <w:szCs w:val="18"/>
                <w:u w:val="none"/>
              </w:rPr>
            </w:pPr>
          </w:p>
          <w:p w14:paraId="75628514">
            <w:pPr>
              <w:rPr>
                <w:rFonts w:hint="eastAsia" w:ascii="宋体" w:hAnsi="宋体" w:eastAsia="宋体" w:cs="宋体"/>
                <w:i w:val="0"/>
                <w:iCs w:val="0"/>
                <w:color w:val="000000"/>
                <w:sz w:val="18"/>
                <w:szCs w:val="18"/>
                <w:u w:val="none"/>
              </w:rPr>
            </w:pPr>
          </w:p>
          <w:p w14:paraId="479C352F">
            <w:pPr>
              <w:rPr>
                <w:rFonts w:hint="eastAsia" w:ascii="宋体" w:hAnsi="宋体" w:eastAsia="宋体" w:cs="宋体"/>
                <w:i w:val="0"/>
                <w:iCs w:val="0"/>
                <w:color w:val="000000"/>
                <w:sz w:val="18"/>
                <w:szCs w:val="18"/>
                <w:u w:val="none"/>
              </w:rPr>
            </w:pPr>
          </w:p>
          <w:p w14:paraId="311667AD">
            <w:pPr>
              <w:rPr>
                <w:rFonts w:hint="eastAsia" w:ascii="宋体" w:hAnsi="宋体" w:eastAsia="宋体" w:cs="宋体"/>
                <w:i w:val="0"/>
                <w:iCs w:val="0"/>
                <w:color w:val="000000"/>
                <w:sz w:val="18"/>
                <w:szCs w:val="18"/>
                <w:u w:val="none"/>
              </w:rPr>
            </w:pPr>
          </w:p>
          <w:p w14:paraId="667F042B">
            <w:pPr>
              <w:rPr>
                <w:rFonts w:hint="eastAsia" w:ascii="宋体" w:hAnsi="宋体" w:eastAsia="宋体" w:cs="宋体"/>
                <w:i w:val="0"/>
                <w:iCs w:val="0"/>
                <w:color w:val="000000"/>
                <w:sz w:val="18"/>
                <w:szCs w:val="18"/>
                <w:u w:val="none"/>
              </w:rPr>
            </w:pPr>
          </w:p>
          <w:p w14:paraId="2474A111">
            <w:pPr>
              <w:rPr>
                <w:rFonts w:hint="eastAsia" w:ascii="宋体" w:hAnsi="宋体" w:eastAsia="宋体" w:cs="宋体"/>
                <w:i w:val="0"/>
                <w:iCs w:val="0"/>
                <w:color w:val="000000"/>
                <w:sz w:val="18"/>
                <w:szCs w:val="18"/>
                <w:u w:val="none"/>
              </w:rPr>
            </w:pPr>
          </w:p>
          <w:p w14:paraId="64EC33AA">
            <w:pPr>
              <w:rPr>
                <w:rFonts w:hint="eastAsia" w:ascii="宋体" w:hAnsi="宋体" w:eastAsia="宋体" w:cs="宋体"/>
                <w:i w:val="0"/>
                <w:iCs w:val="0"/>
                <w:color w:val="000000"/>
                <w:sz w:val="18"/>
                <w:szCs w:val="18"/>
                <w:u w:val="none"/>
              </w:rPr>
            </w:pPr>
          </w:p>
          <w:p w14:paraId="1669C8A1">
            <w:pPr>
              <w:rPr>
                <w:rFonts w:hint="eastAsia" w:ascii="宋体" w:hAnsi="宋体" w:eastAsia="宋体" w:cs="宋体"/>
                <w:i w:val="0"/>
                <w:iCs w:val="0"/>
                <w:color w:val="000000"/>
                <w:sz w:val="18"/>
                <w:szCs w:val="18"/>
                <w:u w:val="none"/>
              </w:rPr>
            </w:pPr>
          </w:p>
          <w:p w14:paraId="5BB96317">
            <w:pPr>
              <w:rPr>
                <w:rFonts w:hint="eastAsia" w:ascii="宋体" w:hAnsi="宋体" w:eastAsia="宋体" w:cs="宋体"/>
                <w:i w:val="0"/>
                <w:iCs w:val="0"/>
                <w:color w:val="000000"/>
                <w:sz w:val="18"/>
                <w:szCs w:val="18"/>
                <w:u w:val="none"/>
              </w:rPr>
            </w:pPr>
          </w:p>
          <w:p w14:paraId="00C2CA42">
            <w:pPr>
              <w:rPr>
                <w:rFonts w:hint="eastAsia" w:ascii="宋体" w:hAnsi="宋体" w:eastAsia="宋体" w:cs="宋体"/>
                <w:i w:val="0"/>
                <w:iCs w:val="0"/>
                <w:color w:val="000000"/>
                <w:sz w:val="18"/>
                <w:szCs w:val="18"/>
                <w:u w:val="none"/>
              </w:rPr>
            </w:pPr>
          </w:p>
          <w:p w14:paraId="5E686F41">
            <w:pPr>
              <w:rPr>
                <w:rFonts w:hint="eastAsia" w:ascii="宋体" w:hAnsi="宋体" w:eastAsia="宋体" w:cs="宋体"/>
                <w:i w:val="0"/>
                <w:iCs w:val="0"/>
                <w:color w:val="000000"/>
                <w:sz w:val="18"/>
                <w:szCs w:val="18"/>
                <w:u w:val="none"/>
              </w:rPr>
            </w:pPr>
          </w:p>
          <w:p w14:paraId="0F16E477">
            <w:pPr>
              <w:rPr>
                <w:rFonts w:hint="eastAsia" w:ascii="宋体" w:hAnsi="宋体" w:eastAsia="宋体" w:cs="宋体"/>
                <w:i w:val="0"/>
                <w:iCs w:val="0"/>
                <w:color w:val="000000"/>
                <w:sz w:val="18"/>
                <w:szCs w:val="18"/>
                <w:u w:val="none"/>
              </w:rPr>
            </w:pPr>
          </w:p>
          <w:p w14:paraId="6DC5B823">
            <w:pPr>
              <w:rPr>
                <w:rFonts w:hint="eastAsia" w:ascii="宋体" w:hAnsi="宋体" w:eastAsia="宋体" w:cs="宋体"/>
                <w:i w:val="0"/>
                <w:iCs w:val="0"/>
                <w:color w:val="000000"/>
                <w:sz w:val="18"/>
                <w:szCs w:val="18"/>
                <w:u w:val="none"/>
              </w:rPr>
            </w:pPr>
          </w:p>
          <w:p w14:paraId="5C980F8B">
            <w:pPr>
              <w:rPr>
                <w:rFonts w:hint="eastAsia" w:ascii="宋体" w:hAnsi="宋体" w:eastAsia="宋体" w:cs="宋体"/>
                <w:i w:val="0"/>
                <w:iCs w:val="0"/>
                <w:color w:val="000000"/>
                <w:sz w:val="18"/>
                <w:szCs w:val="18"/>
                <w:u w:val="none"/>
              </w:rPr>
            </w:pPr>
          </w:p>
          <w:p w14:paraId="54AA670B">
            <w:pPr>
              <w:rPr>
                <w:rFonts w:hint="eastAsia" w:ascii="宋体" w:hAnsi="宋体" w:eastAsia="宋体" w:cs="宋体"/>
                <w:i w:val="0"/>
                <w:iCs w:val="0"/>
                <w:color w:val="000000"/>
                <w:sz w:val="18"/>
                <w:szCs w:val="18"/>
                <w:u w:val="none"/>
              </w:rPr>
            </w:pPr>
          </w:p>
        </w:tc>
        <w:tc>
          <w:tcPr>
            <w:tcW w:w="927" w:type="dxa"/>
            <w:tcBorders>
              <w:top w:val="nil"/>
              <w:left w:val="nil"/>
              <w:bottom w:val="nil"/>
              <w:right w:val="nil"/>
            </w:tcBorders>
            <w:shd w:val="clear" w:color="auto" w:fill="auto"/>
            <w:vAlign w:val="center"/>
          </w:tcPr>
          <w:p w14:paraId="7AD54AE3">
            <w:pPr>
              <w:rPr>
                <w:rFonts w:hint="eastAsia" w:ascii="宋体" w:hAnsi="宋体" w:eastAsia="宋体" w:cs="宋体"/>
                <w:i w:val="0"/>
                <w:iCs w:val="0"/>
                <w:color w:val="000000"/>
                <w:sz w:val="18"/>
                <w:szCs w:val="18"/>
                <w:u w:val="none"/>
              </w:rPr>
            </w:pPr>
          </w:p>
        </w:tc>
        <w:tc>
          <w:tcPr>
            <w:tcW w:w="566" w:type="dxa"/>
            <w:tcBorders>
              <w:top w:val="nil"/>
              <w:left w:val="nil"/>
              <w:bottom w:val="nil"/>
              <w:right w:val="nil"/>
            </w:tcBorders>
            <w:shd w:val="clear" w:color="auto" w:fill="auto"/>
            <w:vAlign w:val="center"/>
          </w:tcPr>
          <w:p w14:paraId="7097280C">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0FE4D216">
            <w:pPr>
              <w:rPr>
                <w:rFonts w:hint="eastAsia" w:ascii="宋体" w:hAnsi="宋体" w:eastAsia="宋体" w:cs="宋体"/>
                <w:i w:val="0"/>
                <w:iCs w:val="0"/>
                <w:color w:val="000000"/>
                <w:sz w:val="18"/>
                <w:szCs w:val="18"/>
                <w:u w:val="none"/>
              </w:rPr>
            </w:pPr>
          </w:p>
        </w:tc>
        <w:tc>
          <w:tcPr>
            <w:tcW w:w="1735" w:type="dxa"/>
            <w:tcBorders>
              <w:top w:val="nil"/>
              <w:left w:val="nil"/>
              <w:bottom w:val="nil"/>
              <w:right w:val="nil"/>
            </w:tcBorders>
            <w:shd w:val="clear" w:color="auto" w:fill="auto"/>
            <w:vAlign w:val="center"/>
          </w:tcPr>
          <w:p w14:paraId="70FF86E0">
            <w:pPr>
              <w:rPr>
                <w:rFonts w:hint="eastAsia" w:ascii="宋体" w:hAnsi="宋体" w:eastAsia="宋体" w:cs="宋体"/>
                <w:i w:val="0"/>
                <w:iCs w:val="0"/>
                <w:color w:val="000000"/>
                <w:sz w:val="18"/>
                <w:szCs w:val="18"/>
                <w:u w:val="none"/>
              </w:rPr>
            </w:pPr>
          </w:p>
        </w:tc>
      </w:tr>
      <w:tr w14:paraId="5162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048CE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1F4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56E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项目名称</w:t>
            </w:r>
          </w:p>
        </w:tc>
        <w:tc>
          <w:tcPr>
            <w:tcW w:w="72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27CB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51172423T000009403547-劳务品牌培训和返乡创业培训</w:t>
            </w:r>
          </w:p>
        </w:tc>
      </w:tr>
      <w:tr w14:paraId="6AC0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36D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主管部门</w:t>
            </w: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9099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大竹县农民工服务中心部门</w:t>
            </w:r>
          </w:p>
        </w:tc>
        <w:tc>
          <w:tcPr>
            <w:tcW w:w="927" w:type="dxa"/>
            <w:tcBorders>
              <w:top w:val="nil"/>
              <w:left w:val="nil"/>
              <w:bottom w:val="nil"/>
              <w:right w:val="nil"/>
            </w:tcBorders>
            <w:shd w:val="clear" w:color="auto" w:fill="auto"/>
            <w:vAlign w:val="center"/>
          </w:tcPr>
          <w:p w14:paraId="42088C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实施单位 （盖章）</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E76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大竹县农民工服务中心</w:t>
            </w:r>
          </w:p>
        </w:tc>
      </w:tr>
      <w:tr w14:paraId="1666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AEB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项目基本情况</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AD4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1.项目年度目标完成情况</w:t>
            </w: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DE2E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项目年度目标</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28D1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年度目标完成情况</w:t>
            </w:r>
          </w:p>
        </w:tc>
      </w:tr>
      <w:tr w14:paraId="2281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08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762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3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9B47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保障农民工进行劳务技能培训、打造劳务品牌等工作顺利开展。</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C77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已完成农民工进行劳务技能培训、打造劳务品牌等工作目标任务。</w:t>
            </w:r>
          </w:p>
        </w:tc>
      </w:tr>
      <w:tr w14:paraId="2B74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E2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62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2.项目实施内容及过程概述</w:t>
            </w:r>
          </w:p>
        </w:tc>
        <w:tc>
          <w:tcPr>
            <w:tcW w:w="72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6CDB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通过政府采购程序招标确定中标学校开展农民工技能培训，已完成本年度培训任务3000人。</w:t>
            </w:r>
          </w:p>
        </w:tc>
      </w:tr>
      <w:tr w14:paraId="775A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665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预算执行情况（10分）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29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年度预算数（万元）</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05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年初预算</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C3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调整后预算数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63E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2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预算执行率</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4F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97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BE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原因</w:t>
            </w:r>
          </w:p>
        </w:tc>
      </w:tr>
      <w:tr w14:paraId="6C80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44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CC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总额</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D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8C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81C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C2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EC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8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F3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91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8F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0A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其中：财政资金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B8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AC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435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3A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1A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6C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44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18D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A5A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D6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BD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4D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72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75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A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F2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59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04E6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9AF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AE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D1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B2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EE1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3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B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AC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7F6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E94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8F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4E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其他资金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34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17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77E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5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2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F2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23B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F2D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75E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绩效指标（90分）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55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一级指标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59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二级指标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43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三级指标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39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98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指标值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8F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完成值</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5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权重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FD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得分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A5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未完成原因分析</w:t>
            </w:r>
          </w:p>
        </w:tc>
      </w:tr>
      <w:tr w14:paraId="7F65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B1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23C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产出指标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7B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数量指标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F2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促进完成劳务品牌培训1500人，返乡创业培训1500人。</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BE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01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FD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04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7A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D4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D9A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0F8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B85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69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质量指标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5C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培训合格，颁发合格证</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A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0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F7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DD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3A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C6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60DE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1E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07A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2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时效指标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1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2023年12月31日之前完成</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0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FE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8C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33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F2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B4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91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96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ED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效益指标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24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社会效益指标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4A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提升农民工工作技能，增强农民工就业竞争力。</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1C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DE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6E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D1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C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F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3D52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E8EC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C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0E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7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p>
        </w:tc>
      </w:tr>
      <w:tr w14:paraId="12B1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A6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评价结论</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DE25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已完成本年度农民工劳务技能培训任务3000人，提升了农民工工作技能，增强了农民工就业竞争力。该项目总分100分，通过自评，自评得分100分。</w:t>
            </w:r>
          </w:p>
        </w:tc>
      </w:tr>
      <w:tr w14:paraId="4831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13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存在问题</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311F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718C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9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改进措施</w:t>
            </w:r>
          </w:p>
        </w:tc>
        <w:tc>
          <w:tcPr>
            <w:tcW w:w="84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5D4B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w:t>
            </w:r>
          </w:p>
        </w:tc>
      </w:tr>
      <w:tr w14:paraId="19A5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5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AF76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项目负责人：黄胜</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67A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财务负责人：冷琳琳</w:t>
            </w:r>
          </w:p>
        </w:tc>
      </w:tr>
    </w:tbl>
    <w:p w14:paraId="3EC569F7">
      <w:pPr>
        <w:pStyle w:val="2"/>
        <w:jc w:val="both"/>
        <w:rPr>
          <w:rFonts w:hint="eastAsia" w:ascii="黑体" w:hAnsi="黑体" w:eastAsia="黑体"/>
        </w:rPr>
      </w:pPr>
    </w:p>
    <w:p w14:paraId="040937F0">
      <w:pPr>
        <w:rPr>
          <w:rFonts w:hint="eastAsia" w:ascii="黑体" w:hAnsi="黑体" w:eastAsia="黑体"/>
        </w:rPr>
      </w:pPr>
    </w:p>
    <w:p w14:paraId="162F907C">
      <w:pPr>
        <w:rPr>
          <w:rFonts w:hint="eastAsia" w:ascii="黑体" w:hAnsi="黑体" w:eastAsia="黑体"/>
        </w:rPr>
      </w:pPr>
    </w:p>
    <w:p w14:paraId="42BFD6C4">
      <w:pPr>
        <w:rPr>
          <w:rFonts w:hint="eastAsia" w:ascii="黑体" w:hAnsi="黑体" w:eastAsia="黑体"/>
        </w:rPr>
      </w:pPr>
    </w:p>
    <w:p w14:paraId="6D936EB1">
      <w:pPr>
        <w:rPr>
          <w:rFonts w:hint="eastAsia" w:ascii="黑体" w:hAnsi="黑体" w:eastAsia="黑体"/>
        </w:rPr>
      </w:pPr>
    </w:p>
    <w:p w14:paraId="1D10035E">
      <w:pPr>
        <w:rPr>
          <w:rFonts w:hint="eastAsia" w:ascii="黑体" w:hAnsi="黑体" w:eastAsia="黑体"/>
        </w:rPr>
      </w:pPr>
    </w:p>
    <w:p w14:paraId="316BAAEA">
      <w:pPr>
        <w:rPr>
          <w:rFonts w:hint="eastAsia" w:ascii="黑体" w:hAnsi="黑体" w:eastAsia="黑体"/>
        </w:rPr>
      </w:pPr>
    </w:p>
    <w:p w14:paraId="7807DE15">
      <w:pPr>
        <w:rPr>
          <w:rFonts w:hint="eastAsia" w:ascii="黑体" w:hAnsi="黑体" w:eastAsia="黑体"/>
        </w:rPr>
      </w:pPr>
    </w:p>
    <w:p w14:paraId="7590EB31">
      <w:pPr>
        <w:rPr>
          <w:rFonts w:hint="eastAsia" w:ascii="黑体" w:hAnsi="黑体" w:eastAsia="黑体"/>
        </w:rPr>
      </w:pPr>
    </w:p>
    <w:p w14:paraId="60FA8B0C">
      <w:pPr>
        <w:rPr>
          <w:rFonts w:hint="eastAsia" w:ascii="黑体" w:hAnsi="黑体" w:eastAsia="黑体"/>
        </w:rPr>
      </w:pPr>
    </w:p>
    <w:p w14:paraId="4362C450">
      <w:pPr>
        <w:rPr>
          <w:rFonts w:hint="eastAsia" w:ascii="黑体" w:hAnsi="黑体" w:eastAsia="黑体"/>
        </w:rPr>
      </w:pPr>
    </w:p>
    <w:p w14:paraId="43184A77">
      <w:pPr>
        <w:rPr>
          <w:rFonts w:hint="eastAsia" w:ascii="黑体" w:hAnsi="黑体" w:eastAsia="黑体"/>
        </w:rPr>
      </w:pPr>
    </w:p>
    <w:p w14:paraId="4D4437C4">
      <w:pPr>
        <w:rPr>
          <w:rFonts w:hint="eastAsia" w:ascii="黑体" w:hAnsi="黑体" w:eastAsia="黑体"/>
        </w:rPr>
      </w:pPr>
    </w:p>
    <w:p w14:paraId="7E734910">
      <w:pPr>
        <w:rPr>
          <w:rFonts w:hint="eastAsia" w:ascii="黑体" w:hAnsi="黑体" w:eastAsia="黑体"/>
        </w:rPr>
      </w:pPr>
    </w:p>
    <w:p w14:paraId="7283CA02">
      <w:pPr>
        <w:rPr>
          <w:rFonts w:hint="eastAsia" w:ascii="黑体" w:hAnsi="黑体" w:eastAsia="黑体"/>
        </w:rPr>
      </w:pPr>
    </w:p>
    <w:p w14:paraId="3C6E1481">
      <w:pPr>
        <w:rPr>
          <w:rFonts w:hint="eastAsia" w:ascii="黑体" w:hAnsi="黑体" w:eastAsia="黑体"/>
        </w:rPr>
      </w:pPr>
    </w:p>
    <w:p w14:paraId="7C65335B">
      <w:pPr>
        <w:rPr>
          <w:rFonts w:hint="eastAsia" w:ascii="黑体" w:hAnsi="黑体" w:eastAsia="黑体"/>
        </w:rPr>
      </w:pPr>
    </w:p>
    <w:p w14:paraId="54619F9D">
      <w:pPr>
        <w:rPr>
          <w:rFonts w:hint="eastAsia" w:ascii="黑体" w:hAnsi="黑体" w:eastAsia="黑体"/>
        </w:rPr>
      </w:pPr>
    </w:p>
    <w:p w14:paraId="37C2EE6E">
      <w:pPr>
        <w:rPr>
          <w:rFonts w:hint="eastAsia" w:ascii="黑体" w:hAnsi="黑体" w:eastAsia="黑体"/>
        </w:rPr>
      </w:pPr>
    </w:p>
    <w:p w14:paraId="2DDC85DD">
      <w:pPr>
        <w:rPr>
          <w:rFonts w:hint="eastAsia" w:ascii="黑体" w:hAnsi="黑体" w:eastAsia="黑体"/>
        </w:rPr>
      </w:pPr>
    </w:p>
    <w:p w14:paraId="6A0B8F1A">
      <w:pPr>
        <w:rPr>
          <w:rFonts w:hint="eastAsia" w:ascii="黑体" w:hAnsi="黑体" w:eastAsia="黑体"/>
        </w:rPr>
      </w:pPr>
    </w:p>
    <w:p w14:paraId="310C243A">
      <w:pPr>
        <w:rPr>
          <w:rFonts w:hint="eastAsia" w:ascii="黑体" w:hAnsi="黑体" w:eastAsia="黑体"/>
        </w:rPr>
      </w:pPr>
    </w:p>
    <w:p w14:paraId="1C3BA28C">
      <w:pPr>
        <w:rPr>
          <w:rFonts w:hint="eastAsia" w:ascii="黑体" w:hAnsi="黑体" w:eastAsia="黑体"/>
        </w:rPr>
      </w:pPr>
    </w:p>
    <w:p w14:paraId="2AE1A8F9">
      <w:pPr>
        <w:rPr>
          <w:rFonts w:hint="eastAsia" w:ascii="黑体" w:hAnsi="黑体" w:eastAsia="黑体"/>
        </w:rPr>
      </w:pPr>
    </w:p>
    <w:p w14:paraId="202BAD99">
      <w:pPr>
        <w:rPr>
          <w:rFonts w:hint="eastAsia" w:ascii="黑体" w:hAnsi="黑体" w:eastAsia="黑体"/>
        </w:rPr>
      </w:pPr>
    </w:p>
    <w:p w14:paraId="62276B77">
      <w:pPr>
        <w:rPr>
          <w:rFonts w:hint="eastAsia" w:ascii="黑体" w:hAnsi="黑体" w:eastAsia="黑体"/>
        </w:rPr>
      </w:pPr>
    </w:p>
    <w:p w14:paraId="4965719E">
      <w:pPr>
        <w:rPr>
          <w:rFonts w:hint="eastAsia" w:ascii="黑体" w:hAnsi="黑体" w:eastAsia="黑体"/>
        </w:rPr>
      </w:pPr>
    </w:p>
    <w:p w14:paraId="7F3E6A0C">
      <w:pPr>
        <w:rPr>
          <w:rFonts w:hint="eastAsia" w:ascii="黑体" w:hAnsi="黑体" w:eastAsia="黑体"/>
        </w:rPr>
      </w:pPr>
    </w:p>
    <w:p w14:paraId="074BFB35">
      <w:pPr>
        <w:pStyle w:val="2"/>
        <w:jc w:val="center"/>
        <w:rPr>
          <w:rFonts w:ascii="黑体" w:hAnsi="黑体" w:eastAsia="黑体"/>
        </w:rPr>
      </w:pPr>
      <w:r>
        <w:rPr>
          <w:rFonts w:hint="eastAsia" w:ascii="黑体" w:hAnsi="黑体" w:eastAsia="黑体"/>
        </w:rPr>
        <w:t>第五部分 附表</w:t>
      </w:r>
    </w:p>
    <w:p w14:paraId="442A932F">
      <w:pPr>
        <w:rPr>
          <w:rFonts w:ascii="仿宋" w:hAnsi="仿宋" w:eastAsia="仿宋"/>
          <w:sz w:val="32"/>
          <w:szCs w:val="32"/>
        </w:rPr>
      </w:pPr>
      <w:r>
        <w:rPr>
          <w:rFonts w:hint="eastAsia" w:ascii="仿宋" w:hAnsi="仿宋" w:eastAsia="仿宋"/>
          <w:sz w:val="32"/>
          <w:szCs w:val="32"/>
        </w:rPr>
        <w:t>一、收入支出决算总表</w:t>
      </w:r>
    </w:p>
    <w:p w14:paraId="71AA77B2">
      <w:pPr>
        <w:rPr>
          <w:rFonts w:ascii="仿宋" w:hAnsi="仿宋" w:eastAsia="仿宋"/>
          <w:sz w:val="32"/>
          <w:szCs w:val="32"/>
        </w:rPr>
      </w:pPr>
      <w:r>
        <w:rPr>
          <w:rFonts w:hint="eastAsia" w:ascii="仿宋" w:hAnsi="仿宋" w:eastAsia="仿宋"/>
          <w:sz w:val="32"/>
          <w:szCs w:val="32"/>
        </w:rPr>
        <w:t>二、收入决算表</w:t>
      </w:r>
    </w:p>
    <w:p w14:paraId="3A555D46">
      <w:pPr>
        <w:rPr>
          <w:rFonts w:ascii="仿宋" w:hAnsi="仿宋" w:eastAsia="仿宋"/>
          <w:sz w:val="32"/>
          <w:szCs w:val="32"/>
        </w:rPr>
      </w:pPr>
      <w:r>
        <w:rPr>
          <w:rFonts w:hint="eastAsia" w:ascii="仿宋" w:hAnsi="仿宋" w:eastAsia="仿宋"/>
          <w:sz w:val="32"/>
          <w:szCs w:val="32"/>
        </w:rPr>
        <w:t>三、支出决算表</w:t>
      </w:r>
    </w:p>
    <w:p w14:paraId="1919662B">
      <w:pPr>
        <w:rPr>
          <w:rFonts w:ascii="仿宋" w:hAnsi="仿宋" w:eastAsia="仿宋"/>
          <w:sz w:val="32"/>
          <w:szCs w:val="32"/>
        </w:rPr>
      </w:pPr>
      <w:r>
        <w:rPr>
          <w:rFonts w:hint="eastAsia" w:ascii="仿宋" w:hAnsi="仿宋" w:eastAsia="仿宋"/>
          <w:sz w:val="32"/>
          <w:szCs w:val="32"/>
        </w:rPr>
        <w:t>四、财政拨款收入支出决算总表</w:t>
      </w:r>
    </w:p>
    <w:p w14:paraId="23A54CF0">
      <w:pPr>
        <w:rPr>
          <w:rFonts w:ascii="仿宋" w:hAnsi="仿宋" w:eastAsia="仿宋"/>
          <w:sz w:val="32"/>
          <w:szCs w:val="32"/>
        </w:rPr>
      </w:pPr>
      <w:r>
        <w:rPr>
          <w:rFonts w:hint="eastAsia" w:ascii="仿宋" w:hAnsi="仿宋" w:eastAsia="仿宋"/>
          <w:sz w:val="32"/>
          <w:szCs w:val="32"/>
        </w:rPr>
        <w:t>五、财政拨款支出决算明细表</w:t>
      </w:r>
    </w:p>
    <w:p w14:paraId="704369AC">
      <w:pPr>
        <w:rPr>
          <w:rFonts w:ascii="仿宋" w:hAnsi="仿宋" w:eastAsia="仿宋"/>
          <w:sz w:val="32"/>
          <w:szCs w:val="32"/>
        </w:rPr>
      </w:pPr>
      <w:r>
        <w:rPr>
          <w:rFonts w:hint="eastAsia" w:ascii="仿宋" w:hAnsi="仿宋" w:eastAsia="仿宋"/>
          <w:sz w:val="32"/>
          <w:szCs w:val="32"/>
        </w:rPr>
        <w:t>六、一般公共预算财政拨款支出决算表</w:t>
      </w:r>
    </w:p>
    <w:p w14:paraId="20A28BA1">
      <w:pPr>
        <w:rPr>
          <w:rFonts w:ascii="仿宋" w:hAnsi="仿宋" w:eastAsia="仿宋"/>
          <w:sz w:val="32"/>
          <w:szCs w:val="32"/>
        </w:rPr>
      </w:pPr>
      <w:r>
        <w:rPr>
          <w:rFonts w:hint="eastAsia" w:ascii="仿宋" w:hAnsi="仿宋" w:eastAsia="仿宋"/>
          <w:sz w:val="32"/>
          <w:szCs w:val="32"/>
        </w:rPr>
        <w:t>七、一般公共预算财政拨款支出决算明细表</w:t>
      </w:r>
    </w:p>
    <w:p w14:paraId="55FF4613">
      <w:pPr>
        <w:rPr>
          <w:rFonts w:ascii="仿宋" w:hAnsi="仿宋" w:eastAsia="仿宋"/>
          <w:sz w:val="32"/>
          <w:szCs w:val="32"/>
        </w:rPr>
      </w:pPr>
      <w:r>
        <w:rPr>
          <w:rFonts w:hint="eastAsia" w:ascii="仿宋" w:hAnsi="仿宋" w:eastAsia="仿宋"/>
          <w:sz w:val="32"/>
          <w:szCs w:val="32"/>
        </w:rPr>
        <w:t>八、一般公共预算财政拨款基本支出决算表</w:t>
      </w:r>
    </w:p>
    <w:p w14:paraId="600822FF">
      <w:pPr>
        <w:rPr>
          <w:rFonts w:ascii="仿宋" w:hAnsi="仿宋" w:eastAsia="仿宋"/>
          <w:sz w:val="32"/>
          <w:szCs w:val="32"/>
        </w:rPr>
      </w:pPr>
      <w:r>
        <w:rPr>
          <w:rFonts w:hint="eastAsia" w:ascii="仿宋" w:hAnsi="仿宋" w:eastAsia="仿宋"/>
          <w:sz w:val="32"/>
          <w:szCs w:val="32"/>
        </w:rPr>
        <w:t>九、一般公共预算财政拨款项目支出决算表</w:t>
      </w:r>
    </w:p>
    <w:p w14:paraId="778892F8">
      <w:pPr>
        <w:rPr>
          <w:rFonts w:ascii="仿宋" w:hAnsi="仿宋" w:eastAsia="仿宋"/>
          <w:sz w:val="32"/>
          <w:szCs w:val="32"/>
        </w:rPr>
      </w:pPr>
      <w:r>
        <w:rPr>
          <w:rFonts w:hint="eastAsia" w:ascii="仿宋" w:hAnsi="仿宋" w:eastAsia="仿宋"/>
          <w:sz w:val="32"/>
          <w:szCs w:val="32"/>
        </w:rPr>
        <w:t>十、政府性基金预算财政拨款收入支出决算表</w:t>
      </w:r>
    </w:p>
    <w:p w14:paraId="1B6261B3">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77AA598C">
      <w:pPr>
        <w:rPr>
          <w:rFonts w:ascii="仿宋" w:hAnsi="仿宋" w:eastAsia="仿宋"/>
          <w:sz w:val="32"/>
          <w:szCs w:val="32"/>
        </w:rPr>
      </w:pPr>
      <w:r>
        <w:rPr>
          <w:rFonts w:hint="eastAsia" w:ascii="仿宋" w:hAnsi="仿宋" w:eastAsia="仿宋"/>
          <w:sz w:val="32"/>
          <w:szCs w:val="32"/>
        </w:rPr>
        <w:t>十二、国有资本经营预算财政拨款支出决算表</w:t>
      </w:r>
    </w:p>
    <w:p w14:paraId="62ADE8E6">
      <w:pPr>
        <w:rPr>
          <w:rFonts w:ascii="仿宋" w:hAnsi="仿宋" w:eastAsia="仿宋"/>
          <w:sz w:val="32"/>
          <w:szCs w:val="32"/>
        </w:rPr>
      </w:pPr>
      <w:r>
        <w:rPr>
          <w:rFonts w:hint="eastAsia" w:ascii="仿宋" w:hAnsi="仿宋" w:eastAsia="仿宋"/>
          <w:sz w:val="32"/>
          <w:szCs w:val="32"/>
        </w:rPr>
        <w:t>十三、财政拨款“三公”经费支出决算表</w:t>
      </w: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4EE75AA">
        <w:pPr>
          <w:pStyle w:val="9"/>
          <w:jc w:val="center"/>
        </w:pPr>
      </w:p>
    </w:sdtContent>
  </w:sdt>
  <w:p w14:paraId="23A30DF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580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080"/>
                          </w:sdtPr>
                          <w:sdtContent>
                            <w:p w14:paraId="63561E7C">
                              <w:pPr>
                                <w:pStyle w:val="9"/>
                                <w:jc w:val="center"/>
                              </w:pPr>
                              <w:r>
                                <w:fldChar w:fldCharType="begin"/>
                              </w:r>
                              <w:r>
                                <w:instrText xml:space="preserve">PAGE   \* MERGEFORMAT</w:instrText>
                              </w:r>
                              <w:r>
                                <w:fldChar w:fldCharType="separate"/>
                              </w:r>
                              <w:r>
                                <w:rPr>
                                  <w:lang w:val="zh-CN"/>
                                </w:rPr>
                                <w:t>23</w:t>
                              </w:r>
                              <w:r>
                                <w:fldChar w:fldCharType="end"/>
                              </w:r>
                            </w:p>
                          </w:sdtContent>
                        </w:sdt>
                        <w:p w14:paraId="6319422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65080"/>
                    </w:sdtPr>
                    <w:sdtContent>
                      <w:p w14:paraId="63561E7C">
                        <w:pPr>
                          <w:pStyle w:val="9"/>
                          <w:jc w:val="center"/>
                        </w:pPr>
                        <w:r>
                          <w:fldChar w:fldCharType="begin"/>
                        </w:r>
                        <w:r>
                          <w:instrText xml:space="preserve">PAGE   \* MERGEFORMAT</w:instrText>
                        </w:r>
                        <w:r>
                          <w:fldChar w:fldCharType="separate"/>
                        </w:r>
                        <w:r>
                          <w:rPr>
                            <w:lang w:val="zh-CN"/>
                          </w:rPr>
                          <w:t>23</w:t>
                        </w:r>
                        <w:r>
                          <w:fldChar w:fldCharType="end"/>
                        </w:r>
                      </w:p>
                    </w:sdtContent>
                  </w:sdt>
                  <w:p w14:paraId="6319422B"/>
                </w:txbxContent>
              </v:textbox>
            </v:shape>
          </w:pict>
        </mc:Fallback>
      </mc:AlternateContent>
    </w:r>
  </w:p>
  <w:p w14:paraId="185C021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958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BE04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EBE0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49E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62D57"/>
    <w:multiLevelType w:val="singleLevel"/>
    <w:tmpl w:val="94362D57"/>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FC48F965"/>
    <w:multiLevelType w:val="singleLevel"/>
    <w:tmpl w:val="FC48F965"/>
    <w:lvl w:ilvl="0" w:tentative="0">
      <w:start w:val="1"/>
      <w:numFmt w:val="chineseCounting"/>
      <w:suff w:val="space"/>
      <w:lvlText w:val="第%1部分"/>
      <w:lvlJc w:val="left"/>
      <w:rPr>
        <w:rFonts w:hint="eastAsia"/>
      </w:rPr>
    </w:lvl>
  </w:abstractNum>
  <w:abstractNum w:abstractNumId="3">
    <w:nsid w:val="0E58C908"/>
    <w:multiLevelType w:val="singleLevel"/>
    <w:tmpl w:val="0E58C908"/>
    <w:lvl w:ilvl="0" w:tentative="0">
      <w:start w:val="3"/>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N2E4NWFkMmUzODA1OWY1YjYyODIzMTMwNDY0ZWY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75D66"/>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1064EF"/>
    <w:rsid w:val="015975B8"/>
    <w:rsid w:val="027520D7"/>
    <w:rsid w:val="02916CAD"/>
    <w:rsid w:val="02FEBE30"/>
    <w:rsid w:val="03627B33"/>
    <w:rsid w:val="036F8141"/>
    <w:rsid w:val="03C50E3C"/>
    <w:rsid w:val="04A46CA4"/>
    <w:rsid w:val="0601414A"/>
    <w:rsid w:val="060463A4"/>
    <w:rsid w:val="066E0107"/>
    <w:rsid w:val="06E076DA"/>
    <w:rsid w:val="06EE06AA"/>
    <w:rsid w:val="07666493"/>
    <w:rsid w:val="07996F6E"/>
    <w:rsid w:val="07DFD8BA"/>
    <w:rsid w:val="083245C7"/>
    <w:rsid w:val="093124CD"/>
    <w:rsid w:val="09EF451D"/>
    <w:rsid w:val="09F935EE"/>
    <w:rsid w:val="0A2032A3"/>
    <w:rsid w:val="0BEA7692"/>
    <w:rsid w:val="0C5D60B6"/>
    <w:rsid w:val="0D35B1ED"/>
    <w:rsid w:val="0E7ED1F5"/>
    <w:rsid w:val="0EC248F6"/>
    <w:rsid w:val="0F326362"/>
    <w:rsid w:val="0F5E1EC0"/>
    <w:rsid w:val="0F98263C"/>
    <w:rsid w:val="101860EC"/>
    <w:rsid w:val="1025513D"/>
    <w:rsid w:val="10C055FF"/>
    <w:rsid w:val="118107EC"/>
    <w:rsid w:val="12A218B9"/>
    <w:rsid w:val="13A66595"/>
    <w:rsid w:val="13D50BC4"/>
    <w:rsid w:val="13F07810"/>
    <w:rsid w:val="13F5616D"/>
    <w:rsid w:val="143F60A1"/>
    <w:rsid w:val="14970FE3"/>
    <w:rsid w:val="151C7C0A"/>
    <w:rsid w:val="151F6DB2"/>
    <w:rsid w:val="15D757B1"/>
    <w:rsid w:val="16724C7E"/>
    <w:rsid w:val="16BB723D"/>
    <w:rsid w:val="176B17AF"/>
    <w:rsid w:val="17F9714D"/>
    <w:rsid w:val="1918F934"/>
    <w:rsid w:val="1AC1498A"/>
    <w:rsid w:val="1AE60E4D"/>
    <w:rsid w:val="1AF04AA7"/>
    <w:rsid w:val="1B1E1106"/>
    <w:rsid w:val="1B3A75C2"/>
    <w:rsid w:val="1BD25A4D"/>
    <w:rsid w:val="1BE8440E"/>
    <w:rsid w:val="1C525A3A"/>
    <w:rsid w:val="1D155CEE"/>
    <w:rsid w:val="1DFBC4B3"/>
    <w:rsid w:val="1E71409E"/>
    <w:rsid w:val="1E740ACF"/>
    <w:rsid w:val="1E8C717A"/>
    <w:rsid w:val="1F19C781"/>
    <w:rsid w:val="1F33FCE5"/>
    <w:rsid w:val="1F7F7398"/>
    <w:rsid w:val="1FAE4927"/>
    <w:rsid w:val="1FD2DB6F"/>
    <w:rsid w:val="1FF35744"/>
    <w:rsid w:val="1FF6BC77"/>
    <w:rsid w:val="1FF9236D"/>
    <w:rsid w:val="2070266F"/>
    <w:rsid w:val="218C669E"/>
    <w:rsid w:val="21C900CB"/>
    <w:rsid w:val="21F7445F"/>
    <w:rsid w:val="226E2973"/>
    <w:rsid w:val="22B76BC5"/>
    <w:rsid w:val="2333840E"/>
    <w:rsid w:val="234F7A67"/>
    <w:rsid w:val="23860B96"/>
    <w:rsid w:val="23EE5526"/>
    <w:rsid w:val="240371BF"/>
    <w:rsid w:val="246758CC"/>
    <w:rsid w:val="257C638F"/>
    <w:rsid w:val="26487037"/>
    <w:rsid w:val="275859A0"/>
    <w:rsid w:val="28537F15"/>
    <w:rsid w:val="293D7B64"/>
    <w:rsid w:val="29DC2A0B"/>
    <w:rsid w:val="29FD04D3"/>
    <w:rsid w:val="2A5E7D3B"/>
    <w:rsid w:val="2B025B3E"/>
    <w:rsid w:val="2BFF7BC6"/>
    <w:rsid w:val="2C8A61B5"/>
    <w:rsid w:val="2CCB30DB"/>
    <w:rsid w:val="2CD59C95"/>
    <w:rsid w:val="2CF75313"/>
    <w:rsid w:val="2D6055AE"/>
    <w:rsid w:val="2DEA30CA"/>
    <w:rsid w:val="2DF04E50"/>
    <w:rsid w:val="2E962D0E"/>
    <w:rsid w:val="2EB57234"/>
    <w:rsid w:val="2ED5332F"/>
    <w:rsid w:val="2EFD05E5"/>
    <w:rsid w:val="2F040D46"/>
    <w:rsid w:val="2F4F95CE"/>
    <w:rsid w:val="2F8A137A"/>
    <w:rsid w:val="2FACAFDD"/>
    <w:rsid w:val="2FAE5751"/>
    <w:rsid w:val="2FB1A395"/>
    <w:rsid w:val="2FCF0B76"/>
    <w:rsid w:val="2FD9A7D8"/>
    <w:rsid w:val="2FFB15BE"/>
    <w:rsid w:val="30EB518F"/>
    <w:rsid w:val="319F7F4E"/>
    <w:rsid w:val="320604A6"/>
    <w:rsid w:val="3304709D"/>
    <w:rsid w:val="33437504"/>
    <w:rsid w:val="33D13EDC"/>
    <w:rsid w:val="35707ECC"/>
    <w:rsid w:val="35A879F6"/>
    <w:rsid w:val="36AA5135"/>
    <w:rsid w:val="36BE0DA7"/>
    <w:rsid w:val="37417CD4"/>
    <w:rsid w:val="374B4E3E"/>
    <w:rsid w:val="376B6AA6"/>
    <w:rsid w:val="376D39B2"/>
    <w:rsid w:val="37BC7885"/>
    <w:rsid w:val="37E16F03"/>
    <w:rsid w:val="37F53A3B"/>
    <w:rsid w:val="381E7F10"/>
    <w:rsid w:val="38D469F0"/>
    <w:rsid w:val="38F78389"/>
    <w:rsid w:val="397BAF1F"/>
    <w:rsid w:val="39B20F40"/>
    <w:rsid w:val="39E7B272"/>
    <w:rsid w:val="39F7642F"/>
    <w:rsid w:val="39FF7B37"/>
    <w:rsid w:val="3A804B9A"/>
    <w:rsid w:val="3AB79AF3"/>
    <w:rsid w:val="3AC32CD9"/>
    <w:rsid w:val="3AFDCB77"/>
    <w:rsid w:val="3B0C28D2"/>
    <w:rsid w:val="3B7EF35A"/>
    <w:rsid w:val="3B8C31AB"/>
    <w:rsid w:val="3B9FDB6C"/>
    <w:rsid w:val="3BF5BC2F"/>
    <w:rsid w:val="3BF7C23A"/>
    <w:rsid w:val="3BFF223E"/>
    <w:rsid w:val="3C6EC0A1"/>
    <w:rsid w:val="3CDB0824"/>
    <w:rsid w:val="3CEBA265"/>
    <w:rsid w:val="3CED7238"/>
    <w:rsid w:val="3CF60FF3"/>
    <w:rsid w:val="3D6A7F9F"/>
    <w:rsid w:val="3D7E7F4D"/>
    <w:rsid w:val="3D98207C"/>
    <w:rsid w:val="3D9CF30A"/>
    <w:rsid w:val="3DFF5A3E"/>
    <w:rsid w:val="3E1669B0"/>
    <w:rsid w:val="3E78745D"/>
    <w:rsid w:val="3EC30A97"/>
    <w:rsid w:val="3EEE77E9"/>
    <w:rsid w:val="3F394AF5"/>
    <w:rsid w:val="3FBE5714"/>
    <w:rsid w:val="3FDD8615"/>
    <w:rsid w:val="3FDFB2FF"/>
    <w:rsid w:val="3FF4CAE0"/>
    <w:rsid w:val="3FF75FAF"/>
    <w:rsid w:val="3FF7B227"/>
    <w:rsid w:val="4267663F"/>
    <w:rsid w:val="44C1609D"/>
    <w:rsid w:val="44E268DA"/>
    <w:rsid w:val="457F4F6B"/>
    <w:rsid w:val="45F945A1"/>
    <w:rsid w:val="46314782"/>
    <w:rsid w:val="46337705"/>
    <w:rsid w:val="469546D2"/>
    <w:rsid w:val="4737FB58"/>
    <w:rsid w:val="47A143A2"/>
    <w:rsid w:val="47ECCB02"/>
    <w:rsid w:val="47FA6A3F"/>
    <w:rsid w:val="482A25E9"/>
    <w:rsid w:val="483F27E3"/>
    <w:rsid w:val="497863CE"/>
    <w:rsid w:val="49D7AE48"/>
    <w:rsid w:val="4A030F76"/>
    <w:rsid w:val="4A3F6C7E"/>
    <w:rsid w:val="4A627F82"/>
    <w:rsid w:val="4B0E749A"/>
    <w:rsid w:val="4B4F25DA"/>
    <w:rsid w:val="4BBB4781"/>
    <w:rsid w:val="4BD709A5"/>
    <w:rsid w:val="4BDD9BFF"/>
    <w:rsid w:val="4BE068DB"/>
    <w:rsid w:val="4C55309A"/>
    <w:rsid w:val="4CFE5DF2"/>
    <w:rsid w:val="4D577224"/>
    <w:rsid w:val="4DBF1CEB"/>
    <w:rsid w:val="4DBF6A6B"/>
    <w:rsid w:val="4DF6A672"/>
    <w:rsid w:val="4E5A52AA"/>
    <w:rsid w:val="4E657B1C"/>
    <w:rsid w:val="4EAB630A"/>
    <w:rsid w:val="4ECE2238"/>
    <w:rsid w:val="4F363F69"/>
    <w:rsid w:val="4F7EA413"/>
    <w:rsid w:val="4FAB812F"/>
    <w:rsid w:val="4FE9BD67"/>
    <w:rsid w:val="4FEE4C07"/>
    <w:rsid w:val="4FFB052F"/>
    <w:rsid w:val="51AC0513"/>
    <w:rsid w:val="51D81308"/>
    <w:rsid w:val="523F4EE3"/>
    <w:rsid w:val="537E6D0A"/>
    <w:rsid w:val="53AB6B88"/>
    <w:rsid w:val="53F73CC7"/>
    <w:rsid w:val="53F74C96"/>
    <w:rsid w:val="5583522D"/>
    <w:rsid w:val="562B40FC"/>
    <w:rsid w:val="56583A00"/>
    <w:rsid w:val="5771522F"/>
    <w:rsid w:val="579E26AC"/>
    <w:rsid w:val="57BD3DD4"/>
    <w:rsid w:val="57F9CD1E"/>
    <w:rsid w:val="58196BAC"/>
    <w:rsid w:val="58A62902"/>
    <w:rsid w:val="58FB6EEF"/>
    <w:rsid w:val="5A857AEA"/>
    <w:rsid w:val="5AF92295"/>
    <w:rsid w:val="5AF9D8E9"/>
    <w:rsid w:val="5BDD38BD"/>
    <w:rsid w:val="5BDD79E6"/>
    <w:rsid w:val="5BEFC772"/>
    <w:rsid w:val="5BFF5DFC"/>
    <w:rsid w:val="5C936557"/>
    <w:rsid w:val="5CD71FC4"/>
    <w:rsid w:val="5CFC4284"/>
    <w:rsid w:val="5D1F11B5"/>
    <w:rsid w:val="5D3647F9"/>
    <w:rsid w:val="5DA644D4"/>
    <w:rsid w:val="5DAE1B18"/>
    <w:rsid w:val="5DE7D9E5"/>
    <w:rsid w:val="5E033269"/>
    <w:rsid w:val="5ECEC941"/>
    <w:rsid w:val="5EFF8FC6"/>
    <w:rsid w:val="5F3D27AA"/>
    <w:rsid w:val="5F5BA39A"/>
    <w:rsid w:val="5F7D3B79"/>
    <w:rsid w:val="5F7F4610"/>
    <w:rsid w:val="5FBF9FF3"/>
    <w:rsid w:val="5FCD4E2C"/>
    <w:rsid w:val="5FEF394A"/>
    <w:rsid w:val="5FF67715"/>
    <w:rsid w:val="6030716F"/>
    <w:rsid w:val="604039D5"/>
    <w:rsid w:val="60441C1C"/>
    <w:rsid w:val="60D8238E"/>
    <w:rsid w:val="611063C8"/>
    <w:rsid w:val="61137C66"/>
    <w:rsid w:val="61CA71D5"/>
    <w:rsid w:val="627EE9EA"/>
    <w:rsid w:val="62854B94"/>
    <w:rsid w:val="63807109"/>
    <w:rsid w:val="639D5F0D"/>
    <w:rsid w:val="63B23AA5"/>
    <w:rsid w:val="63F27F56"/>
    <w:rsid w:val="647F5392"/>
    <w:rsid w:val="6494215B"/>
    <w:rsid w:val="64E322C4"/>
    <w:rsid w:val="65C96C23"/>
    <w:rsid w:val="65FB93B9"/>
    <w:rsid w:val="6633C463"/>
    <w:rsid w:val="667C62AE"/>
    <w:rsid w:val="669B7736"/>
    <w:rsid w:val="673A5B90"/>
    <w:rsid w:val="67D55B77"/>
    <w:rsid w:val="67E10ABE"/>
    <w:rsid w:val="67EE7F84"/>
    <w:rsid w:val="682A3EF5"/>
    <w:rsid w:val="686F5F53"/>
    <w:rsid w:val="68712807"/>
    <w:rsid w:val="68B24209"/>
    <w:rsid w:val="69E00902"/>
    <w:rsid w:val="6A4B66C3"/>
    <w:rsid w:val="6A9201CD"/>
    <w:rsid w:val="6AFFCEAF"/>
    <w:rsid w:val="6B4F21E3"/>
    <w:rsid w:val="6B633598"/>
    <w:rsid w:val="6B72620F"/>
    <w:rsid w:val="6B96E9E6"/>
    <w:rsid w:val="6BCE57B5"/>
    <w:rsid w:val="6BE96E80"/>
    <w:rsid w:val="6BFEA4DB"/>
    <w:rsid w:val="6BFFB662"/>
    <w:rsid w:val="6C4A05C8"/>
    <w:rsid w:val="6CFF4FB8"/>
    <w:rsid w:val="6D6BD6E0"/>
    <w:rsid w:val="6D77E73C"/>
    <w:rsid w:val="6DAC7479"/>
    <w:rsid w:val="6DBF5E93"/>
    <w:rsid w:val="6DFF077E"/>
    <w:rsid w:val="6E7E3605"/>
    <w:rsid w:val="6E7FDCC7"/>
    <w:rsid w:val="6EA00C4D"/>
    <w:rsid w:val="6EB81E4D"/>
    <w:rsid w:val="6ED6A62E"/>
    <w:rsid w:val="6EE00B15"/>
    <w:rsid w:val="6EE737B2"/>
    <w:rsid w:val="6EEB2329"/>
    <w:rsid w:val="6EECE67A"/>
    <w:rsid w:val="6F103A37"/>
    <w:rsid w:val="6F6F90A8"/>
    <w:rsid w:val="6F6FB3EB"/>
    <w:rsid w:val="6F8731EA"/>
    <w:rsid w:val="6FBC2ADD"/>
    <w:rsid w:val="6FD57C00"/>
    <w:rsid w:val="6FEFFFD8"/>
    <w:rsid w:val="6FF5CC65"/>
    <w:rsid w:val="6FFB47EC"/>
    <w:rsid w:val="6FFF034A"/>
    <w:rsid w:val="71157685"/>
    <w:rsid w:val="712A28F1"/>
    <w:rsid w:val="715C0E4B"/>
    <w:rsid w:val="71FFD401"/>
    <w:rsid w:val="721D26F3"/>
    <w:rsid w:val="72233669"/>
    <w:rsid w:val="72436665"/>
    <w:rsid w:val="72734D90"/>
    <w:rsid w:val="728552FB"/>
    <w:rsid w:val="72DD00D4"/>
    <w:rsid w:val="7332FE48"/>
    <w:rsid w:val="735B0B21"/>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140880"/>
    <w:rsid w:val="7A2051B8"/>
    <w:rsid w:val="7A641148"/>
    <w:rsid w:val="7A6F8BF5"/>
    <w:rsid w:val="7A894339"/>
    <w:rsid w:val="7AB83901"/>
    <w:rsid w:val="7ACF82B5"/>
    <w:rsid w:val="7AFF28C9"/>
    <w:rsid w:val="7AFF72A0"/>
    <w:rsid w:val="7AFF7572"/>
    <w:rsid w:val="7B6C7DFB"/>
    <w:rsid w:val="7B7D76A7"/>
    <w:rsid w:val="7BAE2FE2"/>
    <w:rsid w:val="7BAF6951"/>
    <w:rsid w:val="7BBFBED0"/>
    <w:rsid w:val="7BC3E394"/>
    <w:rsid w:val="7BF02E04"/>
    <w:rsid w:val="7BF3FE4C"/>
    <w:rsid w:val="7BFB5035"/>
    <w:rsid w:val="7BFDE17E"/>
    <w:rsid w:val="7CBFC87B"/>
    <w:rsid w:val="7CFE0F48"/>
    <w:rsid w:val="7D3DE31C"/>
    <w:rsid w:val="7D7EC23E"/>
    <w:rsid w:val="7D7F8A13"/>
    <w:rsid w:val="7D80447E"/>
    <w:rsid w:val="7DBBCB01"/>
    <w:rsid w:val="7DC765D0"/>
    <w:rsid w:val="7DDB0EE0"/>
    <w:rsid w:val="7DFF51D8"/>
    <w:rsid w:val="7E2B1F9A"/>
    <w:rsid w:val="7E2F6097"/>
    <w:rsid w:val="7E634199"/>
    <w:rsid w:val="7E8ADEBF"/>
    <w:rsid w:val="7EEF11D3"/>
    <w:rsid w:val="7EF78C20"/>
    <w:rsid w:val="7F3F679B"/>
    <w:rsid w:val="7F4FC4EF"/>
    <w:rsid w:val="7F5E4D54"/>
    <w:rsid w:val="7F6B75FA"/>
    <w:rsid w:val="7F9F518D"/>
    <w:rsid w:val="7FA30C79"/>
    <w:rsid w:val="7FAF8ABF"/>
    <w:rsid w:val="7FB12BCE"/>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619231698477893"/>
          <c:y val="0.188482787930302"/>
          <c:w val="0.930345494080696"/>
          <c:h val="0.638631534211645"/>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195.79</c:v>
                </c:pt>
                <c:pt idx="1">
                  <c:v>195.79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307.3</c:v>
                </c:pt>
                <c:pt idx="1">
                  <c:v>307.3</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285341485"/>
        <c:axId val="337705366"/>
      </c:barChart>
      <c:catAx>
        <c:axId val="2853414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05366"/>
        <c:crosses val="autoZero"/>
        <c:auto val="1"/>
        <c:lblAlgn val="ctr"/>
        <c:lblOffset val="100"/>
        <c:noMultiLvlLbl val="0"/>
      </c:catAx>
      <c:valAx>
        <c:axId val="33770536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34148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2777504-9806-4e93-a2e0-cf16d73035f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2023年本年收入合计</c:v>
                </c:pt>
              </c:strCache>
            </c:strRef>
          </c:tx>
          <c:spPr/>
          <c:explosion val="0"/>
          <c:dPt>
            <c:idx val="0"/>
            <c:bubble3D val="0"/>
            <c:spPr>
              <a:solidFill>
                <a:schemeClr val="accent1"/>
              </a:solidFill>
              <a:ln>
                <a:solidFill>
                  <a:schemeClr val="bg1"/>
                </a:solidFill>
              </a:ln>
              <a:effectLst/>
            </c:spPr>
          </c:dPt>
          <c:dLbls>
            <c:dLbl>
              <c:idx val="0"/>
              <c:layout>
                <c:manualLayout>
                  <c:x val="0.0483208504469679"/>
                  <c:y val="-0.7048448788780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5cef73e-c27b-422e-aa96-0c578a1b55e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2023年支出合计</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241.1</c:v>
                </c:pt>
                <c:pt idx="1">
                  <c:v>66.2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7385e39-4d0d-4f2c-b227-7358d987598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manualLayout>
          <c:layoutTarget val="inner"/>
          <c:xMode val="edge"/>
          <c:yMode val="edge"/>
          <c:x val="0.0619231698477893"/>
          <c:y val="0.184870378240544"/>
          <c:w val="0.930345494080696"/>
          <c:h val="0.638631534211645"/>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财政拨款收入合计</c:v>
                </c:pt>
                <c:pt idx="1">
                  <c:v>财政拨款支出合计</c:v>
                </c:pt>
              </c:strCache>
            </c:strRef>
          </c:cat>
          <c:val>
            <c:numRef>
              <c:f>Sheet1!$B$2:$B$3</c:f>
              <c:numCache>
                <c:formatCode>General</c:formatCode>
                <c:ptCount val="2"/>
                <c:pt idx="0">
                  <c:v>195.79</c:v>
                </c:pt>
                <c:pt idx="1">
                  <c:v>195.79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财政拨款收入合计</c:v>
                </c:pt>
                <c:pt idx="1">
                  <c:v>财政拨款支出合计</c:v>
                </c:pt>
              </c:strCache>
            </c:strRef>
          </c:cat>
          <c:val>
            <c:numRef>
              <c:f>Sheet1!$C$2:$C$3</c:f>
              <c:numCache>
                <c:formatCode>General</c:formatCode>
                <c:ptCount val="2"/>
                <c:pt idx="0">
                  <c:v>307.3</c:v>
                </c:pt>
                <c:pt idx="1">
                  <c:v>307.3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财政拨款收入合计</c:v>
                </c:pt>
                <c:pt idx="1">
                  <c:v>财政拨款支出合计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285341485"/>
        <c:axId val="337705366"/>
      </c:barChart>
      <c:catAx>
        <c:axId val="2853414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05366"/>
        <c:crosses val="autoZero"/>
        <c:auto val="1"/>
        <c:lblAlgn val="ctr"/>
        <c:lblOffset val="100"/>
        <c:noMultiLvlLbl val="0"/>
      </c:catAx>
      <c:valAx>
        <c:axId val="33770536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34148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c04a6b5-9965-44c0-a141-ffb91068d4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一般公共预算财政拨款支出决算变动图</a:t>
            </a:r>
          </a:p>
        </c:rich>
      </c:tx>
      <c:layout/>
      <c:overlay val="0"/>
      <c:spPr>
        <a:noFill/>
        <a:ln>
          <a:noFill/>
        </a:ln>
        <a:effectLst/>
      </c:spPr>
    </c:title>
    <c:autoTitleDeleted val="0"/>
    <c:plotArea>
      <c:layout>
        <c:manualLayout>
          <c:layoutTarget val="inner"/>
          <c:xMode val="edge"/>
          <c:yMode val="edge"/>
          <c:x val="0.0619231698477893"/>
          <c:y val="0.184870378240544"/>
          <c:w val="0.930345494080696"/>
          <c:h val="0.638631534211645"/>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一般公共预算财政拨款支出合计</c:v>
                </c:pt>
              </c:strCache>
            </c:strRef>
          </c:cat>
          <c:val>
            <c:numRef>
              <c:f>Sheet1!$B$2</c:f>
              <c:numCache>
                <c:formatCode>General</c:formatCode>
                <c:ptCount val="1"/>
                <c:pt idx="0">
                  <c:v>195.79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一般公共预算财政拨款支出合计</c:v>
                </c:pt>
              </c:strCache>
            </c:strRef>
          </c:cat>
          <c:val>
            <c:numRef>
              <c:f>Sheet1!$C$2</c:f>
              <c:numCache>
                <c:formatCode>General</c:formatCode>
                <c:ptCount val="1"/>
                <c:pt idx="0">
                  <c:v>307.3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一般公共预算财政拨款支出合计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285341485"/>
        <c:axId val="337705366"/>
      </c:barChart>
      <c:catAx>
        <c:axId val="2853414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05366"/>
        <c:crosses val="autoZero"/>
        <c:auto val="1"/>
        <c:lblAlgn val="ctr"/>
        <c:lblOffset val="100"/>
        <c:noMultiLvlLbl val="0"/>
      </c:catAx>
      <c:valAx>
        <c:axId val="33770536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34148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c04a6b5-9965-44c0-a141-ffb91068d4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9</c:v>
                </c:pt>
                <c:pt idx="1">
                  <c:v>265.39</c:v>
                </c:pt>
                <c:pt idx="2">
                  <c:v>10.06</c:v>
                </c:pt>
                <c:pt idx="3">
                  <c:v>22.86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cbf8dd-257b-45de-a25a-65eb4883055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2023年“三公”经费财政拨款支出结构图</c:v>
                </c:pt>
              </c:strCache>
            </c:strRef>
          </c:tx>
          <c:spPr/>
          <c:explosion val="0"/>
          <c:dPt>
            <c:idx val="0"/>
            <c:bubble3D val="0"/>
            <c:spPr>
              <a:solidFill>
                <a:schemeClr val="accent1"/>
              </a:solidFill>
              <a:ln>
                <a:solidFill>
                  <a:schemeClr val="bg1"/>
                </a:solidFill>
              </a:ln>
              <a:effectLst/>
            </c:spPr>
          </c:dPt>
          <c:dLbls>
            <c:dLbl>
              <c:idx val="0"/>
              <c:layout>
                <c:manualLayout>
                  <c:x val="0.0524792348351372"/>
                  <c:y val="-0.65434616365026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c:v>
                </c:pt>
              </c:strCache>
            </c:strRef>
          </c:cat>
          <c:val>
            <c:numRef>
              <c:f>Sheet1!$B$2</c:f>
              <c:numCache>
                <c:formatCode>General</c:formatCode>
                <c:ptCount val="1"/>
                <c:pt idx="0">
                  <c:v>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f29976-c15b-4287-ac8d-2b2a93a0ff8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11668</Words>
  <Characters>14230</Characters>
  <Lines>72</Lines>
  <Paragraphs>20</Paragraphs>
  <TotalTime>58</TotalTime>
  <ScaleCrop>false</ScaleCrop>
  <LinksUpToDate>false</LinksUpToDate>
  <CharactersWithSpaces>14283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user</cp:lastModifiedBy>
  <cp:lastPrinted>2024-10-23T08:17:00Z</cp:lastPrinted>
  <dcterms:modified xsi:type="dcterms:W3CDTF">2024-10-23T09:17:28Z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7715409984A84C35A773718F45DA8E8B_13</vt:lpwstr>
  </property>
</Properties>
</file>