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64DA0">
      <w:pPr>
        <w:spacing w:line="600" w:lineRule="exact"/>
        <w:jc w:val="left"/>
        <w:outlineLvl w:val="0"/>
        <w:rPr>
          <w:rFonts w:ascii="方正小标宋简体" w:hAnsi="宋体" w:eastAsia="方正小标宋简体"/>
          <w:szCs w:val="21"/>
        </w:rPr>
      </w:pPr>
      <w:bookmarkStart w:id="0" w:name="_Toc15306267"/>
    </w:p>
    <w:p w14:paraId="2BAED021">
      <w:pPr>
        <w:pStyle w:val="2"/>
        <w:spacing w:before="93"/>
      </w:pPr>
    </w:p>
    <w:p w14:paraId="44F7D848">
      <w:pPr>
        <w:spacing w:line="600" w:lineRule="exact"/>
        <w:jc w:val="center"/>
        <w:outlineLvl w:val="0"/>
        <w:rPr>
          <w:rFonts w:ascii="方正小标宋简体" w:hAnsi="宋体" w:eastAsia="方正小标宋简体"/>
          <w:sz w:val="72"/>
          <w:szCs w:val="72"/>
        </w:rPr>
      </w:pPr>
    </w:p>
    <w:p w14:paraId="44DA3E6C">
      <w:pPr>
        <w:spacing w:line="600" w:lineRule="exact"/>
        <w:jc w:val="center"/>
        <w:outlineLvl w:val="0"/>
        <w:rPr>
          <w:rFonts w:ascii="方正小标宋简体" w:hAnsi="宋体" w:eastAsia="方正小标宋简体"/>
          <w:sz w:val="72"/>
          <w:szCs w:val="72"/>
        </w:rPr>
      </w:pPr>
    </w:p>
    <w:p w14:paraId="6D5DF51C">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15377425"/>
      <w:bookmarkStart w:id="3" w:name="_Toc15378441"/>
      <w:bookmarkStart w:id="4" w:name="_Toc15377193"/>
      <w:bookmarkStart w:id="5" w:name="_Toc1539647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14:paraId="2D01AB5B">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476"/>
      <w:bookmarkStart w:id="7" w:name="_Toc15396598"/>
      <w:bookmarkStart w:id="8" w:name="_Toc15377426"/>
      <w:bookmarkStart w:id="9" w:name="_Toc15378442"/>
      <w:bookmarkStart w:id="10" w:name="_Toc15377194"/>
      <w:bookmarkStart w:id="11" w:name="_Toc15306268"/>
      <w:r>
        <w:rPr>
          <w:rFonts w:hint="eastAsia" w:ascii="方正小标宋简体" w:hAnsi="方正小标宋简体" w:eastAsia="方正小标宋简体" w:cs="方正小标宋简体"/>
          <w:sz w:val="72"/>
          <w:szCs w:val="72"/>
          <w:lang w:val="en-US" w:eastAsia="zh-CN"/>
        </w:rPr>
        <w:t>大竹县农产品质量安全监督检验检测站</w:t>
      </w: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14:paraId="00309368">
      <w:pPr>
        <w:adjustRightInd w:val="0"/>
        <w:snapToGrid w:val="0"/>
        <w:spacing w:line="360" w:lineRule="auto"/>
        <w:jc w:val="center"/>
        <w:outlineLvl w:val="0"/>
        <w:rPr>
          <w:rFonts w:ascii="方正小标宋简体" w:hAnsi="宋体" w:eastAsia="方正小标宋简体"/>
          <w:sz w:val="52"/>
          <w:szCs w:val="52"/>
        </w:rPr>
      </w:pPr>
    </w:p>
    <w:p w14:paraId="7010148E">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54D51AC6">
      <w:pPr>
        <w:keepNext w:val="0"/>
        <w:keepLines w:val="0"/>
        <w:pageBreakBefore w:val="0"/>
        <w:widowControl/>
        <w:kinsoku/>
        <w:wordWrap/>
        <w:overflowPunct/>
        <w:topLinePunct w:val="0"/>
        <w:autoSpaceDE/>
        <w:autoSpaceDN/>
        <w:bidi w:val="0"/>
        <w:spacing w:line="390" w:lineRule="exact"/>
        <w:ind w:firstLine="0" w:firstLineChars="0"/>
        <w:jc w:val="center"/>
        <w:textAlignment w:val="auto"/>
        <w:rPr>
          <w:rFonts w:ascii="黑体" w:hAnsi="黑体" w:eastAsia="黑体" w:cstheme="minorBidi"/>
          <w:sz w:val="28"/>
          <w:szCs w:val="28"/>
        </w:rPr>
      </w:pPr>
    </w:p>
    <w:p w14:paraId="7EB97593">
      <w:pPr>
        <w:pStyle w:val="11"/>
        <w:keepNext w:val="0"/>
        <w:keepLines w:val="0"/>
        <w:pageBreakBefore w:val="0"/>
        <w:kinsoku/>
        <w:wordWrap/>
        <w:overflowPunct/>
        <w:topLinePunct w:val="0"/>
        <w:autoSpaceDE/>
        <w:autoSpaceDN/>
        <w:bidi w:val="0"/>
        <w:spacing w:line="390" w:lineRule="exact"/>
        <w:ind w:firstLine="0" w:firstLineChars="0"/>
        <w:textAlignment w:val="auto"/>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w:t>
      </w:r>
    </w:p>
    <w:p w14:paraId="04D8B32E">
      <w:pPr>
        <w:keepNext w:val="0"/>
        <w:keepLines w:val="0"/>
        <w:pageBreakBefore w:val="0"/>
        <w:kinsoku/>
        <w:wordWrap/>
        <w:overflowPunct/>
        <w:topLinePunct w:val="0"/>
        <w:autoSpaceDE/>
        <w:autoSpaceDN/>
        <w:bidi w:val="0"/>
        <w:spacing w:line="390" w:lineRule="exact"/>
        <w:ind w:firstLine="0" w:firstLineChars="0"/>
        <w:textAlignment w:val="auto"/>
      </w:pPr>
    </w:p>
    <w:p w14:paraId="328C5C15">
      <w:pPr>
        <w:pStyle w:val="11"/>
        <w:keepNext w:val="0"/>
        <w:keepLines w:val="0"/>
        <w:pageBreakBefore w:val="0"/>
        <w:kinsoku/>
        <w:wordWrap/>
        <w:overflowPunct/>
        <w:topLinePunct w:val="0"/>
        <w:autoSpaceDE/>
        <w:autoSpaceDN/>
        <w:bidi w:val="0"/>
        <w:adjustRightInd w:val="0"/>
        <w:snapToGrid w:val="0"/>
        <w:spacing w:before="0" w:line="390" w:lineRule="exact"/>
        <w:ind w:firstLine="0" w:firstLineChars="0"/>
        <w:jc w:val="left"/>
        <w:textAlignment w:val="auto"/>
        <w:rPr>
          <w:rFonts w:cstheme="minorBidi"/>
          <w:sz w:val="24"/>
          <w:szCs w:val="24"/>
        </w:rPr>
      </w:pPr>
      <w:r>
        <w:rPr>
          <w:rFonts w:hint="eastAsia"/>
          <w:sz w:val="24"/>
        </w:rPr>
        <w:t>第一部分</w:t>
      </w:r>
      <w:r>
        <w:rPr>
          <w:sz w:val="24"/>
        </w:rPr>
        <w:t xml:space="preserve"> </w:t>
      </w:r>
      <w:r>
        <w:rPr>
          <w:rFonts w:hint="eastAsia"/>
          <w:sz w:val="24"/>
        </w:rPr>
        <w:t>单位概况</w:t>
      </w:r>
    </w:p>
    <w:p w14:paraId="4A9E5CED">
      <w:pPr>
        <w:pStyle w:val="12"/>
        <w:keepNext w:val="0"/>
        <w:keepLines w:val="0"/>
        <w:pageBreakBefore w:val="0"/>
        <w:kinsoku/>
        <w:wordWrap/>
        <w:overflowPunct/>
        <w:topLinePunct w:val="0"/>
        <w:autoSpaceDE/>
        <w:autoSpaceDN/>
        <w:bidi w:val="0"/>
        <w:adjustRightInd w:val="0"/>
        <w:snapToGrid w:val="0"/>
        <w:spacing w:line="390" w:lineRule="exact"/>
        <w:ind w:firstLine="0" w:firstLineChars="0"/>
        <w:jc w:val="left"/>
        <w:textAlignment w:val="auto"/>
        <w:rPr>
          <w:sz w:val="24"/>
        </w:rPr>
      </w:pPr>
      <w:r>
        <w:rPr>
          <w:rFonts w:hint="eastAsia"/>
          <w:sz w:val="24"/>
        </w:rPr>
        <w:t>一、主要职责</w:t>
      </w:r>
    </w:p>
    <w:p w14:paraId="7F2C458E">
      <w:pPr>
        <w:pStyle w:val="12"/>
        <w:keepNext w:val="0"/>
        <w:keepLines w:val="0"/>
        <w:pageBreakBefore w:val="0"/>
        <w:kinsoku/>
        <w:wordWrap/>
        <w:overflowPunct/>
        <w:topLinePunct w:val="0"/>
        <w:autoSpaceDE/>
        <w:autoSpaceDN/>
        <w:bidi w:val="0"/>
        <w:adjustRightInd w:val="0"/>
        <w:snapToGrid w:val="0"/>
        <w:spacing w:line="390" w:lineRule="exact"/>
        <w:ind w:firstLine="0" w:firstLineChars="0"/>
        <w:jc w:val="left"/>
        <w:textAlignment w:val="auto"/>
      </w:pPr>
      <w:r>
        <w:rPr>
          <w:rFonts w:hint="eastAsia"/>
          <w:sz w:val="24"/>
        </w:rPr>
        <w:t>二、机构设置</w:t>
      </w:r>
    </w:p>
    <w:p w14:paraId="51938633">
      <w:pPr>
        <w:pStyle w:val="11"/>
        <w:keepNext w:val="0"/>
        <w:keepLines w:val="0"/>
        <w:pageBreakBefore w:val="0"/>
        <w:kinsoku/>
        <w:wordWrap/>
        <w:overflowPunct/>
        <w:topLinePunct w:val="0"/>
        <w:autoSpaceDE/>
        <w:autoSpaceDN/>
        <w:bidi w:val="0"/>
        <w:adjustRightInd w:val="0"/>
        <w:snapToGrid w:val="0"/>
        <w:spacing w:before="0" w:line="390" w:lineRule="exact"/>
        <w:ind w:firstLine="0" w:firstLineChars="0"/>
        <w:jc w:val="left"/>
        <w:textAlignment w:val="auto"/>
        <w:rPr>
          <w:sz w:val="24"/>
          <w:szCs w:val="24"/>
        </w:rPr>
      </w:pPr>
      <w:r>
        <w:rPr>
          <w:rFonts w:hint="eastAsia"/>
          <w:sz w:val="24"/>
        </w:rPr>
        <w:t>第二部分 2023年度单位决算情况说明</w:t>
      </w:r>
    </w:p>
    <w:p w14:paraId="579F1C24">
      <w:pPr>
        <w:pStyle w:val="12"/>
        <w:keepNext w:val="0"/>
        <w:keepLines w:val="0"/>
        <w:pageBreakBefore w:val="0"/>
        <w:kinsoku/>
        <w:wordWrap/>
        <w:overflowPunct/>
        <w:topLinePunct w:val="0"/>
        <w:autoSpaceDE/>
        <w:autoSpaceDN/>
        <w:bidi w:val="0"/>
        <w:adjustRightInd w:val="0"/>
        <w:snapToGrid w:val="0"/>
        <w:spacing w:line="390" w:lineRule="exact"/>
        <w:ind w:firstLine="0" w:firstLineChars="0"/>
        <w:jc w:val="left"/>
        <w:textAlignment w:val="auto"/>
        <w:rPr>
          <w:rFonts w:ascii="仿宋" w:hAnsi="仿宋" w:eastAsia="仿宋" w:cstheme="minorBidi"/>
          <w:sz w:val="24"/>
        </w:rPr>
      </w:pPr>
      <w:r>
        <w:rPr>
          <w:rFonts w:hint="eastAsia"/>
          <w:sz w:val="24"/>
        </w:rPr>
        <w:t>一、收入支出决算总体情况说明</w:t>
      </w:r>
    </w:p>
    <w:p w14:paraId="10077BF7">
      <w:pPr>
        <w:pStyle w:val="12"/>
        <w:keepNext w:val="0"/>
        <w:keepLines w:val="0"/>
        <w:pageBreakBefore w:val="0"/>
        <w:kinsoku/>
        <w:wordWrap/>
        <w:overflowPunct/>
        <w:topLinePunct w:val="0"/>
        <w:autoSpaceDE/>
        <w:autoSpaceDN/>
        <w:bidi w:val="0"/>
        <w:adjustRightInd w:val="0"/>
        <w:snapToGrid w:val="0"/>
        <w:spacing w:line="390" w:lineRule="exact"/>
        <w:ind w:firstLine="0" w:firstLineChars="0"/>
        <w:jc w:val="left"/>
        <w:textAlignment w:val="auto"/>
        <w:rPr>
          <w:rFonts w:ascii="仿宋" w:hAnsi="仿宋" w:eastAsia="仿宋" w:cstheme="minorBidi"/>
          <w:sz w:val="24"/>
        </w:rPr>
      </w:pPr>
      <w:r>
        <w:rPr>
          <w:rFonts w:hint="eastAsia"/>
          <w:sz w:val="24"/>
        </w:rPr>
        <w:t>二、收入决算情况说明</w:t>
      </w:r>
    </w:p>
    <w:p w14:paraId="4EB9E17C">
      <w:pPr>
        <w:pStyle w:val="12"/>
        <w:keepNext w:val="0"/>
        <w:keepLines w:val="0"/>
        <w:pageBreakBefore w:val="0"/>
        <w:kinsoku/>
        <w:wordWrap/>
        <w:overflowPunct/>
        <w:topLinePunct w:val="0"/>
        <w:autoSpaceDE/>
        <w:autoSpaceDN/>
        <w:bidi w:val="0"/>
        <w:adjustRightInd w:val="0"/>
        <w:snapToGrid w:val="0"/>
        <w:spacing w:line="390" w:lineRule="exact"/>
        <w:ind w:firstLine="0" w:firstLineChars="0"/>
        <w:jc w:val="left"/>
        <w:textAlignment w:val="auto"/>
        <w:rPr>
          <w:rFonts w:ascii="仿宋" w:hAnsi="仿宋" w:eastAsia="仿宋" w:cstheme="minorBidi"/>
          <w:sz w:val="24"/>
        </w:rPr>
      </w:pPr>
      <w:r>
        <w:rPr>
          <w:rFonts w:hint="eastAsia"/>
          <w:sz w:val="24"/>
        </w:rPr>
        <w:t>三、支出决算情况说明</w:t>
      </w:r>
    </w:p>
    <w:p w14:paraId="345B2891">
      <w:pPr>
        <w:pStyle w:val="12"/>
        <w:keepNext w:val="0"/>
        <w:keepLines w:val="0"/>
        <w:pageBreakBefore w:val="0"/>
        <w:kinsoku/>
        <w:wordWrap/>
        <w:overflowPunct/>
        <w:topLinePunct w:val="0"/>
        <w:autoSpaceDE/>
        <w:autoSpaceDN/>
        <w:bidi w:val="0"/>
        <w:adjustRightInd w:val="0"/>
        <w:snapToGrid w:val="0"/>
        <w:spacing w:line="390" w:lineRule="exact"/>
        <w:ind w:firstLine="0" w:firstLineChars="0"/>
        <w:jc w:val="left"/>
        <w:textAlignment w:val="auto"/>
        <w:rPr>
          <w:rFonts w:ascii="仿宋" w:hAnsi="仿宋" w:eastAsia="仿宋" w:cstheme="minorBidi"/>
          <w:sz w:val="24"/>
        </w:rPr>
      </w:pPr>
      <w:r>
        <w:rPr>
          <w:rFonts w:hint="eastAsia"/>
          <w:sz w:val="24"/>
        </w:rPr>
        <w:t>四、财政拨款收入支出决算总体情况说明</w:t>
      </w:r>
    </w:p>
    <w:p w14:paraId="2BE98CDB">
      <w:pPr>
        <w:pStyle w:val="12"/>
        <w:keepNext w:val="0"/>
        <w:keepLines w:val="0"/>
        <w:pageBreakBefore w:val="0"/>
        <w:kinsoku/>
        <w:wordWrap/>
        <w:overflowPunct/>
        <w:topLinePunct w:val="0"/>
        <w:autoSpaceDE/>
        <w:autoSpaceDN/>
        <w:bidi w:val="0"/>
        <w:adjustRightInd w:val="0"/>
        <w:snapToGrid w:val="0"/>
        <w:spacing w:line="390" w:lineRule="exact"/>
        <w:ind w:firstLine="0" w:firstLineChars="0"/>
        <w:jc w:val="left"/>
        <w:textAlignment w:val="auto"/>
        <w:rPr>
          <w:rFonts w:ascii="仿宋" w:hAnsi="仿宋" w:eastAsia="仿宋" w:cstheme="minorBidi"/>
          <w:sz w:val="24"/>
        </w:rPr>
      </w:pPr>
      <w:r>
        <w:rPr>
          <w:rFonts w:hint="eastAsia"/>
          <w:sz w:val="24"/>
        </w:rPr>
        <w:t>五、一般公共预算财政拨款支出决算情况说明</w:t>
      </w:r>
    </w:p>
    <w:p w14:paraId="7530C528">
      <w:pPr>
        <w:pStyle w:val="12"/>
        <w:keepNext w:val="0"/>
        <w:keepLines w:val="0"/>
        <w:pageBreakBefore w:val="0"/>
        <w:kinsoku/>
        <w:wordWrap/>
        <w:overflowPunct/>
        <w:topLinePunct w:val="0"/>
        <w:autoSpaceDE/>
        <w:autoSpaceDN/>
        <w:bidi w:val="0"/>
        <w:adjustRightInd w:val="0"/>
        <w:snapToGrid w:val="0"/>
        <w:spacing w:line="390" w:lineRule="exact"/>
        <w:ind w:firstLine="0" w:firstLineChars="0"/>
        <w:jc w:val="left"/>
        <w:textAlignment w:val="auto"/>
        <w:rPr>
          <w:rFonts w:ascii="仿宋" w:hAnsi="仿宋" w:eastAsia="仿宋" w:cstheme="minorBidi"/>
          <w:sz w:val="24"/>
        </w:rPr>
      </w:pPr>
      <w:r>
        <w:rPr>
          <w:rFonts w:hint="eastAsia"/>
          <w:sz w:val="24"/>
        </w:rPr>
        <w:t>六、一般公共预算财政拨款基本支出决算情况说明</w:t>
      </w:r>
    </w:p>
    <w:p w14:paraId="4B9ECA2E">
      <w:pPr>
        <w:pStyle w:val="12"/>
        <w:keepNext w:val="0"/>
        <w:keepLines w:val="0"/>
        <w:pageBreakBefore w:val="0"/>
        <w:kinsoku/>
        <w:wordWrap/>
        <w:overflowPunct/>
        <w:topLinePunct w:val="0"/>
        <w:autoSpaceDE/>
        <w:autoSpaceDN/>
        <w:bidi w:val="0"/>
        <w:adjustRightInd w:val="0"/>
        <w:snapToGrid w:val="0"/>
        <w:spacing w:line="390" w:lineRule="exact"/>
        <w:ind w:firstLine="0" w:firstLineChars="0"/>
        <w:jc w:val="left"/>
        <w:textAlignment w:val="auto"/>
        <w:rPr>
          <w:rFonts w:ascii="仿宋" w:hAnsi="仿宋" w:eastAsia="仿宋" w:cstheme="minorBidi"/>
          <w:sz w:val="24"/>
        </w:rPr>
      </w:pPr>
      <w:r>
        <w:rPr>
          <w:rFonts w:hint="eastAsia"/>
          <w:sz w:val="24"/>
        </w:rPr>
        <w:t>七、财政拨款“三公”经费支出决算情况说明</w:t>
      </w:r>
    </w:p>
    <w:p w14:paraId="369DA1A0">
      <w:pPr>
        <w:pStyle w:val="12"/>
        <w:keepNext w:val="0"/>
        <w:keepLines w:val="0"/>
        <w:pageBreakBefore w:val="0"/>
        <w:kinsoku/>
        <w:wordWrap/>
        <w:overflowPunct/>
        <w:topLinePunct w:val="0"/>
        <w:autoSpaceDE/>
        <w:autoSpaceDN/>
        <w:bidi w:val="0"/>
        <w:adjustRightInd w:val="0"/>
        <w:snapToGrid w:val="0"/>
        <w:spacing w:line="390" w:lineRule="exact"/>
        <w:ind w:firstLine="0" w:firstLineChars="0"/>
        <w:jc w:val="left"/>
        <w:textAlignment w:val="auto"/>
        <w:rPr>
          <w:rFonts w:ascii="仿宋" w:hAnsi="仿宋" w:eastAsia="仿宋" w:cstheme="minorBidi"/>
          <w:sz w:val="24"/>
        </w:rPr>
      </w:pPr>
      <w:r>
        <w:rPr>
          <w:rFonts w:hint="eastAsia"/>
          <w:sz w:val="24"/>
        </w:rPr>
        <w:t>八、政府性基金预算支出决算情况说明</w:t>
      </w:r>
    </w:p>
    <w:p w14:paraId="53DB23E3">
      <w:pPr>
        <w:pStyle w:val="12"/>
        <w:keepNext w:val="0"/>
        <w:keepLines w:val="0"/>
        <w:pageBreakBefore w:val="0"/>
        <w:kinsoku/>
        <w:wordWrap/>
        <w:overflowPunct/>
        <w:topLinePunct w:val="0"/>
        <w:autoSpaceDE/>
        <w:autoSpaceDN/>
        <w:bidi w:val="0"/>
        <w:adjustRightInd w:val="0"/>
        <w:snapToGrid w:val="0"/>
        <w:spacing w:line="390" w:lineRule="exact"/>
        <w:ind w:firstLine="0" w:firstLineChars="0"/>
        <w:jc w:val="left"/>
        <w:textAlignment w:val="auto"/>
        <w:rPr>
          <w:sz w:val="24"/>
        </w:rPr>
      </w:pPr>
      <w:r>
        <w:rPr>
          <w:rFonts w:hint="eastAsia"/>
          <w:sz w:val="24"/>
        </w:rPr>
        <w:t>九、国有资本经营预算支出决算情况说明</w:t>
      </w:r>
    </w:p>
    <w:p w14:paraId="7A57F1DB">
      <w:pPr>
        <w:pStyle w:val="12"/>
        <w:keepNext w:val="0"/>
        <w:keepLines w:val="0"/>
        <w:pageBreakBefore w:val="0"/>
        <w:kinsoku/>
        <w:wordWrap/>
        <w:overflowPunct/>
        <w:topLinePunct w:val="0"/>
        <w:autoSpaceDE/>
        <w:autoSpaceDN/>
        <w:bidi w:val="0"/>
        <w:adjustRightInd w:val="0"/>
        <w:snapToGrid w:val="0"/>
        <w:spacing w:line="390" w:lineRule="exact"/>
        <w:ind w:firstLine="0" w:firstLineChars="0"/>
        <w:jc w:val="left"/>
        <w:textAlignment w:val="auto"/>
        <w:rPr>
          <w:sz w:val="24"/>
        </w:rPr>
      </w:pPr>
      <w:r>
        <w:rPr>
          <w:rFonts w:hint="eastAsia"/>
          <w:sz w:val="24"/>
        </w:rPr>
        <w:t>十、其他重要事项的情况说明</w:t>
      </w:r>
    </w:p>
    <w:p w14:paraId="20C8DA15">
      <w:pPr>
        <w:pStyle w:val="11"/>
        <w:keepNext w:val="0"/>
        <w:keepLines w:val="0"/>
        <w:pageBreakBefore w:val="0"/>
        <w:kinsoku/>
        <w:wordWrap/>
        <w:overflowPunct/>
        <w:topLinePunct w:val="0"/>
        <w:autoSpaceDE/>
        <w:autoSpaceDN/>
        <w:bidi w:val="0"/>
        <w:adjustRightInd w:val="0"/>
        <w:snapToGrid w:val="0"/>
        <w:spacing w:before="0" w:line="390" w:lineRule="exact"/>
        <w:ind w:firstLine="0" w:firstLineChars="0"/>
        <w:jc w:val="left"/>
        <w:textAlignment w:val="auto"/>
        <w:rPr>
          <w:rFonts w:cstheme="minorBidi"/>
          <w:sz w:val="24"/>
          <w:szCs w:val="24"/>
        </w:rPr>
      </w:pPr>
      <w:r>
        <w:rPr>
          <w:rFonts w:hint="eastAsia"/>
          <w:sz w:val="24"/>
        </w:rPr>
        <w:t>第三部分</w:t>
      </w:r>
      <w:r>
        <w:rPr>
          <w:sz w:val="24"/>
        </w:rPr>
        <w:t xml:space="preserve"> </w:t>
      </w:r>
      <w:r>
        <w:rPr>
          <w:rFonts w:hint="eastAsia"/>
          <w:sz w:val="24"/>
        </w:rPr>
        <w:t>名词解释</w:t>
      </w:r>
    </w:p>
    <w:p w14:paraId="4B14604B">
      <w:pPr>
        <w:pStyle w:val="11"/>
        <w:keepNext w:val="0"/>
        <w:keepLines w:val="0"/>
        <w:pageBreakBefore w:val="0"/>
        <w:kinsoku/>
        <w:wordWrap/>
        <w:overflowPunct/>
        <w:topLinePunct w:val="0"/>
        <w:autoSpaceDE/>
        <w:autoSpaceDN/>
        <w:bidi w:val="0"/>
        <w:adjustRightInd w:val="0"/>
        <w:snapToGrid w:val="0"/>
        <w:spacing w:before="0" w:line="390" w:lineRule="exact"/>
        <w:ind w:firstLine="0" w:firstLineChars="0"/>
        <w:jc w:val="left"/>
        <w:textAlignment w:val="auto"/>
        <w:rPr>
          <w:rFonts w:cstheme="minorBidi"/>
          <w:sz w:val="24"/>
          <w:szCs w:val="24"/>
        </w:rPr>
      </w:pPr>
      <w:r>
        <w:rPr>
          <w:rFonts w:hint="eastAsia"/>
          <w:sz w:val="24"/>
        </w:rPr>
        <w:t>第四部分</w:t>
      </w:r>
      <w:r>
        <w:rPr>
          <w:sz w:val="24"/>
        </w:rPr>
        <w:t xml:space="preserve"> </w:t>
      </w:r>
      <w:r>
        <w:rPr>
          <w:rFonts w:hint="eastAsia"/>
          <w:sz w:val="24"/>
        </w:rPr>
        <w:t>附件</w:t>
      </w:r>
    </w:p>
    <w:p w14:paraId="46550488">
      <w:pPr>
        <w:pStyle w:val="11"/>
        <w:keepNext w:val="0"/>
        <w:keepLines w:val="0"/>
        <w:pageBreakBefore w:val="0"/>
        <w:kinsoku/>
        <w:wordWrap/>
        <w:overflowPunct/>
        <w:topLinePunct w:val="0"/>
        <w:autoSpaceDE/>
        <w:autoSpaceDN/>
        <w:bidi w:val="0"/>
        <w:adjustRightInd w:val="0"/>
        <w:snapToGrid w:val="0"/>
        <w:spacing w:before="0" w:line="390" w:lineRule="exact"/>
        <w:ind w:firstLine="0" w:firstLineChars="0"/>
        <w:jc w:val="left"/>
        <w:textAlignment w:val="auto"/>
        <w:rPr>
          <w:rFonts w:cstheme="minorBidi"/>
          <w:sz w:val="24"/>
          <w:szCs w:val="24"/>
        </w:rPr>
      </w:pPr>
      <w:r>
        <w:rPr>
          <w:rFonts w:hint="eastAsia"/>
          <w:sz w:val="24"/>
        </w:rPr>
        <w:t>第五部分</w:t>
      </w:r>
      <w:r>
        <w:rPr>
          <w:sz w:val="24"/>
        </w:rPr>
        <w:t xml:space="preserve"> </w:t>
      </w:r>
      <w:r>
        <w:rPr>
          <w:rFonts w:hint="eastAsia"/>
          <w:sz w:val="24"/>
        </w:rPr>
        <w:t>附表</w:t>
      </w:r>
    </w:p>
    <w:p w14:paraId="0B6950AB">
      <w:pPr>
        <w:pStyle w:val="12"/>
        <w:keepNext w:val="0"/>
        <w:keepLines w:val="0"/>
        <w:pageBreakBefore w:val="0"/>
        <w:kinsoku/>
        <w:wordWrap/>
        <w:overflowPunct/>
        <w:topLinePunct w:val="0"/>
        <w:autoSpaceDE/>
        <w:autoSpaceDN/>
        <w:bidi w:val="0"/>
        <w:adjustRightInd w:val="0"/>
        <w:snapToGrid w:val="0"/>
        <w:spacing w:line="390" w:lineRule="exact"/>
        <w:ind w:firstLine="0" w:firstLineChars="0"/>
        <w:jc w:val="left"/>
        <w:textAlignment w:val="auto"/>
        <w:rPr>
          <w:sz w:val="24"/>
        </w:rPr>
      </w:pPr>
      <w:r>
        <w:rPr>
          <w:rFonts w:hint="eastAsia"/>
          <w:sz w:val="24"/>
        </w:rPr>
        <w:t>一、收入支出决算总表</w:t>
      </w:r>
    </w:p>
    <w:p w14:paraId="25675429">
      <w:pPr>
        <w:pStyle w:val="12"/>
        <w:keepNext w:val="0"/>
        <w:keepLines w:val="0"/>
        <w:pageBreakBefore w:val="0"/>
        <w:kinsoku/>
        <w:wordWrap/>
        <w:overflowPunct/>
        <w:topLinePunct w:val="0"/>
        <w:autoSpaceDE/>
        <w:autoSpaceDN/>
        <w:bidi w:val="0"/>
        <w:adjustRightInd w:val="0"/>
        <w:snapToGrid w:val="0"/>
        <w:spacing w:line="390" w:lineRule="exact"/>
        <w:ind w:firstLine="0" w:firstLineChars="0"/>
        <w:jc w:val="left"/>
        <w:textAlignment w:val="auto"/>
        <w:rPr>
          <w:sz w:val="24"/>
        </w:rPr>
      </w:pPr>
      <w:r>
        <w:rPr>
          <w:rFonts w:hint="eastAsia"/>
          <w:sz w:val="24"/>
        </w:rPr>
        <w:t>二、收入决算表</w:t>
      </w:r>
    </w:p>
    <w:p w14:paraId="0765ACF3">
      <w:pPr>
        <w:pStyle w:val="12"/>
        <w:keepNext w:val="0"/>
        <w:keepLines w:val="0"/>
        <w:pageBreakBefore w:val="0"/>
        <w:kinsoku/>
        <w:wordWrap/>
        <w:overflowPunct/>
        <w:topLinePunct w:val="0"/>
        <w:autoSpaceDE/>
        <w:autoSpaceDN/>
        <w:bidi w:val="0"/>
        <w:adjustRightInd w:val="0"/>
        <w:snapToGrid w:val="0"/>
        <w:spacing w:line="390" w:lineRule="exact"/>
        <w:ind w:firstLine="0" w:firstLineChars="0"/>
        <w:jc w:val="left"/>
        <w:textAlignment w:val="auto"/>
        <w:rPr>
          <w:sz w:val="24"/>
        </w:rPr>
      </w:pPr>
      <w:r>
        <w:rPr>
          <w:rFonts w:hint="eastAsia"/>
          <w:sz w:val="24"/>
        </w:rPr>
        <w:t>三、支出决算表</w:t>
      </w:r>
    </w:p>
    <w:p w14:paraId="2E31A35E">
      <w:pPr>
        <w:pStyle w:val="12"/>
        <w:keepNext w:val="0"/>
        <w:keepLines w:val="0"/>
        <w:pageBreakBefore w:val="0"/>
        <w:kinsoku/>
        <w:wordWrap/>
        <w:overflowPunct/>
        <w:topLinePunct w:val="0"/>
        <w:autoSpaceDE/>
        <w:autoSpaceDN/>
        <w:bidi w:val="0"/>
        <w:adjustRightInd w:val="0"/>
        <w:snapToGrid w:val="0"/>
        <w:spacing w:line="390" w:lineRule="exact"/>
        <w:ind w:firstLine="0" w:firstLineChars="0"/>
        <w:jc w:val="left"/>
        <w:textAlignment w:val="auto"/>
        <w:rPr>
          <w:sz w:val="24"/>
        </w:rPr>
      </w:pPr>
      <w:r>
        <w:rPr>
          <w:rFonts w:hint="eastAsia"/>
          <w:sz w:val="24"/>
        </w:rPr>
        <w:t>四、财政拨款收入支出决算总表</w:t>
      </w:r>
    </w:p>
    <w:p w14:paraId="5F58AF58">
      <w:pPr>
        <w:pStyle w:val="12"/>
        <w:keepNext w:val="0"/>
        <w:keepLines w:val="0"/>
        <w:pageBreakBefore w:val="0"/>
        <w:kinsoku/>
        <w:wordWrap/>
        <w:overflowPunct/>
        <w:topLinePunct w:val="0"/>
        <w:autoSpaceDE/>
        <w:autoSpaceDN/>
        <w:bidi w:val="0"/>
        <w:adjustRightInd w:val="0"/>
        <w:snapToGrid w:val="0"/>
        <w:spacing w:line="390" w:lineRule="exact"/>
        <w:ind w:firstLine="0" w:firstLineChars="0"/>
        <w:jc w:val="left"/>
        <w:textAlignment w:val="auto"/>
        <w:rPr>
          <w:sz w:val="24"/>
        </w:rPr>
      </w:pPr>
      <w:r>
        <w:rPr>
          <w:rFonts w:hint="eastAsia"/>
          <w:sz w:val="24"/>
        </w:rPr>
        <w:t>五、财政拨款支出决算明细表</w:t>
      </w:r>
    </w:p>
    <w:p w14:paraId="54BB5C43">
      <w:pPr>
        <w:pStyle w:val="12"/>
        <w:keepNext w:val="0"/>
        <w:keepLines w:val="0"/>
        <w:pageBreakBefore w:val="0"/>
        <w:kinsoku/>
        <w:wordWrap/>
        <w:overflowPunct/>
        <w:topLinePunct w:val="0"/>
        <w:autoSpaceDE/>
        <w:autoSpaceDN/>
        <w:bidi w:val="0"/>
        <w:adjustRightInd w:val="0"/>
        <w:snapToGrid w:val="0"/>
        <w:spacing w:line="390" w:lineRule="exact"/>
        <w:ind w:firstLine="0" w:firstLineChars="0"/>
        <w:jc w:val="left"/>
        <w:textAlignment w:val="auto"/>
        <w:rPr>
          <w:sz w:val="24"/>
        </w:rPr>
      </w:pPr>
      <w:r>
        <w:rPr>
          <w:rFonts w:hint="eastAsia"/>
          <w:sz w:val="24"/>
        </w:rPr>
        <w:t>六、一般公共预算财政拨款支出决算表</w:t>
      </w:r>
    </w:p>
    <w:p w14:paraId="533C08C0">
      <w:pPr>
        <w:pStyle w:val="12"/>
        <w:keepNext w:val="0"/>
        <w:keepLines w:val="0"/>
        <w:pageBreakBefore w:val="0"/>
        <w:kinsoku/>
        <w:wordWrap/>
        <w:overflowPunct/>
        <w:topLinePunct w:val="0"/>
        <w:autoSpaceDE/>
        <w:autoSpaceDN/>
        <w:bidi w:val="0"/>
        <w:adjustRightInd w:val="0"/>
        <w:snapToGrid w:val="0"/>
        <w:spacing w:line="390" w:lineRule="exact"/>
        <w:ind w:firstLine="0" w:firstLineChars="0"/>
        <w:jc w:val="left"/>
        <w:textAlignment w:val="auto"/>
        <w:rPr>
          <w:sz w:val="24"/>
        </w:rPr>
      </w:pPr>
      <w:r>
        <w:rPr>
          <w:rFonts w:hint="eastAsia"/>
          <w:sz w:val="24"/>
        </w:rPr>
        <w:t>七、一般公共预算财政拨款支出决算明细表</w:t>
      </w:r>
    </w:p>
    <w:p w14:paraId="3BD74CA0">
      <w:pPr>
        <w:pStyle w:val="12"/>
        <w:keepNext w:val="0"/>
        <w:keepLines w:val="0"/>
        <w:pageBreakBefore w:val="0"/>
        <w:kinsoku/>
        <w:wordWrap/>
        <w:overflowPunct/>
        <w:topLinePunct w:val="0"/>
        <w:autoSpaceDE/>
        <w:autoSpaceDN/>
        <w:bidi w:val="0"/>
        <w:adjustRightInd w:val="0"/>
        <w:snapToGrid w:val="0"/>
        <w:spacing w:line="390" w:lineRule="exact"/>
        <w:ind w:firstLine="0" w:firstLineChars="0"/>
        <w:jc w:val="left"/>
        <w:textAlignment w:val="auto"/>
        <w:rPr>
          <w:sz w:val="24"/>
        </w:rPr>
      </w:pPr>
      <w:r>
        <w:rPr>
          <w:rFonts w:hint="eastAsia"/>
          <w:sz w:val="24"/>
        </w:rPr>
        <w:t>八、一般公共预算财政拨款基本支出决算明细表</w:t>
      </w:r>
    </w:p>
    <w:p w14:paraId="5C211BDD">
      <w:pPr>
        <w:pStyle w:val="12"/>
        <w:keepNext w:val="0"/>
        <w:keepLines w:val="0"/>
        <w:pageBreakBefore w:val="0"/>
        <w:kinsoku/>
        <w:wordWrap/>
        <w:overflowPunct/>
        <w:topLinePunct w:val="0"/>
        <w:autoSpaceDE/>
        <w:autoSpaceDN/>
        <w:bidi w:val="0"/>
        <w:adjustRightInd w:val="0"/>
        <w:snapToGrid w:val="0"/>
        <w:spacing w:line="390" w:lineRule="exact"/>
        <w:ind w:firstLine="0" w:firstLineChars="0"/>
        <w:jc w:val="left"/>
        <w:textAlignment w:val="auto"/>
        <w:rPr>
          <w:sz w:val="24"/>
        </w:rPr>
      </w:pPr>
      <w:r>
        <w:rPr>
          <w:rFonts w:hint="eastAsia"/>
          <w:sz w:val="24"/>
        </w:rPr>
        <w:t>九、一般公共预算财政拨款项目支出决算表</w:t>
      </w:r>
    </w:p>
    <w:p w14:paraId="442BB89E">
      <w:pPr>
        <w:pStyle w:val="12"/>
        <w:keepNext w:val="0"/>
        <w:keepLines w:val="0"/>
        <w:pageBreakBefore w:val="0"/>
        <w:kinsoku/>
        <w:wordWrap/>
        <w:overflowPunct/>
        <w:topLinePunct w:val="0"/>
        <w:autoSpaceDE/>
        <w:autoSpaceDN/>
        <w:bidi w:val="0"/>
        <w:adjustRightInd w:val="0"/>
        <w:snapToGrid w:val="0"/>
        <w:spacing w:line="390" w:lineRule="exact"/>
        <w:ind w:firstLine="0" w:firstLineChars="0"/>
        <w:jc w:val="left"/>
        <w:textAlignment w:val="auto"/>
        <w:rPr>
          <w:sz w:val="24"/>
        </w:rPr>
      </w:pPr>
      <w:r>
        <w:rPr>
          <w:rFonts w:hint="eastAsia"/>
          <w:sz w:val="24"/>
        </w:rPr>
        <w:t>十、政府性基金预算财政拨款收入支出决算表</w:t>
      </w:r>
    </w:p>
    <w:p w14:paraId="503F1327">
      <w:pPr>
        <w:pStyle w:val="12"/>
        <w:keepNext w:val="0"/>
        <w:keepLines w:val="0"/>
        <w:pageBreakBefore w:val="0"/>
        <w:kinsoku/>
        <w:wordWrap/>
        <w:overflowPunct/>
        <w:topLinePunct w:val="0"/>
        <w:autoSpaceDE/>
        <w:autoSpaceDN/>
        <w:bidi w:val="0"/>
        <w:adjustRightInd w:val="0"/>
        <w:snapToGrid w:val="0"/>
        <w:spacing w:line="390" w:lineRule="exact"/>
        <w:ind w:firstLine="0" w:firstLineChars="0"/>
        <w:jc w:val="left"/>
        <w:textAlignment w:val="auto"/>
        <w:rPr>
          <w:sz w:val="24"/>
        </w:rPr>
      </w:pPr>
      <w:r>
        <w:rPr>
          <w:rFonts w:hint="eastAsia"/>
          <w:sz w:val="24"/>
        </w:rPr>
        <w:t>十一、国有资本经营预算财政拨款收入支出决算表</w:t>
      </w:r>
    </w:p>
    <w:p w14:paraId="26F87DB4">
      <w:pPr>
        <w:pStyle w:val="12"/>
        <w:keepNext w:val="0"/>
        <w:keepLines w:val="0"/>
        <w:pageBreakBefore w:val="0"/>
        <w:kinsoku/>
        <w:wordWrap/>
        <w:overflowPunct/>
        <w:topLinePunct w:val="0"/>
        <w:autoSpaceDE/>
        <w:autoSpaceDN/>
        <w:bidi w:val="0"/>
        <w:adjustRightInd w:val="0"/>
        <w:snapToGrid w:val="0"/>
        <w:spacing w:line="390" w:lineRule="exact"/>
        <w:ind w:firstLine="0" w:firstLineChars="0"/>
        <w:jc w:val="left"/>
        <w:textAlignment w:val="auto"/>
        <w:rPr>
          <w:sz w:val="24"/>
        </w:rPr>
      </w:pPr>
      <w:r>
        <w:rPr>
          <w:rFonts w:hint="eastAsia"/>
          <w:sz w:val="24"/>
        </w:rPr>
        <w:t>十二、国有资本经营预算财政拨款支出决算表</w:t>
      </w:r>
    </w:p>
    <w:p w14:paraId="5802F707">
      <w:pPr>
        <w:pStyle w:val="12"/>
        <w:keepNext w:val="0"/>
        <w:keepLines w:val="0"/>
        <w:pageBreakBefore w:val="0"/>
        <w:kinsoku/>
        <w:wordWrap/>
        <w:overflowPunct/>
        <w:topLinePunct w:val="0"/>
        <w:autoSpaceDE/>
        <w:autoSpaceDN/>
        <w:bidi w:val="0"/>
        <w:adjustRightInd w:val="0"/>
        <w:snapToGrid w:val="0"/>
        <w:spacing w:line="390" w:lineRule="exact"/>
        <w:ind w:firstLine="0" w:firstLineChars="0"/>
        <w:jc w:val="left"/>
        <w:textAlignment w:val="auto"/>
        <w:rPr>
          <w:rFonts w:ascii="仿宋" w:hAnsi="仿宋" w:eastAsia="仿宋"/>
          <w:bCs/>
          <w:kern w:val="44"/>
          <w:sz w:val="24"/>
        </w:rPr>
      </w:pPr>
      <w:r>
        <w:rPr>
          <w:rFonts w:hint="eastAsia"/>
          <w:sz w:val="24"/>
        </w:rPr>
        <w:t>十三、财政拨款“三公”经费支出决算表</w:t>
      </w:r>
      <w:bookmarkStart w:id="12" w:name="_Toc15396599"/>
      <w:bookmarkStart w:id="13" w:name="_Toc15377196"/>
      <w:r>
        <w:rPr>
          <w:rFonts w:ascii="仿宋" w:hAnsi="仿宋" w:eastAsia="仿宋"/>
          <w:b/>
          <w:sz w:val="24"/>
        </w:rPr>
        <w:br w:type="page"/>
      </w:r>
    </w:p>
    <w:p w14:paraId="74231127">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14:paraId="109986A7">
      <w:pPr>
        <w:widowControl/>
        <w:jc w:val="left"/>
        <w:rPr>
          <w:rFonts w:ascii="黑体" w:eastAsia="黑体"/>
          <w:sz w:val="32"/>
          <w:szCs w:val="32"/>
        </w:rPr>
      </w:pPr>
    </w:p>
    <w:p w14:paraId="1B6DE590">
      <w:pPr>
        <w:pStyle w:val="4"/>
        <w:numPr>
          <w:ilvl w:val="0"/>
          <w:numId w:val="1"/>
        </w:numPr>
        <w:rPr>
          <w:rStyle w:val="28"/>
          <w:rFonts w:ascii="黑体" w:hAnsi="黑体" w:eastAsia="黑体"/>
          <w:b w:val="0"/>
          <w:bCs w:val="0"/>
        </w:rPr>
      </w:pPr>
      <w:bookmarkStart w:id="14" w:name="_Toc15377197"/>
      <w:bookmarkStart w:id="15" w:name="_Toc15396600"/>
      <w:r>
        <w:rPr>
          <w:rStyle w:val="28"/>
          <w:rFonts w:hint="eastAsia" w:ascii="黑体" w:hAnsi="黑体" w:eastAsia="黑体"/>
          <w:b w:val="0"/>
          <w:bCs w:val="0"/>
        </w:rPr>
        <w:t>主要职责</w:t>
      </w:r>
    </w:p>
    <w:p w14:paraId="2522552E">
      <w:pPr>
        <w:pStyle w:val="4"/>
        <w:ind w:firstLine="640" w:firstLineChars="200"/>
        <w:rPr>
          <w:rFonts w:hint="eastAsia" w:ascii="黑体" w:hAnsi="黑体" w:eastAsia="黑体"/>
          <w:b w:val="0"/>
        </w:rPr>
      </w:pPr>
      <w:r>
        <w:rPr>
          <w:rFonts w:hint="eastAsia" w:ascii="仿宋" w:hAnsi="仿宋" w:eastAsia="仿宋"/>
          <w:b w:val="0"/>
          <w:bCs w:val="0"/>
          <w:color w:val="000000"/>
          <w:sz w:val="32"/>
          <w:szCs w:val="32"/>
        </w:rPr>
        <w:t>大竹县农产品质量安全监督检验检测站</w:t>
      </w:r>
      <w:r>
        <w:rPr>
          <w:rFonts w:hint="eastAsia" w:ascii="仿宋" w:hAnsi="仿宋" w:eastAsia="仿宋"/>
          <w:b w:val="0"/>
          <w:bCs w:val="0"/>
          <w:color w:val="000000"/>
          <w:sz w:val="32"/>
          <w:szCs w:val="32"/>
          <w:lang w:eastAsia="zh-CN"/>
        </w:rPr>
        <w:t>主要</w:t>
      </w:r>
      <w:r>
        <w:rPr>
          <w:rFonts w:hint="eastAsia" w:ascii="仿宋" w:hAnsi="仿宋" w:eastAsia="仿宋"/>
          <w:b w:val="0"/>
          <w:bCs w:val="0"/>
          <w:color w:val="000000"/>
          <w:sz w:val="32"/>
          <w:szCs w:val="32"/>
        </w:rPr>
        <w:t>负责农产品（</w:t>
      </w:r>
      <w:r>
        <w:rPr>
          <w:rFonts w:hint="eastAsia" w:ascii="仿宋" w:hAnsi="仿宋" w:eastAsia="仿宋"/>
          <w:b w:val="0"/>
          <w:bCs w:val="0"/>
          <w:color w:val="000000"/>
          <w:sz w:val="32"/>
          <w:szCs w:val="32"/>
          <w:lang w:eastAsia="zh-CN"/>
        </w:rPr>
        <w:t>含农业</w:t>
      </w:r>
      <w:r>
        <w:rPr>
          <w:rFonts w:hint="eastAsia" w:ascii="仿宋" w:hAnsi="仿宋" w:eastAsia="仿宋"/>
          <w:b w:val="0"/>
          <w:bCs w:val="0"/>
          <w:color w:val="000000"/>
          <w:sz w:val="32"/>
          <w:szCs w:val="32"/>
        </w:rPr>
        <w:t>、</w:t>
      </w:r>
      <w:r>
        <w:rPr>
          <w:rFonts w:hint="eastAsia" w:ascii="仿宋" w:hAnsi="仿宋" w:eastAsia="仿宋"/>
          <w:b w:val="0"/>
          <w:bCs w:val="0"/>
          <w:color w:val="000000"/>
          <w:sz w:val="32"/>
          <w:szCs w:val="32"/>
          <w:lang w:eastAsia="zh-CN"/>
        </w:rPr>
        <w:t>畜牧</w:t>
      </w:r>
      <w:r>
        <w:rPr>
          <w:rFonts w:hint="eastAsia" w:ascii="仿宋" w:hAnsi="仿宋" w:eastAsia="仿宋"/>
          <w:b w:val="0"/>
          <w:bCs w:val="0"/>
          <w:color w:val="000000"/>
          <w:sz w:val="32"/>
          <w:szCs w:val="32"/>
        </w:rPr>
        <w:t>、水产）</w:t>
      </w:r>
      <w:r>
        <w:rPr>
          <w:rFonts w:hint="eastAsia" w:ascii="仿宋" w:hAnsi="仿宋" w:eastAsia="仿宋"/>
          <w:b w:val="0"/>
          <w:bCs w:val="0"/>
          <w:color w:val="000000"/>
          <w:sz w:val="32"/>
          <w:szCs w:val="32"/>
          <w:lang w:eastAsia="zh-CN"/>
        </w:rPr>
        <w:t>质量安全监督</w:t>
      </w:r>
      <w:r>
        <w:rPr>
          <w:rFonts w:hint="eastAsia" w:ascii="仿宋" w:hAnsi="仿宋" w:eastAsia="仿宋"/>
          <w:b w:val="0"/>
          <w:bCs w:val="0"/>
          <w:color w:val="000000"/>
          <w:sz w:val="32"/>
          <w:szCs w:val="32"/>
        </w:rPr>
        <w:t>检验检测工作。</w:t>
      </w:r>
      <w:r>
        <w:rPr>
          <w:rFonts w:hint="eastAsia" w:ascii="仿宋" w:hAnsi="仿宋" w:eastAsia="仿宋"/>
          <w:b w:val="0"/>
          <w:bCs w:val="0"/>
          <w:color w:val="000000"/>
          <w:sz w:val="32"/>
          <w:szCs w:val="32"/>
          <w:lang w:eastAsia="zh-CN"/>
        </w:rPr>
        <w:t>承担省、市、县下达的农产品质量安全监督检验检测任务。主要业务是承担大竹县级以上人民政府（含县级）和农业、畜牧业行政主管部门下达的风险监测任务以及产地环境检测工作。</w:t>
      </w:r>
    </w:p>
    <w:p w14:paraId="71F42CF0">
      <w:pPr>
        <w:pStyle w:val="4"/>
        <w:rPr>
          <w:rFonts w:ascii="黑体" w:hAnsi="黑体" w:eastAsia="黑体"/>
          <w:b w:val="0"/>
        </w:rPr>
      </w:pPr>
      <w:r>
        <w:rPr>
          <w:rFonts w:hint="eastAsia" w:ascii="黑体" w:hAnsi="黑体" w:eastAsia="黑体"/>
          <w:b w:val="0"/>
        </w:rPr>
        <w:t>二、机构设置</w:t>
      </w:r>
    </w:p>
    <w:bookmarkEnd w:id="14"/>
    <w:bookmarkEnd w:id="15"/>
    <w:p w14:paraId="51A1041E">
      <w:pPr>
        <w:widowControl/>
        <w:ind w:firstLine="640" w:firstLineChars="200"/>
        <w:jc w:val="left"/>
        <w:rPr>
          <w:rFonts w:hint="eastAsia" w:ascii="华文楷体" w:hAnsi="华文楷体" w:eastAsia="仿宋" w:cs="华文楷体"/>
          <w:color w:val="000000"/>
          <w:sz w:val="32"/>
          <w:szCs w:val="32"/>
        </w:rPr>
      </w:pPr>
      <w:r>
        <w:rPr>
          <w:rFonts w:hint="eastAsia" w:ascii="华文楷体" w:hAnsi="华文楷体" w:eastAsia="仿宋" w:cs="华文楷体"/>
          <w:color w:val="000000"/>
          <w:sz w:val="32"/>
          <w:szCs w:val="32"/>
        </w:rPr>
        <w:t>大竹县</w:t>
      </w:r>
      <w:r>
        <w:rPr>
          <w:rFonts w:hint="eastAsia" w:ascii="华文楷体" w:hAnsi="华文楷体" w:eastAsia="仿宋" w:cs="华文楷体"/>
          <w:color w:val="000000"/>
          <w:sz w:val="32"/>
          <w:szCs w:val="32"/>
          <w:lang w:eastAsia="zh-CN"/>
        </w:rPr>
        <w:t>农产品质量安全监督检验检测站</w:t>
      </w:r>
      <w:r>
        <w:rPr>
          <w:rFonts w:hint="eastAsia" w:ascii="华文楷体" w:hAnsi="华文楷体" w:eastAsia="仿宋" w:cs="华文楷体"/>
          <w:color w:val="000000"/>
          <w:sz w:val="32"/>
          <w:szCs w:val="32"/>
        </w:rPr>
        <w:t>是大竹县畜牧发展促进中心下属事业单位，属于一级预算单位。</w:t>
      </w:r>
    </w:p>
    <w:p w14:paraId="2431D602">
      <w:pPr>
        <w:widowControl/>
        <w:jc w:val="left"/>
        <w:rPr>
          <w:rFonts w:ascii="仿宋" w:hAnsi="仿宋" w:eastAsia="仿宋"/>
          <w:kern w:val="0"/>
          <w:sz w:val="32"/>
          <w:szCs w:val="32"/>
        </w:rPr>
      </w:pPr>
      <w:r>
        <w:rPr>
          <w:rFonts w:ascii="仿宋" w:hAnsi="仿宋" w:eastAsia="仿宋"/>
          <w:sz w:val="32"/>
          <w:szCs w:val="32"/>
        </w:rPr>
        <w:br w:type="page"/>
      </w:r>
    </w:p>
    <w:p w14:paraId="3A6AE3FD">
      <w:pPr>
        <w:pStyle w:val="3"/>
        <w:ind w:right="440"/>
        <w:jc w:val="center"/>
      </w:pPr>
      <w:bookmarkStart w:id="16" w:name="_Toc15377204"/>
      <w:bookmarkStart w:id="17" w:name="_Toc15396602"/>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14:paraId="23E4A2F4">
      <w:pPr>
        <w:pStyle w:val="26"/>
        <w:numPr>
          <w:ilvl w:val="0"/>
          <w:numId w:val="2"/>
        </w:numPr>
        <w:spacing w:line="600" w:lineRule="exact"/>
        <w:ind w:firstLineChars="0"/>
        <w:outlineLvl w:val="1"/>
        <w:rPr>
          <w:rStyle w:val="28"/>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14:paraId="093AA40D">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329.74</w:t>
      </w:r>
      <w:r>
        <w:rPr>
          <w:rFonts w:hint="eastAsia" w:ascii="仿宋" w:hAnsi="仿宋" w:eastAsia="仿宋"/>
          <w:sz w:val="32"/>
          <w:szCs w:val="32"/>
        </w:rPr>
        <w:t>万元。与2022年度相比，收、支总计增加</w:t>
      </w:r>
      <w:r>
        <w:rPr>
          <w:rFonts w:hint="eastAsia" w:ascii="仿宋" w:hAnsi="仿宋" w:eastAsia="仿宋"/>
          <w:sz w:val="32"/>
          <w:szCs w:val="32"/>
          <w:lang w:val="en-US" w:eastAsia="zh-CN"/>
        </w:rPr>
        <w:t>147.01</w:t>
      </w:r>
      <w:r>
        <w:rPr>
          <w:rFonts w:hint="eastAsia" w:ascii="仿宋" w:hAnsi="仿宋" w:eastAsia="仿宋"/>
          <w:sz w:val="32"/>
          <w:szCs w:val="32"/>
        </w:rPr>
        <w:t>万元，增长</w:t>
      </w:r>
      <w:r>
        <w:rPr>
          <w:rFonts w:hint="eastAsia" w:ascii="仿宋" w:hAnsi="仿宋" w:eastAsia="仿宋"/>
          <w:sz w:val="32"/>
          <w:szCs w:val="32"/>
          <w:lang w:val="en-US" w:eastAsia="zh-CN"/>
        </w:rPr>
        <w:t>80.45</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auto"/>
          <w:sz w:val="32"/>
          <w:szCs w:val="32"/>
          <w:highlight w:val="none"/>
          <w:lang w:val="en-US" w:eastAsia="zh-CN"/>
        </w:rPr>
        <w:t>2023年</w:t>
      </w:r>
      <w:r>
        <w:rPr>
          <w:rFonts w:hint="eastAsia" w:ascii="仿宋" w:hAnsi="仿宋" w:eastAsia="仿宋" w:cs="仿宋"/>
          <w:color w:val="auto"/>
          <w:sz w:val="30"/>
          <w:szCs w:val="30"/>
        </w:rPr>
        <w:t>市、县</w:t>
      </w:r>
      <w:r>
        <w:rPr>
          <w:rFonts w:hint="eastAsia" w:ascii="仿宋" w:hAnsi="仿宋" w:eastAsia="仿宋" w:cs="仿宋"/>
          <w:color w:val="auto"/>
          <w:sz w:val="30"/>
          <w:szCs w:val="30"/>
          <w:lang w:val="en-US" w:eastAsia="zh-CN"/>
        </w:rPr>
        <w:t>级</w:t>
      </w:r>
      <w:r>
        <w:rPr>
          <w:rFonts w:hint="eastAsia" w:ascii="仿宋" w:hAnsi="仿宋" w:eastAsia="仿宋" w:cs="仿宋"/>
          <w:color w:val="auto"/>
          <w:sz w:val="30"/>
          <w:szCs w:val="30"/>
        </w:rPr>
        <w:t>农产品质量安全风险监测</w:t>
      </w:r>
      <w:r>
        <w:rPr>
          <w:rFonts w:hint="eastAsia" w:ascii="仿宋" w:hAnsi="仿宋" w:eastAsia="仿宋" w:cs="仿宋"/>
          <w:color w:val="auto"/>
          <w:sz w:val="30"/>
          <w:szCs w:val="30"/>
          <w:lang w:val="en-US" w:eastAsia="zh-CN"/>
        </w:rPr>
        <w:t>任务增加，以及支付了</w:t>
      </w:r>
      <w:r>
        <w:rPr>
          <w:rFonts w:hint="eastAsia" w:ascii="仿宋" w:hAnsi="仿宋" w:eastAsia="仿宋"/>
          <w:color w:val="auto"/>
          <w:sz w:val="32"/>
          <w:szCs w:val="32"/>
          <w:highlight w:val="none"/>
          <w:lang w:val="en-US" w:eastAsia="zh-CN"/>
        </w:rPr>
        <w:t>2022年人员经费、公用经费、项目经费</w:t>
      </w:r>
      <w:r>
        <w:rPr>
          <w:rFonts w:hint="eastAsia" w:ascii="仿宋" w:hAnsi="仿宋" w:eastAsia="仿宋" w:cs="仿宋"/>
          <w:color w:val="auto"/>
          <w:sz w:val="30"/>
          <w:szCs w:val="30"/>
          <w:lang w:val="en-US" w:eastAsia="zh-CN"/>
        </w:rPr>
        <w:t>。</w:t>
      </w:r>
    </w:p>
    <w:p w14:paraId="181735D6">
      <w:pPr>
        <w:spacing w:line="600" w:lineRule="exact"/>
        <w:ind w:firstLine="420" w:firstLineChars="200"/>
        <w:jc w:val="center"/>
        <w:rPr>
          <w:rFonts w:ascii="仿宋_GB2312" w:eastAsia="仿宋_GB2312"/>
          <w:sz w:val="32"/>
          <w:szCs w:val="32"/>
        </w:rPr>
      </w:pPr>
      <w:r>
        <w:drawing>
          <wp:anchor distT="0" distB="0" distL="114300" distR="114300" simplePos="0" relativeHeight="251659264" behindDoc="1" locked="0" layoutInCell="1" allowOverlap="1">
            <wp:simplePos x="0" y="0"/>
            <wp:positionH relativeFrom="column">
              <wp:posOffset>67945</wp:posOffset>
            </wp:positionH>
            <wp:positionV relativeFrom="paragraph">
              <wp:posOffset>10795</wp:posOffset>
            </wp:positionV>
            <wp:extent cx="4786630" cy="2689225"/>
            <wp:effectExtent l="4445" t="4445" r="9525" b="11430"/>
            <wp:wrapThrough wrapText="bothSides">
              <wp:wrapPolygon>
                <wp:start x="-20" y="-36"/>
                <wp:lineTo x="-20" y="21590"/>
                <wp:lineTo x="21586" y="21590"/>
                <wp:lineTo x="21586" y="-36"/>
                <wp:lineTo x="-20" y="-36"/>
              </wp:wrapPolygon>
            </wp:wrapThrough>
            <wp:docPr id="126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7BC09493">
      <w:pPr>
        <w:pStyle w:val="26"/>
        <w:numPr>
          <w:ilvl w:val="0"/>
          <w:numId w:val="2"/>
        </w:numPr>
        <w:spacing w:line="600" w:lineRule="exact"/>
        <w:ind w:firstLineChars="0"/>
        <w:outlineLvl w:val="1"/>
        <w:rPr>
          <w:rStyle w:val="28"/>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14:paraId="71015B1B">
      <w:pPr>
        <w:spacing w:line="600" w:lineRule="exact"/>
        <w:ind w:firstLine="640" w:firstLineChars="200"/>
        <w:outlineLvl w:val="1"/>
        <w:rPr>
          <w:rFonts w:hint="eastAsia" w:ascii="仿宋" w:hAnsi="仿宋" w:eastAsia="仿宋"/>
          <w:sz w:val="32"/>
          <w:szCs w:val="32"/>
          <w:lang w:eastAsia="zh-CN"/>
        </w:rPr>
      </w:pPr>
      <w:r>
        <w:rPr>
          <w:rFonts w:hint="eastAsia" w:ascii="仿宋" w:hAnsi="仿宋" w:eastAsia="仿宋"/>
          <w:sz w:val="32"/>
          <w:szCs w:val="32"/>
        </w:rPr>
        <w:t>2023年度本年收入合计</w:t>
      </w:r>
      <w:r>
        <w:rPr>
          <w:rFonts w:ascii="仿宋" w:hAnsi="仿宋" w:eastAsia="仿宋"/>
          <w:b/>
          <w:sz w:val="32"/>
          <w:szCs w:val="32"/>
        </w:rPr>
        <w:t>287.65</w:t>
      </w:r>
      <w:r>
        <w:rPr>
          <w:rFonts w:hint="eastAsia" w:ascii="仿宋" w:hAnsi="仿宋" w:eastAsia="仿宋"/>
          <w:sz w:val="32"/>
          <w:szCs w:val="32"/>
        </w:rPr>
        <w:t>万元，其中：一般公共预算财政拨款收入</w:t>
      </w:r>
      <w:r>
        <w:rPr>
          <w:rFonts w:ascii="仿宋" w:hAnsi="仿宋" w:eastAsia="仿宋"/>
          <w:b/>
          <w:sz w:val="32"/>
          <w:szCs w:val="32"/>
        </w:rPr>
        <w:t>287.65</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rPr>
        <w:t>；政府性基金预算财政拨款收入</w:t>
      </w:r>
      <w:r>
        <w:rPr>
          <w:rFonts w:hint="eastAsia" w:ascii="仿宋" w:hAnsi="仿宋" w:eastAsia="仿宋"/>
          <w:b/>
          <w:sz w:val="32"/>
          <w:szCs w:val="32"/>
          <w:lang w:val="en-US" w:eastAsia="zh-CN"/>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lang w:eastAsia="zh-CN"/>
        </w:rPr>
        <w:t>。</w:t>
      </w:r>
    </w:p>
    <w:p w14:paraId="08EC6F61">
      <w:pPr>
        <w:spacing w:line="600" w:lineRule="exact"/>
        <w:ind w:firstLine="640" w:firstLineChars="200"/>
        <w:outlineLvl w:val="1"/>
        <w:rPr>
          <w:rFonts w:ascii="仿宋" w:hAnsi="仿宋" w:eastAsia="仿宋"/>
          <w:sz w:val="32"/>
          <w:szCs w:val="32"/>
        </w:rPr>
      </w:pPr>
    </w:p>
    <w:p w14:paraId="5BDA357E">
      <w:pPr>
        <w:spacing w:line="600" w:lineRule="exact"/>
        <w:ind w:firstLine="420" w:firstLineChars="200"/>
        <w:jc w:val="center"/>
        <w:rPr>
          <w:rFonts w:ascii="仿宋_GB2312" w:eastAsia="仿宋_GB2312"/>
          <w:sz w:val="32"/>
          <w:szCs w:val="32"/>
        </w:rPr>
      </w:pPr>
      <w:r>
        <w:drawing>
          <wp:anchor distT="0" distB="0" distL="114300" distR="114300" simplePos="0" relativeHeight="251660288" behindDoc="1" locked="0" layoutInCell="1" allowOverlap="1">
            <wp:simplePos x="0" y="0"/>
            <wp:positionH relativeFrom="column">
              <wp:posOffset>182245</wp:posOffset>
            </wp:positionH>
            <wp:positionV relativeFrom="paragraph">
              <wp:posOffset>125095</wp:posOffset>
            </wp:positionV>
            <wp:extent cx="4685665" cy="2533015"/>
            <wp:effectExtent l="4445" t="4445" r="46990" b="40640"/>
            <wp:wrapThrough wrapText="bothSides">
              <wp:wrapPolygon>
                <wp:start x="-20" y="-38"/>
                <wp:lineTo x="-20" y="21513"/>
                <wp:lineTo x="21582" y="21513"/>
                <wp:lineTo x="21582" y="-38"/>
                <wp:lineTo x="-20" y="-38"/>
              </wp:wrapPolygon>
            </wp:wrapThrough>
            <wp:docPr id="126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sz w:val="32"/>
          <w:szCs w:val="32"/>
        </w:rPr>
        <w:t>（图2：收入决算结构图）</w:t>
      </w:r>
    </w:p>
    <w:p w14:paraId="457EB4C6">
      <w:pPr>
        <w:pStyle w:val="26"/>
        <w:numPr>
          <w:ilvl w:val="0"/>
          <w:numId w:val="2"/>
        </w:numPr>
        <w:spacing w:line="600" w:lineRule="exact"/>
        <w:ind w:firstLineChars="0"/>
        <w:outlineLvl w:val="1"/>
        <w:rPr>
          <w:rStyle w:val="28"/>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14:paraId="66FDEF97">
      <w:pPr>
        <w:spacing w:line="600" w:lineRule="exact"/>
        <w:ind w:firstLine="420" w:firstLineChars="200"/>
        <w:outlineLvl w:val="1"/>
        <w:rPr>
          <w:rFonts w:ascii="仿宋" w:hAnsi="仿宋" w:eastAsia="仿宋"/>
          <w:b/>
          <w:sz w:val="32"/>
          <w:szCs w:val="32"/>
        </w:rPr>
      </w:pPr>
      <w:r>
        <w:drawing>
          <wp:anchor distT="0" distB="0" distL="114300" distR="114300" simplePos="0" relativeHeight="251661312" behindDoc="1" locked="0" layoutInCell="1" allowOverlap="1">
            <wp:simplePos x="0" y="0"/>
            <wp:positionH relativeFrom="column">
              <wp:posOffset>223520</wp:posOffset>
            </wp:positionH>
            <wp:positionV relativeFrom="paragraph">
              <wp:posOffset>1516380</wp:posOffset>
            </wp:positionV>
            <wp:extent cx="4474210" cy="2627630"/>
            <wp:effectExtent l="4445" t="5080" r="17145" b="8890"/>
            <wp:wrapThrough wrapText="bothSides">
              <wp:wrapPolygon>
                <wp:start x="-21" y="-42"/>
                <wp:lineTo x="-21" y="21569"/>
                <wp:lineTo x="21560" y="21569"/>
                <wp:lineTo x="21560" y="-42"/>
                <wp:lineTo x="-21" y="-42"/>
              </wp:wrapPolygon>
            </wp:wrapThrough>
            <wp:docPr id="126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sz w:val="32"/>
          <w:szCs w:val="32"/>
        </w:rPr>
        <w:t>2023年度本年支出合计</w:t>
      </w:r>
      <w:r>
        <w:rPr>
          <w:rFonts w:ascii="仿宋" w:hAnsi="仿宋" w:eastAsia="仿宋"/>
          <w:b/>
          <w:sz w:val="32"/>
          <w:szCs w:val="32"/>
        </w:rPr>
        <w:t>328.51</w:t>
      </w:r>
      <w:r>
        <w:rPr>
          <w:rFonts w:hint="eastAsia" w:ascii="仿宋" w:hAnsi="仿宋" w:eastAsia="仿宋"/>
          <w:sz w:val="32"/>
          <w:szCs w:val="32"/>
        </w:rPr>
        <w:t>万元，其中：基本支出</w:t>
      </w:r>
      <w:r>
        <w:rPr>
          <w:rFonts w:ascii="仿宋" w:hAnsi="仿宋" w:eastAsia="仿宋"/>
          <w:b/>
          <w:sz w:val="32"/>
          <w:szCs w:val="32"/>
        </w:rPr>
        <w:t>239.05</w:t>
      </w:r>
      <w:r>
        <w:rPr>
          <w:rFonts w:hint="eastAsia" w:ascii="仿宋" w:hAnsi="仿宋" w:eastAsia="仿宋"/>
          <w:sz w:val="32"/>
          <w:szCs w:val="32"/>
        </w:rPr>
        <w:t>万元，占</w:t>
      </w:r>
      <w:r>
        <w:rPr>
          <w:rFonts w:ascii="仿宋" w:hAnsi="仿宋" w:eastAsia="仿宋"/>
          <w:b/>
          <w:sz w:val="32"/>
          <w:szCs w:val="32"/>
        </w:rPr>
        <w:t>72.76</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89.45</w:t>
      </w:r>
      <w:r>
        <w:rPr>
          <w:rFonts w:hint="eastAsia" w:ascii="仿宋" w:hAnsi="仿宋" w:eastAsia="仿宋"/>
          <w:sz w:val="32"/>
          <w:szCs w:val="32"/>
        </w:rPr>
        <w:t>万元，占</w:t>
      </w:r>
      <w:r>
        <w:rPr>
          <w:rFonts w:ascii="仿宋" w:hAnsi="仿宋" w:eastAsia="仿宋"/>
          <w:b/>
          <w:sz w:val="32"/>
          <w:szCs w:val="32"/>
        </w:rPr>
        <w:t>27.23</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469FD012">
      <w:pPr>
        <w:spacing w:line="600" w:lineRule="exact"/>
        <w:ind w:firstLine="640"/>
        <w:rPr>
          <w:rFonts w:ascii="仿宋" w:hAnsi="仿宋" w:eastAsia="仿宋"/>
          <w:sz w:val="32"/>
          <w:szCs w:val="32"/>
          <w:shd w:val="pct10" w:color="auto" w:fill="FFFFFF"/>
        </w:rPr>
      </w:pPr>
    </w:p>
    <w:p w14:paraId="6B89D59B">
      <w:pPr>
        <w:spacing w:line="600" w:lineRule="exact"/>
        <w:ind w:firstLine="640" w:firstLineChars="200"/>
        <w:jc w:val="center"/>
        <w:rPr>
          <w:rFonts w:ascii="仿宋_GB2312" w:eastAsia="仿宋_GB2312"/>
          <w:sz w:val="32"/>
          <w:szCs w:val="32"/>
        </w:rPr>
      </w:pPr>
      <w:r>
        <w:rPr>
          <w:rFonts w:hint="eastAsia" w:ascii="仿宋" w:hAnsi="仿宋" w:eastAsia="仿宋"/>
          <w:sz w:val="32"/>
          <w:szCs w:val="32"/>
        </w:rPr>
        <w:t>（图3：支出决算结构图）（饼状图）</w:t>
      </w:r>
    </w:p>
    <w:p w14:paraId="2C214F65">
      <w:pPr>
        <w:spacing w:line="600" w:lineRule="exact"/>
        <w:ind w:firstLine="640" w:firstLineChars="200"/>
        <w:outlineLvl w:val="1"/>
        <w:rPr>
          <w:rStyle w:val="28"/>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14:paraId="64BEDE74">
      <w:pPr>
        <w:spacing w:line="600" w:lineRule="exact"/>
        <w:ind w:firstLine="640"/>
        <w:rPr>
          <w:rFonts w:ascii="仿宋" w:hAnsi="仿宋" w:eastAsia="仿宋"/>
          <w:b/>
          <w:sz w:val="32"/>
          <w:szCs w:val="32"/>
        </w:rPr>
      </w:pPr>
      <w:r>
        <w:rPr>
          <w:rFonts w:hint="eastAsia" w:ascii="仿宋" w:hAnsi="仿宋" w:eastAsia="仿宋"/>
          <w:sz w:val="32"/>
          <w:szCs w:val="32"/>
        </w:rPr>
        <w:t>2023年度财政拨款收、支总计均为</w:t>
      </w:r>
      <w:r>
        <w:rPr>
          <w:rFonts w:ascii="仿宋" w:hAnsi="仿宋" w:eastAsia="仿宋"/>
          <w:b/>
          <w:sz w:val="32"/>
          <w:szCs w:val="32"/>
        </w:rPr>
        <w:t>329.74</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129.4</w:t>
      </w:r>
      <w:r>
        <w:rPr>
          <w:rFonts w:hint="eastAsia" w:ascii="仿宋" w:hAnsi="仿宋" w:eastAsia="仿宋"/>
          <w:sz w:val="32"/>
          <w:szCs w:val="32"/>
        </w:rPr>
        <w:t>万元，增长</w:t>
      </w:r>
      <w:r>
        <w:rPr>
          <w:rFonts w:hint="eastAsia" w:ascii="仿宋" w:hAnsi="仿宋" w:eastAsia="仿宋"/>
          <w:sz w:val="32"/>
          <w:szCs w:val="32"/>
          <w:lang w:val="en-US" w:eastAsia="zh-CN"/>
        </w:rPr>
        <w:t>81.77</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auto"/>
          <w:sz w:val="32"/>
          <w:szCs w:val="32"/>
          <w:highlight w:val="none"/>
          <w:lang w:val="en-US" w:eastAsia="zh-CN"/>
        </w:rPr>
        <w:t>2023年</w:t>
      </w:r>
      <w:r>
        <w:rPr>
          <w:rFonts w:hint="eastAsia" w:ascii="仿宋" w:hAnsi="仿宋" w:eastAsia="仿宋" w:cs="仿宋"/>
          <w:color w:val="auto"/>
          <w:sz w:val="30"/>
          <w:szCs w:val="30"/>
        </w:rPr>
        <w:t>市、县</w:t>
      </w:r>
      <w:r>
        <w:rPr>
          <w:rFonts w:hint="eastAsia" w:ascii="仿宋" w:hAnsi="仿宋" w:eastAsia="仿宋" w:cs="仿宋"/>
          <w:color w:val="auto"/>
          <w:sz w:val="30"/>
          <w:szCs w:val="30"/>
          <w:lang w:val="en-US" w:eastAsia="zh-CN"/>
        </w:rPr>
        <w:t>级</w:t>
      </w:r>
      <w:r>
        <w:rPr>
          <w:rFonts w:hint="eastAsia" w:ascii="仿宋" w:hAnsi="仿宋" w:eastAsia="仿宋" w:cs="仿宋"/>
          <w:color w:val="auto"/>
          <w:sz w:val="30"/>
          <w:szCs w:val="30"/>
        </w:rPr>
        <w:t>农产品质量安全风险监测</w:t>
      </w:r>
      <w:r>
        <w:rPr>
          <w:rFonts w:hint="eastAsia" w:ascii="仿宋" w:hAnsi="仿宋" w:eastAsia="仿宋" w:cs="仿宋"/>
          <w:color w:val="auto"/>
          <w:sz w:val="30"/>
          <w:szCs w:val="30"/>
          <w:lang w:val="en-US" w:eastAsia="zh-CN"/>
        </w:rPr>
        <w:t>任务增加，以及支付了</w:t>
      </w:r>
      <w:r>
        <w:rPr>
          <w:rFonts w:hint="eastAsia" w:ascii="仿宋" w:hAnsi="仿宋" w:eastAsia="仿宋"/>
          <w:color w:val="auto"/>
          <w:sz w:val="32"/>
          <w:szCs w:val="32"/>
          <w:highlight w:val="none"/>
          <w:lang w:val="en-US" w:eastAsia="zh-CN"/>
        </w:rPr>
        <w:t>2022年人员经费、公用经费、项目经费。</w:t>
      </w:r>
    </w:p>
    <w:p w14:paraId="44F240E4">
      <w:pPr>
        <w:spacing w:line="600" w:lineRule="exact"/>
        <w:rPr>
          <w:rFonts w:ascii="仿宋" w:hAnsi="仿宋" w:eastAsia="仿宋"/>
          <w:sz w:val="32"/>
          <w:szCs w:val="32"/>
        </w:rPr>
      </w:pPr>
      <w:r>
        <w:drawing>
          <wp:anchor distT="0" distB="0" distL="114300" distR="114300" simplePos="0" relativeHeight="251662336" behindDoc="1" locked="0" layoutInCell="1" allowOverlap="1">
            <wp:simplePos x="0" y="0"/>
            <wp:positionH relativeFrom="column">
              <wp:posOffset>233045</wp:posOffset>
            </wp:positionH>
            <wp:positionV relativeFrom="paragraph">
              <wp:posOffset>252095</wp:posOffset>
            </wp:positionV>
            <wp:extent cx="4785995" cy="2708275"/>
            <wp:effectExtent l="4445" t="4445" r="10160" b="5080"/>
            <wp:wrapThrough wrapText="bothSides">
              <wp:wrapPolygon>
                <wp:start x="-20" y="-35"/>
                <wp:lineTo x="-20" y="21539"/>
                <wp:lineTo x="21589" y="21539"/>
                <wp:lineTo x="21589" y="-35"/>
                <wp:lineTo x="-20" y="-35"/>
              </wp:wrapPolygon>
            </wp:wrapThrough>
            <wp:docPr id="126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0DE3251F">
      <w:pPr>
        <w:spacing w:line="600" w:lineRule="exact"/>
        <w:jc w:val="center"/>
        <w:rPr>
          <w:rFonts w:ascii="仿宋" w:hAnsi="仿宋" w:eastAsia="仿宋"/>
          <w:b/>
          <w:sz w:val="32"/>
          <w:szCs w:val="32"/>
        </w:rPr>
      </w:pPr>
      <w:r>
        <w:rPr>
          <w:rFonts w:hint="eastAsia" w:ascii="仿宋" w:hAnsi="仿宋" w:eastAsia="仿宋"/>
          <w:sz w:val="32"/>
          <w:szCs w:val="32"/>
        </w:rPr>
        <w:t>（图4：财政拨款收、支决算总计变动情况）</w:t>
      </w:r>
    </w:p>
    <w:p w14:paraId="026A0A05">
      <w:pPr>
        <w:spacing w:line="600" w:lineRule="exact"/>
        <w:ind w:firstLine="640" w:firstLineChars="200"/>
        <w:outlineLvl w:val="1"/>
        <w:rPr>
          <w:rStyle w:val="28"/>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14:paraId="66CE1B84">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24939D2D">
      <w:pPr>
        <w:spacing w:line="600" w:lineRule="exact"/>
        <w:ind w:firstLine="640" w:firstLineChars="200"/>
        <w:rPr>
          <w:rFonts w:hint="default" w:ascii="仿宋" w:hAnsi="仿宋" w:eastAsia="仿宋"/>
          <w:sz w:val="32"/>
          <w:szCs w:val="32"/>
          <w:lang w:val="en-US"/>
        </w:rPr>
      </w:pPr>
      <w:r>
        <w:rPr>
          <w:rFonts w:hint="eastAsia" w:ascii="仿宋" w:hAnsi="仿宋" w:eastAsia="仿宋"/>
          <w:sz w:val="32"/>
          <w:szCs w:val="32"/>
        </w:rPr>
        <w:t>2023年度一般公共预算财政拨款支出</w:t>
      </w:r>
      <w:r>
        <w:rPr>
          <w:rFonts w:ascii="仿宋" w:hAnsi="仿宋" w:eastAsia="仿宋"/>
          <w:b/>
          <w:sz w:val="32"/>
          <w:szCs w:val="32"/>
        </w:rPr>
        <w:t>328.51</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147.21</w:t>
      </w:r>
      <w:r>
        <w:rPr>
          <w:rFonts w:hint="eastAsia" w:ascii="仿宋" w:hAnsi="仿宋" w:eastAsia="仿宋"/>
          <w:sz w:val="32"/>
          <w:szCs w:val="32"/>
        </w:rPr>
        <w:t>万元，增长</w:t>
      </w:r>
      <w:r>
        <w:rPr>
          <w:rFonts w:hint="eastAsia" w:ascii="仿宋" w:hAnsi="仿宋" w:eastAsia="仿宋"/>
          <w:sz w:val="32"/>
          <w:szCs w:val="32"/>
          <w:lang w:val="en-US" w:eastAsia="zh-CN"/>
        </w:rPr>
        <w:t>81.2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auto"/>
          <w:sz w:val="32"/>
          <w:szCs w:val="32"/>
          <w:highlight w:val="none"/>
          <w:lang w:val="en-US" w:eastAsia="zh-CN"/>
        </w:rPr>
        <w:t>2023年</w:t>
      </w:r>
      <w:r>
        <w:rPr>
          <w:rFonts w:hint="eastAsia" w:ascii="仿宋" w:hAnsi="仿宋" w:eastAsia="仿宋" w:cs="仿宋"/>
          <w:color w:val="auto"/>
          <w:sz w:val="30"/>
          <w:szCs w:val="30"/>
        </w:rPr>
        <w:t>市、县</w:t>
      </w:r>
      <w:r>
        <w:rPr>
          <w:rFonts w:hint="eastAsia" w:ascii="仿宋" w:hAnsi="仿宋" w:eastAsia="仿宋" w:cs="仿宋"/>
          <w:color w:val="auto"/>
          <w:sz w:val="30"/>
          <w:szCs w:val="30"/>
          <w:lang w:val="en-US" w:eastAsia="zh-CN"/>
        </w:rPr>
        <w:t>级</w:t>
      </w:r>
      <w:r>
        <w:rPr>
          <w:rFonts w:hint="eastAsia" w:ascii="仿宋" w:hAnsi="仿宋" w:eastAsia="仿宋" w:cs="仿宋"/>
          <w:color w:val="auto"/>
          <w:sz w:val="30"/>
          <w:szCs w:val="30"/>
        </w:rPr>
        <w:t>农产品质量安全风险监测</w:t>
      </w:r>
      <w:r>
        <w:rPr>
          <w:rFonts w:hint="eastAsia" w:ascii="仿宋" w:hAnsi="仿宋" w:eastAsia="仿宋" w:cs="仿宋"/>
          <w:color w:val="auto"/>
          <w:sz w:val="30"/>
          <w:szCs w:val="30"/>
          <w:lang w:val="en-US" w:eastAsia="zh-CN"/>
        </w:rPr>
        <w:t>任务增加，以及支付了</w:t>
      </w:r>
      <w:r>
        <w:rPr>
          <w:rFonts w:hint="eastAsia" w:ascii="仿宋" w:hAnsi="仿宋" w:eastAsia="仿宋"/>
          <w:color w:val="auto"/>
          <w:sz w:val="32"/>
          <w:szCs w:val="32"/>
          <w:highlight w:val="none"/>
          <w:lang w:val="en-US" w:eastAsia="zh-CN"/>
        </w:rPr>
        <w:t>2022年人员经费、公用经费、项目经费</w:t>
      </w:r>
      <w:r>
        <w:rPr>
          <w:rFonts w:hint="eastAsia" w:ascii="仿宋" w:hAnsi="仿宋" w:eastAsia="仿宋" w:cs="仿宋"/>
          <w:color w:val="auto"/>
          <w:sz w:val="30"/>
          <w:szCs w:val="30"/>
          <w:lang w:val="en-US" w:eastAsia="zh-CN"/>
        </w:rPr>
        <w:t>。</w:t>
      </w:r>
    </w:p>
    <w:p w14:paraId="4927EEF5">
      <w:pPr>
        <w:spacing w:line="600" w:lineRule="exact"/>
        <w:jc w:val="center"/>
        <w:rPr>
          <w:rFonts w:ascii="仿宋" w:hAnsi="仿宋" w:eastAsia="仿宋"/>
          <w:sz w:val="32"/>
          <w:szCs w:val="32"/>
        </w:rPr>
      </w:pPr>
      <w:r>
        <w:drawing>
          <wp:anchor distT="0" distB="0" distL="114300" distR="114300" simplePos="0" relativeHeight="251663360" behindDoc="1" locked="0" layoutInCell="1" allowOverlap="1">
            <wp:simplePos x="0" y="0"/>
            <wp:positionH relativeFrom="column">
              <wp:posOffset>169545</wp:posOffset>
            </wp:positionH>
            <wp:positionV relativeFrom="paragraph">
              <wp:posOffset>74295</wp:posOffset>
            </wp:positionV>
            <wp:extent cx="4641215" cy="2574925"/>
            <wp:effectExtent l="4445" t="4445" r="53340" b="36830"/>
            <wp:wrapThrough wrapText="bothSides">
              <wp:wrapPolygon>
                <wp:start x="-21" y="-37"/>
                <wp:lineTo x="-21" y="21589"/>
                <wp:lineTo x="21553" y="21589"/>
                <wp:lineTo x="21553" y="-37"/>
                <wp:lineTo x="-21" y="-37"/>
              </wp:wrapPolygon>
            </wp:wrapThrough>
            <wp:docPr id="126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sz w:val="32"/>
          <w:szCs w:val="32"/>
        </w:rPr>
        <w:t>（图5：一般公共预算财政拨款支出决算变动情况）</w:t>
      </w:r>
    </w:p>
    <w:p w14:paraId="1B4BFF45">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37DFB780">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328.51</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lang w:val="en-US" w:eastAsia="zh-CN"/>
        </w:rPr>
        <w:t>农林水支出</w:t>
      </w:r>
      <w:r>
        <w:rPr>
          <w:rFonts w:hint="eastAsia" w:ascii="仿宋" w:hAnsi="仿宋" w:eastAsia="仿宋"/>
          <w:sz w:val="32"/>
          <w:szCs w:val="32"/>
          <w:lang w:val="en-US" w:eastAsia="zh-CN"/>
        </w:rPr>
        <w:t>284.48</w:t>
      </w:r>
      <w:r>
        <w:rPr>
          <w:rFonts w:hint="eastAsia" w:ascii="仿宋" w:hAnsi="仿宋" w:eastAsia="仿宋"/>
          <w:sz w:val="32"/>
          <w:szCs w:val="32"/>
        </w:rPr>
        <w:t>万元，占</w:t>
      </w:r>
      <w:r>
        <w:rPr>
          <w:rFonts w:hint="eastAsia" w:ascii="仿宋" w:hAnsi="仿宋" w:eastAsia="仿宋"/>
          <w:sz w:val="32"/>
          <w:szCs w:val="32"/>
          <w:lang w:val="en-US" w:eastAsia="zh-CN"/>
        </w:rPr>
        <w:t>86.6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22.76</w:t>
      </w:r>
      <w:r>
        <w:rPr>
          <w:rFonts w:hint="eastAsia" w:ascii="仿宋" w:hAnsi="仿宋" w:eastAsia="仿宋"/>
          <w:sz w:val="32"/>
          <w:szCs w:val="32"/>
        </w:rPr>
        <w:t>万元，占</w:t>
      </w:r>
      <w:r>
        <w:rPr>
          <w:rFonts w:hint="eastAsia" w:ascii="仿宋" w:hAnsi="仿宋" w:eastAsia="仿宋"/>
          <w:sz w:val="32"/>
          <w:szCs w:val="32"/>
          <w:lang w:val="en-US" w:eastAsia="zh-CN"/>
        </w:rPr>
        <w:t>6.93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6.5</w:t>
      </w:r>
      <w:r>
        <w:rPr>
          <w:rFonts w:hint="eastAsia" w:ascii="仿宋" w:hAnsi="仿宋" w:eastAsia="仿宋"/>
          <w:sz w:val="32"/>
          <w:szCs w:val="32"/>
        </w:rPr>
        <w:t>万元，占</w:t>
      </w:r>
      <w:r>
        <w:rPr>
          <w:rFonts w:hint="eastAsia" w:ascii="仿宋" w:hAnsi="仿宋" w:eastAsia="仿宋"/>
          <w:sz w:val="32"/>
          <w:szCs w:val="32"/>
          <w:lang w:val="en-US" w:eastAsia="zh-CN"/>
        </w:rPr>
        <w:t>1.98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14.76</w:t>
      </w:r>
      <w:r>
        <w:rPr>
          <w:rFonts w:hint="eastAsia" w:ascii="仿宋" w:hAnsi="仿宋" w:eastAsia="仿宋"/>
          <w:sz w:val="32"/>
          <w:szCs w:val="32"/>
        </w:rPr>
        <w:t>万元，占</w:t>
      </w:r>
      <w:r>
        <w:rPr>
          <w:rFonts w:hint="eastAsia" w:ascii="仿宋" w:hAnsi="仿宋" w:eastAsia="仿宋"/>
          <w:sz w:val="32"/>
          <w:szCs w:val="32"/>
          <w:lang w:val="en-US" w:eastAsia="zh-CN"/>
        </w:rPr>
        <w:t>4.49</w:t>
      </w:r>
      <w:r>
        <w:rPr>
          <w:rFonts w:ascii="仿宋" w:hAnsi="仿宋" w:eastAsia="仿宋"/>
          <w:sz w:val="32"/>
          <w:szCs w:val="32"/>
        </w:rPr>
        <w:t>%</w:t>
      </w:r>
      <w:r>
        <w:rPr>
          <w:rFonts w:hint="eastAsia" w:ascii="仿宋" w:hAnsi="仿宋" w:eastAsia="仿宋"/>
          <w:sz w:val="32"/>
          <w:szCs w:val="32"/>
        </w:rPr>
        <w:t>。</w:t>
      </w:r>
    </w:p>
    <w:p w14:paraId="144D8168">
      <w:pPr>
        <w:spacing w:line="600" w:lineRule="exact"/>
        <w:ind w:firstLine="640"/>
        <w:rPr>
          <w:rFonts w:ascii="仿宋" w:hAnsi="仿宋" w:eastAsia="仿宋"/>
          <w:sz w:val="32"/>
          <w:szCs w:val="32"/>
        </w:rPr>
      </w:pPr>
      <w:r>
        <w:drawing>
          <wp:anchor distT="0" distB="0" distL="114300" distR="114300" simplePos="0" relativeHeight="251664384" behindDoc="1" locked="0" layoutInCell="1" allowOverlap="1">
            <wp:simplePos x="0" y="0"/>
            <wp:positionH relativeFrom="column">
              <wp:posOffset>309245</wp:posOffset>
            </wp:positionH>
            <wp:positionV relativeFrom="paragraph">
              <wp:posOffset>114300</wp:posOffset>
            </wp:positionV>
            <wp:extent cx="4392295" cy="2296795"/>
            <wp:effectExtent l="5080" t="4445" r="9525" b="35560"/>
            <wp:wrapThrough wrapText="bothSides">
              <wp:wrapPolygon>
                <wp:start x="-25" y="-42"/>
                <wp:lineTo x="-25" y="21576"/>
                <wp:lineTo x="21584" y="21576"/>
                <wp:lineTo x="21584" y="-42"/>
                <wp:lineTo x="-25" y="-42"/>
              </wp:wrapPolygon>
            </wp:wrapThrough>
            <wp:docPr id="126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720D65FD">
      <w:pPr>
        <w:spacing w:line="600" w:lineRule="exact"/>
        <w:ind w:firstLine="640" w:firstLineChars="200"/>
        <w:rPr>
          <w:rFonts w:hint="eastAsia" w:ascii="仿宋" w:hAnsi="仿宋" w:eastAsia="仿宋"/>
          <w:sz w:val="32"/>
          <w:szCs w:val="32"/>
        </w:rPr>
      </w:pPr>
    </w:p>
    <w:p w14:paraId="3C31E508">
      <w:pPr>
        <w:spacing w:line="600" w:lineRule="exact"/>
        <w:ind w:firstLine="640" w:firstLineChars="200"/>
        <w:rPr>
          <w:rFonts w:hint="eastAsia" w:ascii="仿宋" w:hAnsi="仿宋" w:eastAsia="仿宋"/>
          <w:sz w:val="32"/>
          <w:szCs w:val="32"/>
        </w:rPr>
      </w:pPr>
    </w:p>
    <w:p w14:paraId="68BB94D4">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14:paraId="6B5F2E67">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36C6E13F">
      <w:pPr>
        <w:spacing w:line="600" w:lineRule="exact"/>
        <w:ind w:firstLine="643" w:firstLineChars="200"/>
        <w:outlineLvl w:val="2"/>
        <w:rPr>
          <w:rFonts w:ascii="仿宋" w:hAnsi="仿宋" w:eastAsia="仿宋"/>
          <w:sz w:val="32"/>
          <w:szCs w:val="32"/>
        </w:rPr>
      </w:pPr>
      <w:bookmarkStart w:id="31" w:name="_Toc15378460"/>
      <w:bookmarkStart w:id="32" w:name="_Toc15377213"/>
      <w:bookmarkStart w:id="33" w:name="_Toc15377444"/>
      <w:r>
        <w:rPr>
          <w:rFonts w:hint="eastAsia" w:ascii="仿宋" w:hAnsi="仿宋" w:eastAsia="仿宋"/>
          <w:b/>
          <w:sz w:val="32"/>
          <w:szCs w:val="32"/>
        </w:rPr>
        <w:t>2023年度一般公共预算支出决算数为</w:t>
      </w:r>
      <w:r>
        <w:rPr>
          <w:rFonts w:ascii="仿宋" w:hAnsi="仿宋" w:eastAsia="仿宋"/>
          <w:b/>
          <w:sz w:val="32"/>
          <w:szCs w:val="32"/>
        </w:rPr>
        <w:t>328.51</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31"/>
      <w:bookmarkEnd w:id="32"/>
      <w:bookmarkEnd w:id="33"/>
    </w:p>
    <w:p w14:paraId="31DF5E97">
      <w:pPr>
        <w:spacing w:line="600" w:lineRule="exact"/>
        <w:ind w:firstLine="643" w:firstLineChars="200"/>
        <w:rPr>
          <w:rFonts w:ascii="仿宋" w:hAnsi="仿宋" w:eastAsia="仿宋"/>
          <w:b/>
          <w:sz w:val="32"/>
          <w:szCs w:val="32"/>
        </w:rPr>
      </w:pPr>
      <w:r>
        <w:rPr>
          <w:rStyle w:val="16"/>
          <w:rFonts w:ascii="仿宋" w:hAnsi="仿宋" w:eastAsia="仿宋"/>
          <w:bCs/>
          <w:sz w:val="32"/>
          <w:szCs w:val="32"/>
        </w:rPr>
        <w:t>1.</w:t>
      </w:r>
      <w:r>
        <w:rPr>
          <w:rStyle w:val="16"/>
          <w:rFonts w:hint="eastAsia" w:ascii="仿宋" w:hAnsi="仿宋" w:eastAsia="仿宋"/>
          <w:bCs/>
          <w:sz w:val="32"/>
          <w:szCs w:val="32"/>
          <w:lang w:val="en-US" w:eastAsia="zh-CN"/>
        </w:rPr>
        <w:t>农林水支出</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213</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农业农村</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01</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事业支出</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04</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179.19</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14:paraId="5C0EA3C0">
      <w:pPr>
        <w:spacing w:line="600" w:lineRule="exact"/>
        <w:ind w:firstLine="643" w:firstLineChars="200"/>
        <w:rPr>
          <w:rStyle w:val="16"/>
          <w:rFonts w:hint="eastAsia" w:ascii="仿宋" w:hAnsi="仿宋" w:eastAsia="仿宋"/>
          <w:b w:val="0"/>
          <w:bCs/>
          <w:sz w:val="32"/>
          <w:szCs w:val="32"/>
        </w:rPr>
      </w:pPr>
      <w:r>
        <w:rPr>
          <w:rStyle w:val="16"/>
          <w:rFonts w:ascii="仿宋" w:hAnsi="仿宋" w:eastAsia="仿宋"/>
          <w:bCs/>
          <w:sz w:val="32"/>
          <w:szCs w:val="32"/>
        </w:rPr>
        <w:t>2.</w:t>
      </w:r>
      <w:r>
        <w:rPr>
          <w:rStyle w:val="16"/>
          <w:rFonts w:hint="eastAsia" w:ascii="仿宋" w:hAnsi="仿宋" w:eastAsia="仿宋"/>
          <w:bCs/>
          <w:sz w:val="32"/>
          <w:szCs w:val="32"/>
          <w:lang w:val="en-US" w:eastAsia="zh-CN"/>
        </w:rPr>
        <w:t>农林水支出</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213</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农业农村</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01</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其他农业农村支出</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99</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89.45</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14:paraId="69A74BFB">
      <w:pPr>
        <w:spacing w:line="600" w:lineRule="exact"/>
        <w:ind w:firstLine="643" w:firstLineChars="200"/>
      </w:pPr>
      <w:r>
        <w:rPr>
          <w:rStyle w:val="16"/>
          <w:rFonts w:hint="eastAsia" w:ascii="仿宋" w:hAnsi="仿宋" w:eastAsia="仿宋"/>
          <w:bCs/>
          <w:sz w:val="32"/>
          <w:szCs w:val="32"/>
          <w:lang w:val="en-US" w:eastAsia="zh-CN"/>
        </w:rPr>
        <w:t>3</w:t>
      </w:r>
      <w:r>
        <w:rPr>
          <w:rStyle w:val="16"/>
          <w:rFonts w:ascii="仿宋" w:hAnsi="仿宋" w:eastAsia="仿宋"/>
          <w:bCs/>
          <w:sz w:val="32"/>
          <w:szCs w:val="32"/>
        </w:rPr>
        <w:t>.</w:t>
      </w:r>
      <w:r>
        <w:rPr>
          <w:rStyle w:val="16"/>
          <w:rFonts w:hint="eastAsia" w:ascii="仿宋" w:hAnsi="仿宋" w:eastAsia="仿宋"/>
          <w:bCs/>
          <w:sz w:val="32"/>
          <w:szCs w:val="32"/>
          <w:lang w:val="en-US" w:eastAsia="zh-CN"/>
        </w:rPr>
        <w:t>农林水支出</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213</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其他农林水支出</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99</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其他农林水支出</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99</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15.83</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14:paraId="4BF6D2C8">
      <w:pPr>
        <w:spacing w:line="600" w:lineRule="exact"/>
        <w:ind w:firstLine="643" w:firstLineChars="200"/>
        <w:rPr>
          <w:rFonts w:ascii="仿宋" w:hAnsi="仿宋" w:eastAsia="仿宋"/>
          <w:b/>
          <w:sz w:val="32"/>
          <w:szCs w:val="32"/>
        </w:rPr>
      </w:pPr>
      <w:r>
        <w:rPr>
          <w:rStyle w:val="16"/>
          <w:rFonts w:hint="eastAsia" w:ascii="仿宋" w:hAnsi="仿宋" w:eastAsia="仿宋"/>
          <w:bCs/>
          <w:sz w:val="32"/>
          <w:szCs w:val="32"/>
          <w:lang w:val="en-US" w:eastAsia="zh-CN"/>
        </w:rPr>
        <w:t>4</w:t>
      </w:r>
      <w:r>
        <w:rPr>
          <w:rStyle w:val="16"/>
          <w:rFonts w:ascii="仿宋" w:hAnsi="仿宋" w:eastAsia="仿宋"/>
          <w:bCs/>
          <w:sz w:val="32"/>
          <w:szCs w:val="32"/>
        </w:rPr>
        <w:t>.</w:t>
      </w:r>
      <w:r>
        <w:rPr>
          <w:rStyle w:val="16"/>
          <w:rFonts w:hint="eastAsia" w:ascii="仿宋" w:hAnsi="仿宋" w:eastAsia="仿宋"/>
          <w:bCs/>
          <w:sz w:val="32"/>
          <w:szCs w:val="32"/>
        </w:rPr>
        <w:t>社会保障和就业</w:t>
      </w:r>
      <w:r>
        <w:rPr>
          <w:rStyle w:val="16"/>
          <w:rFonts w:hint="eastAsia" w:ascii="仿宋" w:hAnsi="仿宋" w:eastAsia="仿宋"/>
          <w:bCs/>
          <w:sz w:val="32"/>
          <w:szCs w:val="32"/>
          <w:lang w:val="en-US" w:eastAsia="zh-CN"/>
        </w:rPr>
        <w:t>支出</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208</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行政事业单位养老支出</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05</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机关事业单位基本养老保险缴费支出</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05</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12.89</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14:paraId="72A00160">
      <w:pPr>
        <w:spacing w:line="600" w:lineRule="exact"/>
        <w:ind w:firstLine="643" w:firstLineChars="200"/>
        <w:rPr>
          <w:rFonts w:ascii="仿宋" w:hAnsi="仿宋" w:eastAsia="仿宋"/>
          <w:b/>
          <w:sz w:val="32"/>
          <w:szCs w:val="32"/>
        </w:rPr>
      </w:pPr>
      <w:r>
        <w:rPr>
          <w:rStyle w:val="16"/>
          <w:rFonts w:hint="eastAsia" w:ascii="仿宋" w:hAnsi="仿宋" w:eastAsia="仿宋"/>
          <w:bCs/>
          <w:sz w:val="32"/>
          <w:szCs w:val="32"/>
          <w:lang w:val="en-US" w:eastAsia="zh-CN"/>
        </w:rPr>
        <w:t>5</w:t>
      </w:r>
      <w:r>
        <w:rPr>
          <w:rStyle w:val="16"/>
          <w:rFonts w:ascii="仿宋" w:hAnsi="仿宋" w:eastAsia="仿宋"/>
          <w:bCs/>
          <w:sz w:val="32"/>
          <w:szCs w:val="32"/>
        </w:rPr>
        <w:t>.</w:t>
      </w:r>
      <w:r>
        <w:rPr>
          <w:rStyle w:val="16"/>
          <w:rFonts w:hint="eastAsia" w:ascii="仿宋" w:hAnsi="仿宋" w:eastAsia="仿宋"/>
          <w:bCs/>
          <w:sz w:val="32"/>
          <w:szCs w:val="32"/>
        </w:rPr>
        <w:t>社会保障和就业</w:t>
      </w:r>
      <w:r>
        <w:rPr>
          <w:rStyle w:val="16"/>
          <w:rFonts w:hint="eastAsia" w:ascii="仿宋" w:hAnsi="仿宋" w:eastAsia="仿宋"/>
          <w:bCs/>
          <w:sz w:val="32"/>
          <w:szCs w:val="32"/>
          <w:lang w:val="en-US" w:eastAsia="zh-CN"/>
        </w:rPr>
        <w:t>支出</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208</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行政事业单位养老支出</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05</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机关事业单位职业年金缴费支出</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06</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8.98</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14:paraId="41724646">
      <w:pPr>
        <w:spacing w:line="600" w:lineRule="exact"/>
        <w:ind w:firstLine="643" w:firstLineChars="200"/>
        <w:rPr>
          <w:rFonts w:ascii="仿宋" w:hAnsi="仿宋" w:eastAsia="仿宋"/>
          <w:b/>
          <w:sz w:val="32"/>
          <w:szCs w:val="32"/>
        </w:rPr>
      </w:pPr>
      <w:r>
        <w:rPr>
          <w:rStyle w:val="16"/>
          <w:rFonts w:hint="eastAsia" w:ascii="仿宋" w:hAnsi="仿宋" w:eastAsia="仿宋"/>
          <w:bCs/>
          <w:sz w:val="32"/>
          <w:szCs w:val="32"/>
          <w:lang w:val="en-US" w:eastAsia="zh-CN"/>
        </w:rPr>
        <w:t>6</w:t>
      </w:r>
      <w:r>
        <w:rPr>
          <w:rStyle w:val="16"/>
          <w:rFonts w:ascii="仿宋" w:hAnsi="仿宋" w:eastAsia="仿宋"/>
          <w:bCs/>
          <w:sz w:val="32"/>
          <w:szCs w:val="32"/>
        </w:rPr>
        <w:t>.</w:t>
      </w:r>
      <w:r>
        <w:rPr>
          <w:rStyle w:val="16"/>
          <w:rFonts w:hint="eastAsia" w:ascii="仿宋" w:hAnsi="仿宋" w:eastAsia="仿宋"/>
          <w:bCs/>
          <w:sz w:val="32"/>
          <w:szCs w:val="32"/>
        </w:rPr>
        <w:t>社会保障和就业</w:t>
      </w:r>
      <w:r>
        <w:rPr>
          <w:rStyle w:val="16"/>
          <w:rFonts w:hint="eastAsia" w:ascii="仿宋" w:hAnsi="仿宋" w:eastAsia="仿宋"/>
          <w:bCs/>
          <w:sz w:val="32"/>
          <w:szCs w:val="32"/>
          <w:lang w:val="en-US" w:eastAsia="zh-CN"/>
        </w:rPr>
        <w:t>支出</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208</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行政事业单位养老支出</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05</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其他行政事业单位养老支出</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99</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0.42</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14:paraId="6FC86C1A">
      <w:pPr>
        <w:spacing w:line="600" w:lineRule="exact"/>
        <w:ind w:firstLine="643" w:firstLineChars="200"/>
        <w:rPr>
          <w:rStyle w:val="16"/>
          <w:rFonts w:hint="eastAsia" w:ascii="仿宋" w:hAnsi="仿宋" w:eastAsia="仿宋"/>
          <w:b w:val="0"/>
          <w:bCs/>
          <w:sz w:val="32"/>
          <w:szCs w:val="32"/>
        </w:rPr>
      </w:pPr>
      <w:r>
        <w:rPr>
          <w:rStyle w:val="16"/>
          <w:rFonts w:hint="eastAsia" w:ascii="仿宋" w:hAnsi="仿宋" w:eastAsia="仿宋"/>
          <w:bCs/>
          <w:sz w:val="32"/>
          <w:szCs w:val="32"/>
          <w:lang w:val="en-US" w:eastAsia="zh-CN"/>
        </w:rPr>
        <w:t>7</w:t>
      </w:r>
      <w:r>
        <w:rPr>
          <w:rStyle w:val="16"/>
          <w:rFonts w:ascii="仿宋" w:hAnsi="仿宋" w:eastAsia="仿宋"/>
          <w:bCs/>
          <w:sz w:val="32"/>
          <w:szCs w:val="32"/>
        </w:rPr>
        <w:t>.</w:t>
      </w:r>
      <w:r>
        <w:rPr>
          <w:rStyle w:val="16"/>
          <w:rFonts w:hint="eastAsia" w:ascii="仿宋" w:hAnsi="仿宋" w:eastAsia="仿宋"/>
          <w:bCs/>
          <w:sz w:val="32"/>
          <w:szCs w:val="32"/>
        </w:rPr>
        <w:t>社会保障和就业</w:t>
      </w:r>
      <w:r>
        <w:rPr>
          <w:rStyle w:val="16"/>
          <w:rFonts w:hint="eastAsia" w:ascii="仿宋" w:hAnsi="仿宋" w:eastAsia="仿宋"/>
          <w:bCs/>
          <w:sz w:val="32"/>
          <w:szCs w:val="32"/>
          <w:lang w:val="en-US" w:eastAsia="zh-CN"/>
        </w:rPr>
        <w:t>支出</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208</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其他社会保障和就业支出</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99</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其他社会保障和就业支出</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99</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0.47</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14:paraId="65B24393">
      <w:pPr>
        <w:spacing w:line="600" w:lineRule="exact"/>
        <w:ind w:firstLine="643" w:firstLineChars="200"/>
        <w:rPr>
          <w:rFonts w:ascii="仿宋" w:hAnsi="仿宋" w:eastAsia="仿宋"/>
          <w:b/>
          <w:sz w:val="32"/>
          <w:szCs w:val="32"/>
        </w:rPr>
      </w:pPr>
      <w:r>
        <w:rPr>
          <w:rStyle w:val="16"/>
          <w:rFonts w:hint="eastAsia" w:ascii="仿宋" w:hAnsi="仿宋" w:eastAsia="仿宋"/>
          <w:bCs/>
          <w:sz w:val="32"/>
          <w:szCs w:val="32"/>
          <w:lang w:val="en-US" w:eastAsia="zh-CN"/>
        </w:rPr>
        <w:t>8</w:t>
      </w:r>
      <w:r>
        <w:rPr>
          <w:rStyle w:val="16"/>
          <w:rFonts w:ascii="仿宋" w:hAnsi="仿宋" w:eastAsia="仿宋"/>
          <w:bCs/>
          <w:sz w:val="32"/>
          <w:szCs w:val="32"/>
        </w:rPr>
        <w:t>.</w:t>
      </w:r>
      <w:r>
        <w:rPr>
          <w:rStyle w:val="16"/>
          <w:rFonts w:hint="eastAsia" w:ascii="仿宋" w:hAnsi="仿宋" w:eastAsia="仿宋"/>
          <w:bCs/>
          <w:color w:val="000000"/>
          <w:sz w:val="32"/>
          <w:szCs w:val="32"/>
        </w:rPr>
        <w:t>卫生健康支出（210）行政事业单位医疗（11）事业单位医疗（02）</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6.5</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14:paraId="7C4D3D3A">
      <w:pPr>
        <w:spacing w:line="600" w:lineRule="exact"/>
        <w:ind w:firstLine="643" w:firstLineChars="200"/>
        <w:rPr>
          <w:rFonts w:ascii="仿宋" w:hAnsi="仿宋" w:eastAsia="仿宋"/>
          <w:b/>
          <w:sz w:val="32"/>
          <w:szCs w:val="32"/>
        </w:rPr>
      </w:pPr>
      <w:r>
        <w:rPr>
          <w:rStyle w:val="16"/>
          <w:rFonts w:hint="eastAsia" w:ascii="仿宋" w:hAnsi="仿宋" w:eastAsia="仿宋"/>
          <w:bCs/>
          <w:sz w:val="32"/>
          <w:szCs w:val="32"/>
          <w:lang w:val="en-US" w:eastAsia="zh-CN"/>
        </w:rPr>
        <w:t>9</w:t>
      </w:r>
      <w:r>
        <w:rPr>
          <w:rStyle w:val="16"/>
          <w:rFonts w:ascii="仿宋" w:hAnsi="仿宋" w:eastAsia="仿宋"/>
          <w:bCs/>
          <w:sz w:val="32"/>
          <w:szCs w:val="32"/>
        </w:rPr>
        <w:t>.</w:t>
      </w:r>
      <w:r>
        <w:rPr>
          <w:rFonts w:hint="eastAsia" w:ascii="仿宋" w:hAnsi="仿宋" w:eastAsia="仿宋"/>
          <w:b/>
          <w:bCs/>
          <w:color w:val="000000"/>
          <w:sz w:val="32"/>
          <w:szCs w:val="32"/>
        </w:rPr>
        <w:t>住房保障支出（221）住房改革支出（02）住房公积金（01）:</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14.76</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r>
        <w:rPr>
          <w:rStyle w:val="16"/>
          <w:rFonts w:hint="eastAsia" w:ascii="仿宋" w:hAnsi="仿宋" w:eastAsia="仿宋"/>
          <w:b w:val="0"/>
          <w:bCs/>
          <w:sz w:val="32"/>
          <w:szCs w:val="32"/>
        </w:rPr>
        <w:t>决算数等于预算数。</w:t>
      </w:r>
    </w:p>
    <w:p w14:paraId="761C2FBC">
      <w:pPr>
        <w:tabs>
          <w:tab w:val="right" w:pos="8306"/>
        </w:tabs>
        <w:spacing w:line="600" w:lineRule="exact"/>
        <w:ind w:firstLine="640"/>
        <w:outlineLvl w:val="1"/>
        <w:rPr>
          <w:rStyle w:val="28"/>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14:paraId="134F3D05">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239.05</w:t>
      </w:r>
      <w:r>
        <w:rPr>
          <w:rFonts w:hint="eastAsia" w:ascii="仿宋" w:hAnsi="仿宋" w:eastAsia="仿宋"/>
          <w:sz w:val="32"/>
          <w:szCs w:val="32"/>
        </w:rPr>
        <w:t>万元，其中：</w:t>
      </w:r>
    </w:p>
    <w:p w14:paraId="092484A3">
      <w:pPr>
        <w:spacing w:line="600" w:lineRule="exact"/>
        <w:ind w:firstLine="645"/>
        <w:rPr>
          <w:rFonts w:ascii="仿宋" w:hAnsi="仿宋" w:eastAsia="仿宋"/>
          <w:b/>
          <w:sz w:val="32"/>
          <w:szCs w:val="32"/>
        </w:rPr>
      </w:pPr>
      <w:r>
        <w:rPr>
          <w:rFonts w:hint="eastAsia" w:ascii="仿宋" w:hAnsi="仿宋" w:eastAsia="仿宋"/>
          <w:color w:val="auto"/>
          <w:sz w:val="32"/>
          <w:szCs w:val="32"/>
        </w:rPr>
        <w:t>人员经费</w:t>
      </w:r>
      <w:r>
        <w:rPr>
          <w:rFonts w:ascii="仿宋" w:hAnsi="仿宋" w:eastAsia="仿宋"/>
          <w:b/>
          <w:color w:val="auto"/>
          <w:sz w:val="32"/>
          <w:szCs w:val="32"/>
        </w:rPr>
        <w:t>216.21</w:t>
      </w:r>
      <w:r>
        <w:rPr>
          <w:rFonts w:hint="eastAsia" w:ascii="仿宋" w:hAnsi="仿宋" w:eastAsia="仿宋"/>
          <w:color w:val="auto"/>
          <w:sz w:val="32"/>
          <w:szCs w:val="32"/>
        </w:rPr>
        <w:t>万元，主要包括：基本工资</w:t>
      </w:r>
      <w:r>
        <w:rPr>
          <w:rFonts w:hint="eastAsia" w:ascii="仿宋" w:hAnsi="仿宋" w:eastAsia="仿宋"/>
          <w:color w:val="auto"/>
          <w:sz w:val="32"/>
          <w:szCs w:val="32"/>
          <w:lang w:val="en-US" w:eastAsia="zh-CN"/>
        </w:rPr>
        <w:t>65.52万元</w:t>
      </w:r>
      <w:r>
        <w:rPr>
          <w:rFonts w:hint="eastAsia" w:ascii="仿宋" w:hAnsi="仿宋" w:eastAsia="仿宋"/>
          <w:color w:val="auto"/>
          <w:sz w:val="32"/>
          <w:szCs w:val="32"/>
        </w:rPr>
        <w:t>、津贴补贴</w:t>
      </w:r>
      <w:r>
        <w:rPr>
          <w:rFonts w:hint="eastAsia" w:ascii="仿宋" w:hAnsi="仿宋" w:eastAsia="仿宋"/>
          <w:color w:val="auto"/>
          <w:sz w:val="32"/>
          <w:szCs w:val="32"/>
          <w:lang w:val="en-US" w:eastAsia="zh-CN"/>
        </w:rPr>
        <w:t>1.38万元</w:t>
      </w:r>
      <w:r>
        <w:rPr>
          <w:rFonts w:hint="eastAsia" w:ascii="仿宋" w:hAnsi="仿宋" w:eastAsia="仿宋"/>
          <w:color w:val="auto"/>
          <w:sz w:val="32"/>
          <w:szCs w:val="32"/>
        </w:rPr>
        <w:t>、</w:t>
      </w:r>
      <w:r>
        <w:rPr>
          <w:rFonts w:hint="eastAsia" w:ascii="仿宋" w:hAnsi="仿宋" w:eastAsia="仿宋"/>
          <w:color w:val="auto"/>
          <w:sz w:val="32"/>
          <w:szCs w:val="32"/>
          <w:lang w:val="en-US" w:eastAsia="zh-CN"/>
        </w:rPr>
        <w:t>职工基本医疗保险缴费6.5万元</w:t>
      </w:r>
      <w:r>
        <w:rPr>
          <w:rFonts w:hint="eastAsia" w:ascii="仿宋" w:hAnsi="仿宋" w:eastAsia="仿宋"/>
          <w:color w:val="auto"/>
          <w:sz w:val="32"/>
          <w:szCs w:val="32"/>
        </w:rPr>
        <w:t>、绩效工资</w:t>
      </w:r>
      <w:r>
        <w:rPr>
          <w:rFonts w:hint="eastAsia" w:ascii="仿宋" w:hAnsi="仿宋" w:eastAsia="仿宋"/>
          <w:color w:val="auto"/>
          <w:sz w:val="32"/>
          <w:szCs w:val="32"/>
          <w:lang w:val="en-US" w:eastAsia="zh-CN"/>
        </w:rPr>
        <w:t>43.18万元</w:t>
      </w:r>
      <w:r>
        <w:rPr>
          <w:rFonts w:hint="eastAsia" w:ascii="仿宋" w:hAnsi="仿宋" w:eastAsia="仿宋"/>
          <w:color w:val="auto"/>
          <w:sz w:val="32"/>
          <w:szCs w:val="32"/>
        </w:rPr>
        <w:t>、机关事业单位基本养老保险缴费</w:t>
      </w:r>
      <w:r>
        <w:rPr>
          <w:rFonts w:hint="eastAsia" w:ascii="仿宋" w:hAnsi="仿宋" w:eastAsia="仿宋"/>
          <w:color w:val="auto"/>
          <w:sz w:val="32"/>
          <w:szCs w:val="32"/>
          <w:lang w:val="en-US" w:eastAsia="zh-CN"/>
        </w:rPr>
        <w:t>12.89万元</w:t>
      </w:r>
      <w:r>
        <w:rPr>
          <w:rFonts w:hint="eastAsia" w:ascii="仿宋" w:hAnsi="仿宋" w:eastAsia="仿宋"/>
          <w:color w:val="auto"/>
          <w:sz w:val="32"/>
          <w:szCs w:val="32"/>
        </w:rPr>
        <w:t>、职业年金缴费</w:t>
      </w:r>
      <w:r>
        <w:rPr>
          <w:rFonts w:hint="eastAsia" w:ascii="仿宋" w:hAnsi="仿宋" w:eastAsia="仿宋"/>
          <w:color w:val="auto"/>
          <w:sz w:val="32"/>
          <w:szCs w:val="32"/>
          <w:lang w:val="en-US" w:eastAsia="zh-CN"/>
        </w:rPr>
        <w:t>8.98万元</w:t>
      </w:r>
      <w:r>
        <w:rPr>
          <w:rFonts w:hint="eastAsia" w:ascii="仿宋" w:hAnsi="仿宋" w:eastAsia="仿宋"/>
          <w:color w:val="auto"/>
          <w:sz w:val="32"/>
          <w:szCs w:val="32"/>
        </w:rPr>
        <w:t>、其他社会保障缴费</w:t>
      </w:r>
      <w:r>
        <w:rPr>
          <w:rFonts w:hint="eastAsia" w:ascii="仿宋" w:hAnsi="仿宋" w:eastAsia="仿宋"/>
          <w:color w:val="auto"/>
          <w:sz w:val="32"/>
          <w:szCs w:val="32"/>
          <w:lang w:val="en-US" w:eastAsia="zh-CN"/>
        </w:rPr>
        <w:t>0.47万元</w:t>
      </w:r>
      <w:r>
        <w:rPr>
          <w:rFonts w:hint="eastAsia" w:ascii="仿宋" w:hAnsi="仿宋" w:eastAsia="仿宋"/>
          <w:color w:val="auto"/>
          <w:sz w:val="32"/>
          <w:szCs w:val="32"/>
        </w:rPr>
        <w:t>、其他工资福利支出</w:t>
      </w:r>
      <w:r>
        <w:rPr>
          <w:rFonts w:hint="eastAsia" w:ascii="仿宋" w:hAnsi="仿宋" w:eastAsia="仿宋"/>
          <w:color w:val="auto"/>
          <w:sz w:val="32"/>
          <w:szCs w:val="32"/>
          <w:lang w:val="en-US" w:eastAsia="zh-CN"/>
        </w:rPr>
        <w:t>62.08万元</w:t>
      </w:r>
      <w:r>
        <w:rPr>
          <w:rFonts w:hint="eastAsia" w:ascii="仿宋" w:hAnsi="仿宋" w:eastAsia="仿宋"/>
          <w:color w:val="auto"/>
          <w:sz w:val="32"/>
          <w:szCs w:val="32"/>
        </w:rPr>
        <w:t>、生活补助</w:t>
      </w:r>
      <w:r>
        <w:rPr>
          <w:rFonts w:hint="eastAsia" w:ascii="仿宋" w:hAnsi="仿宋" w:eastAsia="仿宋"/>
          <w:color w:val="auto"/>
          <w:sz w:val="32"/>
          <w:szCs w:val="32"/>
          <w:lang w:val="en-US" w:eastAsia="zh-CN"/>
        </w:rPr>
        <w:t>0.42万元</w:t>
      </w:r>
      <w:r>
        <w:rPr>
          <w:rFonts w:hint="eastAsia" w:ascii="仿宋" w:hAnsi="仿宋" w:eastAsia="仿宋"/>
          <w:color w:val="auto"/>
          <w:sz w:val="32"/>
          <w:szCs w:val="32"/>
        </w:rPr>
        <w:t>、奖励金</w:t>
      </w:r>
      <w:r>
        <w:rPr>
          <w:rFonts w:hint="eastAsia" w:ascii="仿宋" w:hAnsi="仿宋" w:eastAsia="仿宋"/>
          <w:color w:val="auto"/>
          <w:sz w:val="32"/>
          <w:szCs w:val="32"/>
          <w:lang w:val="en-US" w:eastAsia="zh-CN"/>
        </w:rPr>
        <w:t>0.03万元</w:t>
      </w:r>
      <w:r>
        <w:rPr>
          <w:rFonts w:hint="eastAsia" w:ascii="仿宋" w:hAnsi="仿宋" w:eastAsia="仿宋"/>
          <w:color w:val="auto"/>
          <w:sz w:val="32"/>
          <w:szCs w:val="32"/>
        </w:rPr>
        <w:t>、住房公积金</w:t>
      </w:r>
      <w:r>
        <w:rPr>
          <w:rFonts w:hint="eastAsia" w:ascii="仿宋" w:hAnsi="仿宋" w:eastAsia="仿宋"/>
          <w:color w:val="auto"/>
          <w:sz w:val="32"/>
          <w:szCs w:val="32"/>
          <w:lang w:val="en-US" w:eastAsia="zh-CN"/>
        </w:rPr>
        <w:t>14.76万元</w:t>
      </w:r>
      <w:r>
        <w:rPr>
          <w:rFonts w:hint="eastAsia" w:ascii="仿宋" w:hAnsi="仿宋" w:eastAsia="仿宋"/>
          <w:color w:val="auto"/>
          <w:sz w:val="32"/>
          <w:szCs w:val="32"/>
        </w:rPr>
        <w:t>。</w:t>
      </w:r>
      <w:r>
        <w:rPr>
          <w:rFonts w:ascii="仿宋" w:hAnsi="仿宋" w:eastAsia="仿宋"/>
          <w:color w:val="auto"/>
          <w:sz w:val="32"/>
          <w:szCs w:val="32"/>
        </w:rPr>
        <w:br w:type="textWrapping"/>
      </w:r>
      <w:r>
        <w:rPr>
          <w:rFonts w:hint="eastAsia" w:ascii="仿宋" w:hAnsi="仿宋" w:eastAsia="仿宋"/>
          <w:sz w:val="32"/>
          <w:szCs w:val="32"/>
        </w:rPr>
        <w:t>　</w:t>
      </w:r>
      <w:r>
        <w:rPr>
          <w:rFonts w:hint="eastAsia" w:ascii="仿宋" w:hAnsi="仿宋" w:eastAsia="仿宋"/>
          <w:color w:val="FF0000"/>
          <w:sz w:val="32"/>
          <w:szCs w:val="32"/>
        </w:rPr>
        <w:t>　</w:t>
      </w:r>
      <w:r>
        <w:rPr>
          <w:rFonts w:hint="eastAsia" w:ascii="仿宋" w:hAnsi="仿宋" w:eastAsia="仿宋"/>
          <w:color w:val="auto"/>
          <w:sz w:val="32"/>
          <w:szCs w:val="32"/>
        </w:rPr>
        <w:t>公用经费</w:t>
      </w:r>
      <w:r>
        <w:rPr>
          <w:rFonts w:ascii="仿宋" w:hAnsi="仿宋" w:eastAsia="仿宋"/>
          <w:b/>
          <w:color w:val="auto"/>
          <w:sz w:val="32"/>
          <w:szCs w:val="32"/>
        </w:rPr>
        <w:t>22.84</w:t>
      </w:r>
      <w:r>
        <w:rPr>
          <w:rFonts w:hint="eastAsia" w:ascii="仿宋" w:hAnsi="仿宋" w:eastAsia="仿宋"/>
          <w:color w:val="auto"/>
          <w:sz w:val="32"/>
          <w:szCs w:val="32"/>
        </w:rPr>
        <w:t>万元，主要包括：办公费</w:t>
      </w:r>
      <w:r>
        <w:rPr>
          <w:rFonts w:hint="eastAsia" w:ascii="仿宋" w:hAnsi="仿宋" w:eastAsia="仿宋"/>
          <w:color w:val="auto"/>
          <w:sz w:val="32"/>
          <w:szCs w:val="32"/>
          <w:lang w:val="en-US" w:eastAsia="zh-CN"/>
        </w:rPr>
        <w:t>4.15万元</w:t>
      </w:r>
      <w:r>
        <w:rPr>
          <w:rFonts w:hint="eastAsia" w:ascii="仿宋" w:hAnsi="仿宋" w:eastAsia="仿宋"/>
          <w:color w:val="auto"/>
          <w:sz w:val="32"/>
          <w:szCs w:val="32"/>
        </w:rPr>
        <w:t>、印刷费</w:t>
      </w:r>
      <w:r>
        <w:rPr>
          <w:rFonts w:hint="eastAsia" w:ascii="仿宋" w:hAnsi="仿宋" w:eastAsia="仿宋"/>
          <w:color w:val="auto"/>
          <w:sz w:val="32"/>
          <w:szCs w:val="32"/>
          <w:lang w:val="en-US" w:eastAsia="zh-CN"/>
        </w:rPr>
        <w:t>0.34万元</w:t>
      </w:r>
      <w:r>
        <w:rPr>
          <w:rFonts w:hint="eastAsia" w:ascii="仿宋" w:hAnsi="仿宋" w:eastAsia="仿宋"/>
          <w:color w:val="auto"/>
          <w:sz w:val="32"/>
          <w:szCs w:val="32"/>
        </w:rPr>
        <w:t>、水费</w:t>
      </w:r>
      <w:r>
        <w:rPr>
          <w:rFonts w:hint="eastAsia" w:ascii="仿宋" w:hAnsi="仿宋" w:eastAsia="仿宋"/>
          <w:color w:val="auto"/>
          <w:sz w:val="32"/>
          <w:szCs w:val="32"/>
          <w:lang w:val="en-US" w:eastAsia="zh-CN"/>
        </w:rPr>
        <w:t>0.</w:t>
      </w:r>
      <w:r>
        <w:rPr>
          <w:rFonts w:hint="eastAsia" w:ascii="仿宋" w:hAnsi="仿宋" w:eastAsia="仿宋"/>
          <w:sz w:val="32"/>
          <w:szCs w:val="32"/>
          <w:lang w:val="en-US" w:eastAsia="zh-CN"/>
        </w:rPr>
        <w:t>06万元</w:t>
      </w:r>
      <w:r>
        <w:rPr>
          <w:rFonts w:hint="eastAsia" w:ascii="仿宋" w:hAnsi="仿宋" w:eastAsia="仿宋"/>
          <w:sz w:val="32"/>
          <w:szCs w:val="32"/>
        </w:rPr>
        <w:t>、电费</w:t>
      </w:r>
      <w:r>
        <w:rPr>
          <w:rFonts w:hint="eastAsia" w:ascii="仿宋" w:hAnsi="仿宋" w:eastAsia="仿宋"/>
          <w:sz w:val="32"/>
          <w:szCs w:val="32"/>
          <w:lang w:val="en-US" w:eastAsia="zh-CN"/>
        </w:rPr>
        <w:t>0.8万元</w:t>
      </w:r>
      <w:r>
        <w:rPr>
          <w:rFonts w:hint="eastAsia" w:ascii="仿宋" w:hAnsi="仿宋" w:eastAsia="仿宋"/>
          <w:sz w:val="32"/>
          <w:szCs w:val="32"/>
        </w:rPr>
        <w:t>、邮电费</w:t>
      </w:r>
      <w:r>
        <w:rPr>
          <w:rFonts w:hint="eastAsia" w:ascii="仿宋" w:hAnsi="仿宋" w:eastAsia="仿宋"/>
          <w:sz w:val="32"/>
          <w:szCs w:val="32"/>
          <w:lang w:val="en-US" w:eastAsia="zh-CN"/>
        </w:rPr>
        <w:t>0.82万元</w:t>
      </w:r>
      <w:r>
        <w:rPr>
          <w:rFonts w:hint="eastAsia" w:ascii="仿宋" w:hAnsi="仿宋" w:eastAsia="仿宋"/>
          <w:sz w:val="32"/>
          <w:szCs w:val="32"/>
        </w:rPr>
        <w:t>、物业管理费</w:t>
      </w:r>
      <w:r>
        <w:rPr>
          <w:rFonts w:hint="eastAsia" w:ascii="仿宋" w:hAnsi="仿宋" w:eastAsia="仿宋"/>
          <w:sz w:val="32"/>
          <w:szCs w:val="32"/>
          <w:lang w:val="en-US" w:eastAsia="zh-CN"/>
        </w:rPr>
        <w:t>0.52万元</w:t>
      </w:r>
      <w:r>
        <w:rPr>
          <w:rFonts w:hint="eastAsia" w:ascii="仿宋" w:hAnsi="仿宋" w:eastAsia="仿宋"/>
          <w:sz w:val="32"/>
          <w:szCs w:val="32"/>
        </w:rPr>
        <w:t>、维修（护）费</w:t>
      </w:r>
      <w:r>
        <w:rPr>
          <w:rFonts w:hint="eastAsia" w:ascii="仿宋" w:hAnsi="仿宋" w:eastAsia="仿宋"/>
          <w:sz w:val="32"/>
          <w:szCs w:val="32"/>
          <w:lang w:val="en-US" w:eastAsia="zh-CN"/>
        </w:rPr>
        <w:t>0.77万元</w:t>
      </w:r>
      <w:r>
        <w:rPr>
          <w:rFonts w:hint="eastAsia" w:ascii="仿宋" w:hAnsi="仿宋" w:eastAsia="仿宋"/>
          <w:sz w:val="32"/>
          <w:szCs w:val="32"/>
        </w:rPr>
        <w:t>、培训费</w:t>
      </w:r>
      <w:r>
        <w:rPr>
          <w:rFonts w:hint="eastAsia" w:ascii="仿宋" w:hAnsi="仿宋" w:eastAsia="仿宋"/>
          <w:sz w:val="32"/>
          <w:szCs w:val="32"/>
          <w:lang w:val="en-US" w:eastAsia="zh-CN"/>
        </w:rPr>
        <w:t>0.97万元</w:t>
      </w:r>
      <w:r>
        <w:rPr>
          <w:rFonts w:hint="eastAsia" w:ascii="仿宋" w:hAnsi="仿宋" w:eastAsia="仿宋"/>
          <w:sz w:val="32"/>
          <w:szCs w:val="32"/>
        </w:rPr>
        <w:t>、公务接待费</w:t>
      </w:r>
      <w:r>
        <w:rPr>
          <w:rFonts w:hint="eastAsia" w:ascii="仿宋" w:hAnsi="仿宋" w:eastAsia="仿宋"/>
          <w:sz w:val="32"/>
          <w:szCs w:val="32"/>
          <w:lang w:val="en-US" w:eastAsia="zh-CN"/>
        </w:rPr>
        <w:t>0.77万元</w:t>
      </w:r>
      <w:r>
        <w:rPr>
          <w:rFonts w:hint="eastAsia" w:ascii="仿宋" w:hAnsi="仿宋" w:eastAsia="仿宋"/>
          <w:sz w:val="32"/>
          <w:szCs w:val="32"/>
        </w:rPr>
        <w:t>、劳务费</w:t>
      </w:r>
      <w:r>
        <w:rPr>
          <w:rFonts w:hint="eastAsia" w:ascii="仿宋" w:hAnsi="仿宋" w:eastAsia="仿宋"/>
          <w:sz w:val="32"/>
          <w:szCs w:val="32"/>
          <w:lang w:val="en-US" w:eastAsia="zh-CN"/>
        </w:rPr>
        <w:t>0.03万元</w:t>
      </w:r>
      <w:r>
        <w:rPr>
          <w:rFonts w:hint="eastAsia" w:ascii="仿宋" w:hAnsi="仿宋" w:eastAsia="仿宋"/>
          <w:sz w:val="32"/>
          <w:szCs w:val="32"/>
        </w:rPr>
        <w:t>、委托业务费</w:t>
      </w:r>
      <w:r>
        <w:rPr>
          <w:rFonts w:hint="eastAsia" w:ascii="仿宋" w:hAnsi="仿宋" w:eastAsia="仿宋"/>
          <w:sz w:val="32"/>
          <w:szCs w:val="32"/>
          <w:lang w:val="en-US" w:eastAsia="zh-CN"/>
        </w:rPr>
        <w:t>4.22万元</w:t>
      </w:r>
      <w:r>
        <w:rPr>
          <w:rFonts w:hint="eastAsia" w:ascii="仿宋" w:hAnsi="仿宋" w:eastAsia="仿宋"/>
          <w:sz w:val="32"/>
          <w:szCs w:val="32"/>
        </w:rPr>
        <w:t>、工会经费</w:t>
      </w:r>
      <w:r>
        <w:rPr>
          <w:rFonts w:hint="eastAsia" w:ascii="仿宋" w:hAnsi="仿宋" w:eastAsia="仿宋"/>
          <w:sz w:val="32"/>
          <w:szCs w:val="32"/>
          <w:lang w:val="en-US" w:eastAsia="zh-CN"/>
        </w:rPr>
        <w:t>1.12万元</w:t>
      </w:r>
      <w:r>
        <w:rPr>
          <w:rFonts w:hint="eastAsia" w:ascii="仿宋" w:hAnsi="仿宋" w:eastAsia="仿宋"/>
          <w:sz w:val="32"/>
          <w:szCs w:val="32"/>
        </w:rPr>
        <w:t>、福利费</w:t>
      </w:r>
      <w:r>
        <w:rPr>
          <w:rFonts w:hint="eastAsia" w:ascii="仿宋" w:hAnsi="仿宋" w:eastAsia="仿宋"/>
          <w:sz w:val="32"/>
          <w:szCs w:val="32"/>
          <w:lang w:val="en-US" w:eastAsia="zh-CN"/>
        </w:rPr>
        <w:t>3.13万元</w:t>
      </w:r>
      <w:r>
        <w:rPr>
          <w:rFonts w:hint="eastAsia" w:ascii="仿宋" w:hAnsi="仿宋" w:eastAsia="仿宋"/>
          <w:color w:val="auto"/>
          <w:sz w:val="32"/>
          <w:szCs w:val="32"/>
          <w:lang w:val="en-US" w:eastAsia="zh-CN"/>
        </w:rPr>
        <w:t>、</w:t>
      </w:r>
      <w:r>
        <w:rPr>
          <w:rFonts w:hint="eastAsia" w:ascii="仿宋" w:hAnsi="仿宋" w:eastAsia="仿宋"/>
          <w:sz w:val="32"/>
          <w:szCs w:val="32"/>
        </w:rPr>
        <w:t>其他商品和服务支出</w:t>
      </w:r>
      <w:r>
        <w:rPr>
          <w:rFonts w:hint="eastAsia" w:ascii="仿宋" w:hAnsi="仿宋" w:eastAsia="仿宋"/>
          <w:sz w:val="32"/>
          <w:szCs w:val="32"/>
          <w:lang w:val="en-US" w:eastAsia="zh-CN"/>
        </w:rPr>
        <w:t>4.78万元、资本性支出0.36万元。</w:t>
      </w:r>
    </w:p>
    <w:p w14:paraId="161E1658">
      <w:pPr>
        <w:spacing w:line="600" w:lineRule="exact"/>
        <w:ind w:firstLine="640"/>
        <w:outlineLvl w:val="1"/>
        <w:rPr>
          <w:rStyle w:val="28"/>
          <w:rFonts w:ascii="黑体" w:hAnsi="黑体" w:eastAsia="黑体"/>
          <w:b w:val="0"/>
        </w:rPr>
      </w:pPr>
      <w:bookmarkStart w:id="36" w:name="_Toc15377215"/>
      <w:bookmarkStart w:id="37" w:name="_Toc15396609"/>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14:paraId="3CC316C0">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06430DD0">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0.77</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，较上年度</w:t>
      </w:r>
      <w:r>
        <w:rPr>
          <w:rFonts w:hint="eastAsia" w:ascii="仿宋" w:hAnsi="仿宋" w:eastAsia="仿宋"/>
          <w:sz w:val="32"/>
          <w:szCs w:val="32"/>
          <w:lang w:val="en-US" w:eastAsia="zh-CN"/>
        </w:rPr>
        <w:t>无变化</w:t>
      </w:r>
      <w:r>
        <w:rPr>
          <w:rFonts w:hint="eastAsia" w:ascii="仿宋" w:hAnsi="仿宋" w:eastAsia="仿宋"/>
          <w:sz w:val="32"/>
          <w:szCs w:val="32"/>
        </w:rPr>
        <w:t>，决算数与预算数持平。</w:t>
      </w:r>
    </w:p>
    <w:p w14:paraId="6D90D4B7">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0A96465B">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0.77</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。具体情况如下：</w:t>
      </w:r>
    </w:p>
    <w:p w14:paraId="605356EA">
      <w:pPr>
        <w:spacing w:line="600" w:lineRule="exact"/>
        <w:rPr>
          <w:rFonts w:hint="eastAsia" w:ascii="仿宋" w:hAnsi="仿宋" w:eastAsia="仿宋"/>
          <w:sz w:val="32"/>
          <w:szCs w:val="32"/>
        </w:rPr>
      </w:pPr>
      <w:r>
        <w:drawing>
          <wp:anchor distT="0" distB="0" distL="114300" distR="114300" simplePos="0" relativeHeight="251665408" behindDoc="1" locked="0" layoutInCell="1" allowOverlap="1">
            <wp:simplePos x="0" y="0"/>
            <wp:positionH relativeFrom="column">
              <wp:posOffset>74295</wp:posOffset>
            </wp:positionH>
            <wp:positionV relativeFrom="paragraph">
              <wp:posOffset>131445</wp:posOffset>
            </wp:positionV>
            <wp:extent cx="4786630" cy="2692400"/>
            <wp:effectExtent l="4445" t="4445" r="9525" b="8255"/>
            <wp:wrapThrough wrapText="bothSides">
              <wp:wrapPolygon>
                <wp:start x="-20" y="-36"/>
                <wp:lineTo x="-20" y="21564"/>
                <wp:lineTo x="21586" y="21564"/>
                <wp:lineTo x="21586" y="-36"/>
                <wp:lineTo x="-20" y="-36"/>
              </wp:wrapPolygon>
            </wp:wrapThrough>
            <wp:docPr id="127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326B32A3">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w:t>
      </w:r>
    </w:p>
    <w:p w14:paraId="5D952BF3">
      <w:pPr>
        <w:spacing w:line="600" w:lineRule="exact"/>
        <w:ind w:firstLine="640"/>
        <w:rPr>
          <w:rFonts w:ascii="仿宋_GB2312" w:eastAsia="仿宋_GB2312"/>
          <w:b/>
          <w:sz w:val="32"/>
          <w:szCs w:val="32"/>
        </w:rPr>
      </w:pPr>
      <w:bookmarkStart w:id="40" w:name="_Toc15377218"/>
      <w:bookmarkStart w:id="41" w:name="_Toc15396610"/>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人。因公出国（境）支出决算比2022年增加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。主要原因是</w:t>
      </w:r>
      <w:r>
        <w:rPr>
          <w:rFonts w:hint="eastAsia" w:ascii="仿宋_GB2312" w:hAnsi="仿宋_GB2312" w:eastAsia="仿宋_GB2312" w:cs="仿宋_GB2312"/>
          <w:color w:val="000000"/>
          <w:sz w:val="32"/>
          <w:szCs w:val="32"/>
        </w:rPr>
        <w:t>我单位未安排因公出国（境）经费</w:t>
      </w:r>
      <w:r>
        <w:rPr>
          <w:rFonts w:hint="eastAsia" w:ascii="仿宋_GB2312" w:eastAsia="仿宋_GB2312"/>
          <w:sz w:val="32"/>
          <w:szCs w:val="32"/>
        </w:rPr>
        <w:t>。</w:t>
      </w:r>
    </w:p>
    <w:p w14:paraId="56032AE5">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。主要原因是我单位无公务用车。</w:t>
      </w:r>
    </w:p>
    <w:p w14:paraId="34B9669E">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14:paraId="7062E117">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0.77</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r>
        <w:rPr>
          <w:rFonts w:hint="eastAsia" w:ascii="仿宋_GB2312" w:eastAsia="仿宋_GB2312"/>
          <w:sz w:val="32"/>
          <w:szCs w:val="32"/>
        </w:rPr>
        <w:t>公务接待费支出决算比2022年度增加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。主要原因是</w:t>
      </w:r>
      <w:r>
        <w:rPr>
          <w:rFonts w:hint="eastAsia" w:ascii="仿宋_GB2312" w:hAnsi="仿宋_GB2312" w:eastAsia="仿宋_GB2312" w:cs="仿宋_GB2312"/>
          <w:color w:val="000000"/>
          <w:sz w:val="32"/>
          <w:szCs w:val="32"/>
        </w:rPr>
        <w:t>我单位本着勤俭节约原则，严格执行中央八项规定控制三公经费预算</w:t>
      </w:r>
      <w:r>
        <w:rPr>
          <w:rFonts w:hint="eastAsia" w:ascii="仿宋_GB2312" w:eastAsia="仿宋_GB2312"/>
          <w:sz w:val="32"/>
          <w:szCs w:val="32"/>
        </w:rPr>
        <w:t>。其中：</w:t>
      </w:r>
    </w:p>
    <w:p w14:paraId="377853DB">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0.77</w:t>
      </w:r>
      <w:r>
        <w:rPr>
          <w:rFonts w:hint="eastAsia" w:ascii="仿宋_GB2312" w:eastAsia="仿宋_GB2312"/>
          <w:sz w:val="32"/>
          <w:szCs w:val="32"/>
        </w:rPr>
        <w:t>万元，主</w:t>
      </w:r>
      <w:r>
        <w:rPr>
          <w:rFonts w:hint="eastAsia" w:ascii="仿宋_GB2312" w:eastAsia="仿宋_GB2312"/>
          <w:color w:val="000000"/>
          <w:sz w:val="32"/>
          <w:szCs w:val="32"/>
        </w:rPr>
        <w:t>要用于执行公务、开展业务活动开支的用餐费等。国内公务接待</w:t>
      </w:r>
      <w:r>
        <w:rPr>
          <w:rFonts w:hint="eastAsia" w:ascii="仿宋_GB2312" w:eastAsia="仿宋_GB2312"/>
          <w:color w:val="auto"/>
          <w:sz w:val="32"/>
          <w:szCs w:val="32"/>
          <w:lang w:val="en-US" w:eastAsia="zh-CN"/>
        </w:rPr>
        <w:t>14</w:t>
      </w:r>
      <w:r>
        <w:rPr>
          <w:rFonts w:hint="eastAsia" w:ascii="仿宋_GB2312" w:eastAsia="仿宋_GB2312"/>
          <w:color w:val="auto"/>
          <w:sz w:val="32"/>
          <w:szCs w:val="32"/>
        </w:rPr>
        <w:t>批次</w:t>
      </w:r>
      <w:r>
        <w:rPr>
          <w:rFonts w:hint="eastAsia" w:ascii="仿宋_GB2312" w:eastAsia="仿宋_GB2312"/>
          <w:color w:val="auto"/>
          <w:sz w:val="32"/>
          <w:szCs w:val="32"/>
          <w:lang w:val="en-US" w:eastAsia="zh-CN"/>
        </w:rPr>
        <w:t>117</w:t>
      </w:r>
      <w:r>
        <w:rPr>
          <w:rFonts w:hint="eastAsia" w:ascii="仿宋_GB2312" w:eastAsia="仿宋_GB2312"/>
          <w:color w:val="auto"/>
          <w:sz w:val="32"/>
          <w:szCs w:val="32"/>
        </w:rPr>
        <w:t>人</w:t>
      </w:r>
      <w:r>
        <w:rPr>
          <w:rFonts w:hint="eastAsia" w:ascii="仿宋_GB2312" w:eastAsia="仿宋_GB2312"/>
          <w:color w:val="000000"/>
          <w:sz w:val="32"/>
          <w:szCs w:val="32"/>
        </w:rPr>
        <w:t>次（不包括陪同人员），共计支出0.7</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万元，具体内容包括：</w:t>
      </w:r>
      <w:r>
        <w:rPr>
          <w:rFonts w:hint="eastAsia" w:ascii="仿宋_GB2312" w:eastAsia="仿宋_GB2312"/>
          <w:sz w:val="32"/>
          <w:szCs w:val="32"/>
        </w:rPr>
        <w:t>上级领导和专家到我县检查指导工作；</w:t>
      </w:r>
      <w:r>
        <w:rPr>
          <w:rFonts w:hint="eastAsia" w:ascii="仿宋_GB2312" w:hAnsi="仿宋_GB2312" w:eastAsia="仿宋_GB2312" w:cs="仿宋_GB2312"/>
          <w:color w:val="000000"/>
          <w:sz w:val="32"/>
          <w:szCs w:val="32"/>
        </w:rPr>
        <w:t>其他检测机构来我站交流学习和检测能力对比发生的伙食费。</w:t>
      </w:r>
    </w:p>
    <w:p w14:paraId="17834697">
      <w:pPr>
        <w:spacing w:line="600" w:lineRule="exact"/>
        <w:ind w:firstLine="643" w:firstLineChars="200"/>
        <w:rPr>
          <w:rFonts w:ascii="黑体" w:eastAsia="黑体"/>
          <w:sz w:val="32"/>
          <w:szCs w:val="32"/>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3825C7E6">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14:paraId="09DF5928">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3012122B">
      <w:pPr>
        <w:numPr>
          <w:ilvl w:val="0"/>
          <w:numId w:val="3"/>
        </w:numPr>
        <w:spacing w:line="600" w:lineRule="exact"/>
        <w:ind w:firstLine="640"/>
        <w:outlineLvl w:val="1"/>
        <w:rPr>
          <w:rStyle w:val="28"/>
          <w:rFonts w:ascii="黑体" w:hAnsi="黑体" w:eastAsia="黑体"/>
          <w:b w:val="0"/>
        </w:rPr>
      </w:pPr>
      <w:bookmarkStart w:id="42" w:name="_Toc15377219"/>
      <w:bookmarkStart w:id="43" w:name="_Toc15396611"/>
      <w:r>
        <w:rPr>
          <w:rStyle w:val="28"/>
          <w:rFonts w:hint="eastAsia" w:ascii="黑体" w:hAnsi="黑体" w:eastAsia="黑体"/>
          <w:b w:val="0"/>
        </w:rPr>
        <w:t>国有资本经营预算支出决算情况说明</w:t>
      </w:r>
      <w:bookmarkEnd w:id="42"/>
      <w:bookmarkEnd w:id="43"/>
    </w:p>
    <w:p w14:paraId="2DBB0228">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2F495C79">
      <w:pPr>
        <w:numPr>
          <w:ilvl w:val="0"/>
          <w:numId w:val="3"/>
        </w:numPr>
        <w:spacing w:line="600" w:lineRule="exact"/>
        <w:ind w:firstLine="640"/>
        <w:outlineLvl w:val="1"/>
        <w:rPr>
          <w:rStyle w:val="28"/>
          <w:rFonts w:ascii="黑体" w:hAnsi="黑体" w:eastAsia="黑体"/>
          <w:b w:val="0"/>
        </w:rPr>
      </w:pPr>
      <w:bookmarkStart w:id="44" w:name="_Toc15377221"/>
      <w:bookmarkStart w:id="45" w:name="_Toc15396612"/>
      <w:r>
        <w:rPr>
          <w:rStyle w:val="28"/>
          <w:rFonts w:hint="eastAsia" w:ascii="黑体" w:hAnsi="黑体" w:eastAsia="黑体"/>
          <w:b w:val="0"/>
        </w:rPr>
        <w:t>其他重要事项的情况说明</w:t>
      </w:r>
      <w:bookmarkEnd w:id="44"/>
      <w:bookmarkEnd w:id="45"/>
    </w:p>
    <w:p w14:paraId="5C93AB24">
      <w:pPr>
        <w:spacing w:line="600" w:lineRule="exact"/>
        <w:ind w:firstLine="643" w:firstLineChars="200"/>
        <w:outlineLvl w:val="2"/>
        <w:rPr>
          <w:rFonts w:ascii="仿宋" w:hAnsi="仿宋" w:eastAsia="仿宋"/>
          <w:color w:val="auto"/>
          <w:sz w:val="32"/>
          <w:szCs w:val="32"/>
        </w:rPr>
      </w:pPr>
      <w:bookmarkStart w:id="46" w:name="_Toc15377222"/>
      <w:r>
        <w:rPr>
          <w:rFonts w:hint="eastAsia" w:ascii="仿宋" w:hAnsi="仿宋" w:eastAsia="仿宋"/>
          <w:b/>
          <w:color w:val="auto"/>
          <w:sz w:val="32"/>
          <w:szCs w:val="32"/>
        </w:rPr>
        <w:t>（一）机关运行经费支出情况</w:t>
      </w:r>
      <w:bookmarkEnd w:id="46"/>
    </w:p>
    <w:p w14:paraId="5AC86942">
      <w:pPr>
        <w:spacing w:line="60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2023年度，</w:t>
      </w:r>
      <w:r>
        <w:rPr>
          <w:rFonts w:ascii="仿宋_GB2312" w:eastAsia="仿宋_GB2312"/>
          <w:b/>
          <w:color w:val="auto"/>
          <w:sz w:val="32"/>
          <w:szCs w:val="32"/>
        </w:rPr>
        <w:t>大竹县农产品质量安全监督检验检测站</w:t>
      </w:r>
      <w:r>
        <w:rPr>
          <w:rFonts w:hint="eastAsia" w:ascii="仿宋_GB2312" w:eastAsia="仿宋_GB2312"/>
          <w:color w:val="auto"/>
          <w:sz w:val="32"/>
          <w:szCs w:val="32"/>
        </w:rPr>
        <w:t>机关运行经费支出</w:t>
      </w:r>
      <w:r>
        <w:rPr>
          <w:rFonts w:ascii="仿宋" w:hAnsi="仿宋" w:eastAsia="仿宋"/>
          <w:b/>
          <w:color w:val="auto"/>
          <w:sz w:val="32"/>
          <w:szCs w:val="32"/>
        </w:rPr>
        <w:t>0</w:t>
      </w:r>
      <w:r>
        <w:rPr>
          <w:rFonts w:hint="eastAsia" w:ascii="仿宋_GB2312" w:eastAsia="仿宋_GB2312"/>
          <w:color w:val="auto"/>
          <w:sz w:val="32"/>
          <w:szCs w:val="32"/>
        </w:rPr>
        <w:t>万元，与2022年度决算数持平</w:t>
      </w:r>
      <w:r>
        <w:rPr>
          <w:rFonts w:hint="eastAsia" w:ascii="仿宋_GB2312" w:eastAsia="仿宋_GB2312"/>
          <w:color w:val="auto"/>
          <w:sz w:val="32"/>
          <w:szCs w:val="32"/>
          <w:lang w:eastAsia="zh-CN"/>
        </w:rPr>
        <w:t>。</w:t>
      </w:r>
    </w:p>
    <w:p w14:paraId="1E2C81B4">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3463C11A">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大竹县农产品质量安全监督检验检测站</w:t>
      </w:r>
      <w:r>
        <w:rPr>
          <w:rFonts w:hint="eastAsia" w:ascii="仿宋_GB2312" w:eastAsia="仿宋_GB2312"/>
          <w:sz w:val="32"/>
          <w:szCs w:val="32"/>
        </w:rPr>
        <w:t>政府</w:t>
      </w:r>
      <w:r>
        <w:rPr>
          <w:rFonts w:hint="eastAsia" w:ascii="仿宋_GB2312" w:eastAsia="仿宋_GB2312"/>
          <w:color w:val="auto"/>
          <w:sz w:val="32"/>
          <w:szCs w:val="32"/>
        </w:rPr>
        <w:t>采购支出总额</w:t>
      </w:r>
      <w:r>
        <w:rPr>
          <w:rFonts w:ascii="仿宋" w:hAnsi="仿宋" w:eastAsia="仿宋"/>
          <w:b/>
          <w:color w:val="auto"/>
          <w:sz w:val="32"/>
          <w:szCs w:val="32"/>
        </w:rPr>
        <w:t>0</w:t>
      </w:r>
      <w:r>
        <w:rPr>
          <w:rFonts w:hint="eastAsia" w:ascii="仿宋_GB2312" w:eastAsia="仿宋_GB2312"/>
          <w:color w:val="auto"/>
          <w:sz w:val="32"/>
          <w:szCs w:val="32"/>
        </w:rPr>
        <w:t>万元，其中：政府采购货物支出</w:t>
      </w:r>
      <w:r>
        <w:rPr>
          <w:rFonts w:ascii="仿宋" w:hAnsi="仿宋" w:eastAsia="仿宋"/>
          <w:b/>
          <w:color w:val="auto"/>
          <w:sz w:val="32"/>
          <w:szCs w:val="32"/>
        </w:rPr>
        <w:t>0</w:t>
      </w:r>
      <w:r>
        <w:rPr>
          <w:rFonts w:hint="eastAsia" w:ascii="仿宋_GB2312" w:eastAsia="仿宋_GB2312"/>
          <w:color w:val="auto"/>
          <w:sz w:val="32"/>
          <w:szCs w:val="32"/>
        </w:rPr>
        <w:t>万元、政</w:t>
      </w:r>
      <w:r>
        <w:rPr>
          <w:rFonts w:hint="eastAsia" w:ascii="仿宋_GB2312" w:eastAsia="仿宋_GB2312"/>
          <w:sz w:val="32"/>
          <w:szCs w:val="32"/>
        </w:rPr>
        <w:t>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14:paraId="154BB51A">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6B59F647">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大竹县农产品质量安全监督检验检测站</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468585CC">
      <w:pPr>
        <w:autoSpaceDE w:val="0"/>
        <w:autoSpaceDN w:val="0"/>
        <w:adjustRightInd w:val="0"/>
        <w:spacing w:line="600" w:lineRule="exact"/>
        <w:ind w:firstLine="643" w:firstLineChars="200"/>
        <w:jc w:val="left"/>
        <w:outlineLvl w:val="2"/>
        <w:rPr>
          <w:rFonts w:ascii="仿宋" w:hAnsi="仿宋" w:eastAsia="仿宋"/>
          <w:b/>
          <w:bCs w:val="0"/>
          <w:sz w:val="32"/>
          <w:szCs w:val="32"/>
        </w:rPr>
      </w:pPr>
      <w:r>
        <w:rPr>
          <w:rFonts w:hint="eastAsia" w:ascii="仿宋" w:hAnsi="仿宋" w:eastAsia="仿宋"/>
          <w:b/>
          <w:bCs w:val="0"/>
          <w:sz w:val="32"/>
          <w:szCs w:val="32"/>
        </w:rPr>
        <w:t>（四）预算绩效管理情况</w:t>
      </w:r>
    </w:p>
    <w:p w14:paraId="7B36A23D">
      <w:pPr>
        <w:spacing w:line="600" w:lineRule="exact"/>
        <w:ind w:firstLine="640" w:firstLineChars="200"/>
        <w:rPr>
          <w:rFonts w:ascii="仿宋_GB2312" w:eastAsia="仿宋_GB2312"/>
          <w:b w:val="0"/>
          <w:bCs/>
          <w:color w:val="auto"/>
          <w:sz w:val="32"/>
          <w:szCs w:val="32"/>
        </w:rPr>
      </w:pPr>
      <w:r>
        <w:rPr>
          <w:rFonts w:hint="eastAsia" w:ascii="仿宋_GB2312" w:eastAsia="仿宋_GB2312"/>
          <w:b w:val="0"/>
          <w:bCs/>
          <w:color w:val="auto"/>
          <w:sz w:val="32"/>
          <w:szCs w:val="32"/>
        </w:rPr>
        <w:t>根据预算绩效管理要求，本单位在2023年度预算编制阶段，组织对</w:t>
      </w:r>
      <w:r>
        <w:rPr>
          <w:rFonts w:hint="eastAsia" w:ascii="仿宋_GB2312" w:eastAsia="仿宋_GB2312"/>
          <w:b w:val="0"/>
          <w:bCs/>
          <w:color w:val="auto"/>
          <w:sz w:val="32"/>
          <w:szCs w:val="32"/>
          <w:lang w:val="en-US" w:eastAsia="zh-CN"/>
        </w:rPr>
        <w:t>0</w:t>
      </w:r>
      <w:r>
        <w:rPr>
          <w:rFonts w:hint="eastAsia" w:ascii="仿宋_GB2312" w:eastAsia="仿宋_GB2312"/>
          <w:b w:val="0"/>
          <w:bCs/>
          <w:color w:val="auto"/>
          <w:sz w:val="32"/>
          <w:szCs w:val="32"/>
        </w:rPr>
        <w:t>个项目开展了预算事前绩效评估，对</w:t>
      </w:r>
      <w:r>
        <w:rPr>
          <w:rFonts w:hint="eastAsia" w:ascii="仿宋_GB2312" w:eastAsia="仿宋_GB2312"/>
          <w:b w:val="0"/>
          <w:bCs/>
          <w:color w:val="auto"/>
          <w:sz w:val="32"/>
          <w:szCs w:val="32"/>
          <w:lang w:val="en-US" w:eastAsia="zh-CN"/>
        </w:rPr>
        <w:t>2</w:t>
      </w:r>
      <w:r>
        <w:rPr>
          <w:rFonts w:hint="eastAsia" w:ascii="仿宋_GB2312" w:eastAsia="仿宋_GB2312"/>
          <w:b w:val="0"/>
          <w:bCs/>
          <w:color w:val="auto"/>
          <w:sz w:val="32"/>
          <w:szCs w:val="32"/>
        </w:rPr>
        <w:t>个项目编制了绩效目标，预算执行过程中，选取</w:t>
      </w:r>
      <w:r>
        <w:rPr>
          <w:rFonts w:hint="eastAsia" w:ascii="仿宋_GB2312" w:eastAsia="仿宋_GB2312"/>
          <w:b w:val="0"/>
          <w:bCs/>
          <w:color w:val="auto"/>
          <w:sz w:val="32"/>
          <w:szCs w:val="32"/>
          <w:lang w:val="en-US" w:eastAsia="zh-CN"/>
        </w:rPr>
        <w:t>2</w:t>
      </w:r>
      <w:r>
        <w:rPr>
          <w:rFonts w:hint="eastAsia" w:ascii="仿宋_GB2312" w:eastAsia="仿宋_GB2312"/>
          <w:b w:val="0"/>
          <w:bCs/>
          <w:color w:val="auto"/>
          <w:sz w:val="32"/>
          <w:szCs w:val="32"/>
        </w:rPr>
        <w:t>个项目开展绩效监控，组织对</w:t>
      </w:r>
      <w:r>
        <w:rPr>
          <w:rFonts w:hint="eastAsia" w:ascii="仿宋_GB2312" w:eastAsia="仿宋_GB2312"/>
          <w:b w:val="0"/>
          <w:bCs/>
          <w:color w:val="auto"/>
          <w:sz w:val="32"/>
          <w:szCs w:val="32"/>
          <w:lang w:val="en-US" w:eastAsia="zh-CN"/>
        </w:rPr>
        <w:t>2</w:t>
      </w:r>
      <w:r>
        <w:rPr>
          <w:rFonts w:hint="eastAsia" w:ascii="仿宋_GB2312" w:eastAsia="仿宋_GB2312"/>
          <w:b w:val="0"/>
          <w:bCs/>
          <w:color w:val="auto"/>
          <w:sz w:val="32"/>
          <w:szCs w:val="32"/>
        </w:rPr>
        <w:t>个项目开展绩效自评，绩效自评表详见第四部分附件</w:t>
      </w:r>
      <w:r>
        <w:rPr>
          <w:rFonts w:hint="eastAsia" w:ascii="仿宋_GB2312" w:eastAsia="仿宋_GB2312"/>
          <w:b w:val="0"/>
          <w:bCs/>
          <w:color w:val="auto"/>
          <w:sz w:val="32"/>
          <w:szCs w:val="32"/>
          <w:lang w:val="en-US" w:eastAsia="zh-CN"/>
        </w:rPr>
        <w:t>1、2</w:t>
      </w:r>
      <w:r>
        <w:rPr>
          <w:rFonts w:hint="eastAsia" w:ascii="仿宋_GB2312" w:eastAsia="仿宋_GB2312"/>
          <w:b w:val="0"/>
          <w:bCs/>
          <w:color w:val="auto"/>
          <w:sz w:val="32"/>
          <w:szCs w:val="32"/>
        </w:rPr>
        <w:t>。</w:t>
      </w:r>
    </w:p>
    <w:p w14:paraId="5C1D4010">
      <w:pPr>
        <w:spacing w:line="600" w:lineRule="exact"/>
        <w:ind w:firstLine="640" w:firstLineChars="200"/>
        <w:rPr>
          <w:rFonts w:ascii="仿宋_GB2312" w:eastAsia="仿宋_GB2312"/>
          <w:b w:val="0"/>
          <w:bCs/>
          <w:sz w:val="32"/>
          <w:szCs w:val="32"/>
        </w:rPr>
      </w:pPr>
      <w:r>
        <w:rPr>
          <w:rFonts w:hint="eastAsia" w:ascii="仿宋_GB2312" w:eastAsia="仿宋_GB2312"/>
          <w:b w:val="0"/>
          <w:bCs/>
          <w:sz w:val="32"/>
          <w:szCs w:val="32"/>
        </w:rPr>
        <w:br w:type="page"/>
      </w:r>
    </w:p>
    <w:p w14:paraId="10FC93AC">
      <w:pPr>
        <w:numPr>
          <w:ilvl w:val="0"/>
          <w:numId w:val="4"/>
        </w:numPr>
        <w:spacing w:line="600" w:lineRule="exact"/>
        <w:ind w:firstLine="660" w:firstLineChars="150"/>
        <w:jc w:val="center"/>
        <w:outlineLvl w:val="0"/>
        <w:rPr>
          <w:rStyle w:val="27"/>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7"/>
          <w:rFonts w:hint="eastAsia" w:ascii="黑体" w:hAnsi="黑体" w:eastAsia="黑体"/>
          <w:b w:val="0"/>
        </w:rPr>
        <w:t>词解释</w:t>
      </w:r>
      <w:bookmarkEnd w:id="49"/>
      <w:bookmarkEnd w:id="50"/>
    </w:p>
    <w:p w14:paraId="13570D36">
      <w:pPr>
        <w:spacing w:line="600" w:lineRule="exact"/>
        <w:jc w:val="left"/>
        <w:rPr>
          <w:rFonts w:ascii="宋体"/>
          <w:b/>
          <w:sz w:val="44"/>
          <w:szCs w:val="44"/>
        </w:rPr>
      </w:pPr>
    </w:p>
    <w:p w14:paraId="6B61A99A">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78CC1A2E">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14:paraId="3AFAC754">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14:paraId="48CB4EFB">
      <w:pPr>
        <w:pStyle w:val="25"/>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p>
    <w:p w14:paraId="0677EF94">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p>
    <w:p w14:paraId="7CC0D0C2">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74CB4127">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3D86757C">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0906C7CA">
      <w:pPr>
        <w:ind w:firstLine="640" w:firstLineChars="200"/>
        <w:rPr>
          <w:rFonts w:ascii="仿宋_GB2312" w:eastAsia="仿宋_GB2312"/>
          <w:color w:val="auto"/>
          <w:sz w:val="32"/>
          <w:szCs w:val="32"/>
        </w:rPr>
      </w:pPr>
      <w:r>
        <w:rPr>
          <w:rFonts w:ascii="仿宋_GB2312" w:eastAsia="仿宋_GB2312"/>
          <w:color w:val="auto"/>
          <w:sz w:val="32"/>
          <w:szCs w:val="32"/>
        </w:rPr>
        <w:t>9.</w:t>
      </w:r>
      <w:r>
        <w:rPr>
          <w:rFonts w:hint="eastAsia" w:ascii="仿宋_GB2312" w:eastAsia="仿宋_GB2312"/>
          <w:color w:val="auto"/>
          <w:sz w:val="32"/>
          <w:szCs w:val="32"/>
        </w:rPr>
        <w:t>社会保障和就业（</w:t>
      </w:r>
      <w:r>
        <w:rPr>
          <w:rFonts w:hint="eastAsia" w:ascii="仿宋_GB2312" w:eastAsia="仿宋_GB2312"/>
          <w:color w:val="auto"/>
          <w:sz w:val="32"/>
          <w:szCs w:val="32"/>
          <w:lang w:val="en-US" w:eastAsia="zh-CN"/>
        </w:rPr>
        <w:t>208</w:t>
      </w:r>
      <w:r>
        <w:rPr>
          <w:rFonts w:hint="eastAsia" w:ascii="仿宋_GB2312" w:eastAsia="仿宋_GB2312"/>
          <w:color w:val="auto"/>
          <w:sz w:val="32"/>
          <w:szCs w:val="32"/>
        </w:rPr>
        <w:t>）行政事业单位</w:t>
      </w:r>
      <w:r>
        <w:rPr>
          <w:rFonts w:hint="eastAsia" w:ascii="仿宋_GB2312" w:eastAsia="仿宋_GB2312"/>
          <w:color w:val="auto"/>
          <w:sz w:val="32"/>
          <w:szCs w:val="32"/>
          <w:lang w:eastAsia="zh-CN"/>
        </w:rPr>
        <w:t>养老支出</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05</w:t>
      </w:r>
      <w:r>
        <w:rPr>
          <w:rFonts w:hint="eastAsia" w:ascii="仿宋_GB2312" w:eastAsia="仿宋_GB2312"/>
          <w:color w:val="auto"/>
          <w:sz w:val="32"/>
          <w:szCs w:val="32"/>
        </w:rPr>
        <w:t>）</w:t>
      </w:r>
      <w:r>
        <w:rPr>
          <w:rFonts w:hint="eastAsia" w:ascii="仿宋_GB2312" w:eastAsia="仿宋_GB2312"/>
          <w:color w:val="auto"/>
          <w:sz w:val="32"/>
          <w:szCs w:val="32"/>
          <w:lang w:eastAsia="zh-CN"/>
        </w:rPr>
        <w:t>机关事业单位基本养老保险缴费支出</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05</w:t>
      </w:r>
      <w:r>
        <w:rPr>
          <w:rFonts w:hint="eastAsia" w:ascii="仿宋_GB2312" w:eastAsia="仿宋_GB2312"/>
          <w:color w:val="auto"/>
          <w:sz w:val="32"/>
          <w:szCs w:val="32"/>
        </w:rPr>
        <w:t>）：指用于</w:t>
      </w:r>
      <w:r>
        <w:rPr>
          <w:rFonts w:hint="eastAsia" w:ascii="仿宋_GB2312" w:eastAsia="仿宋_GB2312"/>
          <w:color w:val="auto"/>
          <w:sz w:val="32"/>
          <w:szCs w:val="32"/>
          <w:lang w:eastAsia="zh-CN"/>
        </w:rPr>
        <w:t>单位工作</w:t>
      </w:r>
      <w:r>
        <w:rPr>
          <w:rFonts w:hint="eastAsia" w:ascii="仿宋_GB2312" w:eastAsia="仿宋_GB2312"/>
          <w:color w:val="auto"/>
          <w:sz w:val="32"/>
          <w:szCs w:val="32"/>
        </w:rPr>
        <w:t>人员</w:t>
      </w:r>
      <w:r>
        <w:rPr>
          <w:rFonts w:hint="eastAsia" w:ascii="仿宋_GB2312" w:eastAsia="仿宋_GB2312"/>
          <w:color w:val="auto"/>
          <w:sz w:val="32"/>
          <w:szCs w:val="32"/>
          <w:lang w:eastAsia="zh-CN"/>
        </w:rPr>
        <w:t>养老保险缴费单位支出部分</w:t>
      </w:r>
      <w:r>
        <w:rPr>
          <w:rFonts w:hint="eastAsia" w:ascii="仿宋_GB2312" w:eastAsia="仿宋_GB2312"/>
          <w:color w:val="auto"/>
          <w:sz w:val="32"/>
          <w:szCs w:val="32"/>
        </w:rPr>
        <w:t>的资金。</w:t>
      </w:r>
    </w:p>
    <w:p w14:paraId="02D2C903">
      <w:pPr>
        <w:ind w:firstLine="640" w:firstLineChars="200"/>
        <w:rPr>
          <w:rFonts w:ascii="仿宋_GB2312" w:eastAsia="仿宋_GB2312"/>
          <w:color w:val="auto"/>
          <w:sz w:val="32"/>
          <w:szCs w:val="32"/>
        </w:rPr>
      </w:pPr>
      <w:r>
        <w:rPr>
          <w:rFonts w:ascii="仿宋_GB2312" w:eastAsia="仿宋_GB2312"/>
          <w:color w:val="auto"/>
          <w:sz w:val="32"/>
          <w:szCs w:val="32"/>
        </w:rPr>
        <w:t>10.</w:t>
      </w:r>
      <w:r>
        <w:rPr>
          <w:rFonts w:hint="eastAsia" w:ascii="仿宋_GB2312" w:eastAsia="仿宋_GB2312"/>
          <w:color w:val="auto"/>
          <w:sz w:val="32"/>
          <w:szCs w:val="32"/>
        </w:rPr>
        <w:t>社会保障和就业（</w:t>
      </w:r>
      <w:r>
        <w:rPr>
          <w:rFonts w:hint="eastAsia" w:ascii="仿宋_GB2312" w:eastAsia="仿宋_GB2312"/>
          <w:color w:val="auto"/>
          <w:sz w:val="32"/>
          <w:szCs w:val="32"/>
          <w:lang w:val="en-US" w:eastAsia="zh-CN"/>
        </w:rPr>
        <w:t>208</w:t>
      </w:r>
      <w:r>
        <w:rPr>
          <w:rFonts w:hint="eastAsia" w:ascii="仿宋_GB2312" w:eastAsia="仿宋_GB2312"/>
          <w:color w:val="auto"/>
          <w:sz w:val="32"/>
          <w:szCs w:val="32"/>
        </w:rPr>
        <w:t>）行政事业单位</w:t>
      </w:r>
      <w:r>
        <w:rPr>
          <w:rFonts w:hint="eastAsia" w:ascii="仿宋_GB2312" w:eastAsia="仿宋_GB2312"/>
          <w:color w:val="auto"/>
          <w:sz w:val="32"/>
          <w:szCs w:val="32"/>
          <w:lang w:eastAsia="zh-CN"/>
        </w:rPr>
        <w:t>养老支出</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05</w:t>
      </w:r>
      <w:r>
        <w:rPr>
          <w:rFonts w:hint="eastAsia" w:ascii="仿宋_GB2312" w:eastAsia="仿宋_GB2312"/>
          <w:color w:val="auto"/>
          <w:sz w:val="32"/>
          <w:szCs w:val="32"/>
        </w:rPr>
        <w:t>）</w:t>
      </w:r>
      <w:r>
        <w:rPr>
          <w:rFonts w:hint="eastAsia" w:ascii="仿宋_GB2312" w:eastAsia="仿宋_GB2312"/>
          <w:color w:val="auto"/>
          <w:sz w:val="32"/>
          <w:szCs w:val="32"/>
          <w:lang w:eastAsia="zh-CN"/>
        </w:rPr>
        <w:t>机关事业单位职业年金缴费支出</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06</w:t>
      </w:r>
      <w:r>
        <w:rPr>
          <w:rFonts w:hint="eastAsia" w:ascii="仿宋_GB2312" w:eastAsia="仿宋_GB2312"/>
          <w:color w:val="auto"/>
          <w:sz w:val="32"/>
          <w:szCs w:val="32"/>
        </w:rPr>
        <w:t>）：指用于</w:t>
      </w:r>
      <w:r>
        <w:rPr>
          <w:rFonts w:hint="eastAsia" w:ascii="仿宋_GB2312" w:eastAsia="仿宋_GB2312"/>
          <w:color w:val="auto"/>
          <w:sz w:val="32"/>
          <w:szCs w:val="32"/>
          <w:lang w:eastAsia="zh-CN"/>
        </w:rPr>
        <w:t>单位工作</w:t>
      </w:r>
      <w:r>
        <w:rPr>
          <w:rFonts w:hint="eastAsia" w:ascii="仿宋_GB2312" w:eastAsia="仿宋_GB2312"/>
          <w:color w:val="auto"/>
          <w:sz w:val="32"/>
          <w:szCs w:val="32"/>
        </w:rPr>
        <w:t>人员</w:t>
      </w:r>
      <w:r>
        <w:rPr>
          <w:rFonts w:hint="eastAsia" w:ascii="仿宋_GB2312" w:eastAsia="仿宋_GB2312"/>
          <w:color w:val="auto"/>
          <w:sz w:val="32"/>
          <w:szCs w:val="32"/>
          <w:lang w:eastAsia="zh-CN"/>
        </w:rPr>
        <w:t>由单位实际缴纳的职业年金支出</w:t>
      </w:r>
      <w:r>
        <w:rPr>
          <w:rFonts w:hint="eastAsia" w:ascii="仿宋_GB2312" w:eastAsia="仿宋_GB2312"/>
          <w:color w:val="auto"/>
          <w:sz w:val="32"/>
          <w:szCs w:val="32"/>
        </w:rPr>
        <w:t>。</w:t>
      </w:r>
    </w:p>
    <w:p w14:paraId="5E94C396">
      <w:pPr>
        <w:ind w:firstLine="640" w:firstLineChars="200"/>
        <w:rPr>
          <w:rFonts w:ascii="仿宋_GB2312" w:eastAsia="仿宋_GB2312"/>
          <w:color w:val="auto"/>
          <w:sz w:val="32"/>
          <w:szCs w:val="32"/>
        </w:rPr>
      </w:pPr>
      <w:r>
        <w:rPr>
          <w:rFonts w:ascii="仿宋_GB2312" w:eastAsia="仿宋_GB2312"/>
          <w:color w:val="auto"/>
          <w:sz w:val="32"/>
          <w:szCs w:val="32"/>
        </w:rPr>
        <w:t>11.</w:t>
      </w:r>
      <w:r>
        <w:rPr>
          <w:rFonts w:hint="eastAsia" w:ascii="仿宋_GB2312" w:eastAsia="仿宋_GB2312"/>
          <w:color w:val="auto"/>
          <w:sz w:val="32"/>
          <w:szCs w:val="32"/>
        </w:rPr>
        <w:t>社会保障和就业（</w:t>
      </w:r>
      <w:r>
        <w:rPr>
          <w:rFonts w:hint="eastAsia" w:ascii="仿宋_GB2312" w:eastAsia="仿宋_GB2312"/>
          <w:color w:val="auto"/>
          <w:sz w:val="32"/>
          <w:szCs w:val="32"/>
          <w:lang w:val="en-US" w:eastAsia="zh-CN"/>
        </w:rPr>
        <w:t>208</w:t>
      </w:r>
      <w:r>
        <w:rPr>
          <w:rFonts w:hint="eastAsia" w:ascii="仿宋_GB2312" w:eastAsia="仿宋_GB2312"/>
          <w:color w:val="auto"/>
          <w:sz w:val="32"/>
          <w:szCs w:val="32"/>
        </w:rPr>
        <w:t>）行政事业单位</w:t>
      </w:r>
      <w:r>
        <w:rPr>
          <w:rFonts w:hint="eastAsia" w:ascii="仿宋_GB2312" w:eastAsia="仿宋_GB2312"/>
          <w:color w:val="auto"/>
          <w:sz w:val="32"/>
          <w:szCs w:val="32"/>
          <w:lang w:eastAsia="zh-CN"/>
        </w:rPr>
        <w:t>养老支出</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05</w:t>
      </w:r>
      <w:r>
        <w:rPr>
          <w:rFonts w:hint="eastAsia" w:ascii="仿宋_GB2312" w:eastAsia="仿宋_GB2312"/>
          <w:color w:val="auto"/>
          <w:sz w:val="32"/>
          <w:szCs w:val="32"/>
        </w:rPr>
        <w:t>）</w:t>
      </w:r>
      <w:r>
        <w:rPr>
          <w:rFonts w:hint="eastAsia" w:ascii="仿宋_GB2312" w:eastAsia="仿宋_GB2312"/>
          <w:color w:val="auto"/>
          <w:sz w:val="32"/>
          <w:szCs w:val="32"/>
          <w:lang w:eastAsia="zh-CN"/>
        </w:rPr>
        <w:t>其他行政事业单位离退休支出</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99</w:t>
      </w:r>
      <w:r>
        <w:rPr>
          <w:rFonts w:hint="eastAsia" w:ascii="仿宋_GB2312" w:eastAsia="仿宋_GB2312"/>
          <w:color w:val="auto"/>
          <w:sz w:val="32"/>
          <w:szCs w:val="32"/>
        </w:rPr>
        <w:t>）：指用于</w:t>
      </w:r>
      <w:r>
        <w:rPr>
          <w:rFonts w:hint="eastAsia" w:ascii="仿宋_GB2312" w:eastAsia="仿宋_GB2312"/>
          <w:color w:val="auto"/>
          <w:sz w:val="32"/>
          <w:szCs w:val="32"/>
          <w:lang w:eastAsia="zh-CN"/>
        </w:rPr>
        <w:t>除上述项目外其他行政事业单位离退休方面的支出</w:t>
      </w:r>
      <w:r>
        <w:rPr>
          <w:rFonts w:hint="eastAsia" w:ascii="仿宋_GB2312" w:eastAsia="仿宋_GB2312"/>
          <w:color w:val="auto"/>
          <w:sz w:val="32"/>
          <w:szCs w:val="32"/>
        </w:rPr>
        <w:t>。</w:t>
      </w:r>
    </w:p>
    <w:p w14:paraId="64562DFF">
      <w:pPr>
        <w:ind w:firstLine="640" w:firstLineChars="200"/>
        <w:rPr>
          <w:rFonts w:hint="eastAsia" w:ascii="仿宋_GB2312" w:eastAsia="仿宋_GB2312"/>
          <w:color w:val="auto"/>
          <w:sz w:val="32"/>
          <w:szCs w:val="32"/>
        </w:rPr>
      </w:pPr>
      <w:r>
        <w:rPr>
          <w:rFonts w:ascii="仿宋_GB2312" w:eastAsia="仿宋_GB2312"/>
          <w:color w:val="auto"/>
          <w:sz w:val="32"/>
          <w:szCs w:val="32"/>
        </w:rPr>
        <w:t>12.</w:t>
      </w:r>
      <w:r>
        <w:rPr>
          <w:rFonts w:hint="eastAsia" w:ascii="仿宋_GB2312" w:eastAsia="仿宋_GB2312"/>
          <w:color w:val="auto"/>
          <w:sz w:val="32"/>
          <w:szCs w:val="32"/>
          <w:lang w:eastAsia="zh-CN"/>
        </w:rPr>
        <w:t>卫生健康支出</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210</w:t>
      </w:r>
      <w:r>
        <w:rPr>
          <w:rFonts w:hint="eastAsia" w:ascii="仿宋_GB2312" w:eastAsia="仿宋_GB2312"/>
          <w:color w:val="auto"/>
          <w:sz w:val="32"/>
          <w:szCs w:val="32"/>
        </w:rPr>
        <w:t>）</w:t>
      </w:r>
      <w:r>
        <w:rPr>
          <w:rFonts w:hint="eastAsia" w:ascii="仿宋_GB2312" w:eastAsia="仿宋_GB2312"/>
          <w:color w:val="auto"/>
          <w:sz w:val="32"/>
          <w:szCs w:val="32"/>
          <w:lang w:eastAsia="zh-CN"/>
        </w:rPr>
        <w:t>行政事业单位医疗</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11</w:t>
      </w:r>
      <w:r>
        <w:rPr>
          <w:rFonts w:hint="eastAsia" w:ascii="仿宋_GB2312" w:eastAsia="仿宋_GB2312"/>
          <w:color w:val="auto"/>
          <w:sz w:val="32"/>
          <w:szCs w:val="32"/>
        </w:rPr>
        <w:t>）</w:t>
      </w:r>
      <w:r>
        <w:rPr>
          <w:rFonts w:hint="eastAsia" w:ascii="仿宋_GB2312" w:eastAsia="仿宋_GB2312"/>
          <w:color w:val="auto"/>
          <w:sz w:val="32"/>
          <w:szCs w:val="32"/>
          <w:lang w:eastAsia="zh-CN"/>
        </w:rPr>
        <w:t>事业单位医疗</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02</w:t>
      </w:r>
      <w:r>
        <w:rPr>
          <w:rFonts w:hint="eastAsia" w:ascii="仿宋_GB2312" w:eastAsia="仿宋_GB2312"/>
          <w:color w:val="auto"/>
          <w:sz w:val="32"/>
          <w:szCs w:val="32"/>
        </w:rPr>
        <w:t>）：指</w:t>
      </w:r>
      <w:r>
        <w:rPr>
          <w:rFonts w:hint="eastAsia" w:ascii="仿宋_GB2312" w:eastAsia="仿宋_GB2312"/>
          <w:color w:val="auto"/>
          <w:sz w:val="32"/>
          <w:szCs w:val="32"/>
          <w:lang w:eastAsia="zh-CN"/>
        </w:rPr>
        <w:t>财政部门安排的事业单位基本医疗保险缴费经费</w:t>
      </w:r>
      <w:r>
        <w:rPr>
          <w:rFonts w:hint="eastAsia" w:ascii="仿宋_GB2312" w:eastAsia="仿宋_GB2312"/>
          <w:color w:val="auto"/>
          <w:sz w:val="32"/>
          <w:szCs w:val="32"/>
        </w:rPr>
        <w:t>。</w:t>
      </w:r>
    </w:p>
    <w:p w14:paraId="7A3BFD76">
      <w:pPr>
        <w:ind w:firstLine="640" w:firstLineChars="200"/>
        <w:rPr>
          <w:rFonts w:hint="eastAsia" w:ascii="仿宋_GB2312" w:eastAsia="仿宋_GB2312"/>
          <w:sz w:val="32"/>
          <w:szCs w:val="32"/>
        </w:rPr>
      </w:pPr>
      <w:r>
        <w:rPr>
          <w:rFonts w:ascii="仿宋_GB2312" w:eastAsia="仿宋_GB2312"/>
          <w:color w:val="auto"/>
          <w:sz w:val="32"/>
          <w:szCs w:val="32"/>
        </w:rPr>
        <w:t>13.</w:t>
      </w:r>
      <w:r>
        <w:rPr>
          <w:rFonts w:hint="eastAsia" w:ascii="仿宋_GB2312" w:eastAsia="仿宋_GB2312"/>
          <w:sz w:val="32"/>
          <w:szCs w:val="32"/>
        </w:rPr>
        <w:t>农林水支出（213）农业</w:t>
      </w:r>
      <w:r>
        <w:rPr>
          <w:rFonts w:hint="eastAsia" w:ascii="仿宋_GB2312" w:eastAsia="仿宋_GB2312"/>
          <w:sz w:val="32"/>
          <w:szCs w:val="32"/>
          <w:lang w:val="en-US" w:eastAsia="zh-CN"/>
        </w:rPr>
        <w:t>农村</w:t>
      </w:r>
      <w:r>
        <w:rPr>
          <w:rFonts w:hint="eastAsia" w:ascii="仿宋_GB2312" w:eastAsia="仿宋_GB2312"/>
          <w:sz w:val="32"/>
          <w:szCs w:val="32"/>
        </w:rPr>
        <w:t>（01）事业运行（04）：指用于农业事业单位基本支出，事业单位设施、系统运行与资产维护等方面的支出。</w:t>
      </w:r>
    </w:p>
    <w:p w14:paraId="1E4DA9DD">
      <w:pPr>
        <w:ind w:firstLine="640" w:firstLineChars="200"/>
        <w:rPr>
          <w:rFonts w:ascii="仿宋_GB2312" w:eastAsia="仿宋_GB2312"/>
          <w:sz w:val="32"/>
          <w:szCs w:val="32"/>
        </w:rPr>
      </w:pPr>
      <w:r>
        <w:rPr>
          <w:rFonts w:hint="eastAsia" w:ascii="仿宋_GB2312" w:eastAsia="仿宋_GB2312"/>
          <w:color w:val="auto"/>
          <w:sz w:val="32"/>
          <w:szCs w:val="32"/>
          <w:lang w:val="en-US" w:eastAsia="zh-CN"/>
        </w:rPr>
        <w:t>14.</w:t>
      </w:r>
      <w:r>
        <w:rPr>
          <w:rFonts w:hint="eastAsia" w:ascii="仿宋_GB2312" w:eastAsia="仿宋_GB2312"/>
          <w:sz w:val="32"/>
          <w:szCs w:val="32"/>
          <w:u w:val="none"/>
        </w:rPr>
        <w:t>农林水支出（213）</w:t>
      </w:r>
      <w:r>
        <w:rPr>
          <w:rFonts w:hint="eastAsia" w:ascii="仿宋_GB2312" w:eastAsia="仿宋_GB2312"/>
          <w:sz w:val="32"/>
          <w:szCs w:val="32"/>
          <w:u w:val="none"/>
          <w:lang w:eastAsia="zh-CN"/>
        </w:rPr>
        <w:t>农业</w:t>
      </w:r>
      <w:r>
        <w:rPr>
          <w:rFonts w:hint="eastAsia" w:ascii="仿宋_GB2312" w:eastAsia="仿宋_GB2312"/>
          <w:sz w:val="32"/>
          <w:szCs w:val="32"/>
          <w:u w:val="none"/>
          <w:lang w:val="en-US" w:eastAsia="zh-CN"/>
        </w:rPr>
        <w:t>农村</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01</w:t>
      </w:r>
      <w:r>
        <w:rPr>
          <w:rFonts w:hint="eastAsia" w:ascii="仿宋_GB2312" w:eastAsia="仿宋_GB2312"/>
          <w:sz w:val="32"/>
          <w:szCs w:val="32"/>
          <w:u w:val="none"/>
        </w:rPr>
        <w:t>）其他</w:t>
      </w:r>
      <w:r>
        <w:rPr>
          <w:rFonts w:hint="eastAsia" w:ascii="仿宋_GB2312" w:eastAsia="仿宋_GB2312"/>
          <w:sz w:val="32"/>
          <w:szCs w:val="32"/>
          <w:u w:val="none"/>
          <w:lang w:val="en-US" w:eastAsia="zh-CN"/>
        </w:rPr>
        <w:t>农业农村</w:t>
      </w:r>
      <w:r>
        <w:rPr>
          <w:rFonts w:hint="eastAsia" w:ascii="仿宋_GB2312" w:eastAsia="仿宋_GB2312"/>
          <w:sz w:val="32"/>
          <w:szCs w:val="32"/>
          <w:u w:val="none"/>
        </w:rPr>
        <w:t>支出（99）：指用于农业事业</w:t>
      </w:r>
      <w:r>
        <w:rPr>
          <w:rFonts w:hint="eastAsia" w:ascii="仿宋_GB2312" w:eastAsia="仿宋_GB2312"/>
          <w:sz w:val="32"/>
          <w:szCs w:val="32"/>
          <w:u w:val="none"/>
          <w:lang w:eastAsia="zh-CN"/>
        </w:rPr>
        <w:t>除</w:t>
      </w:r>
      <w:r>
        <w:rPr>
          <w:rFonts w:hint="eastAsia" w:ascii="仿宋_GB2312" w:eastAsia="仿宋_GB2312"/>
          <w:sz w:val="32"/>
          <w:szCs w:val="32"/>
          <w:u w:val="none"/>
        </w:rPr>
        <w:t>单位基本支出</w:t>
      </w:r>
      <w:r>
        <w:rPr>
          <w:rFonts w:hint="eastAsia" w:ascii="仿宋_GB2312" w:eastAsia="仿宋_GB2312"/>
          <w:sz w:val="32"/>
          <w:szCs w:val="32"/>
          <w:u w:val="none"/>
          <w:lang w:eastAsia="zh-CN"/>
        </w:rPr>
        <w:t>以外</w:t>
      </w:r>
      <w:r>
        <w:rPr>
          <w:rFonts w:hint="eastAsia" w:ascii="仿宋_GB2312" w:eastAsia="仿宋_GB2312"/>
          <w:sz w:val="32"/>
          <w:szCs w:val="32"/>
          <w:u w:val="none"/>
        </w:rPr>
        <w:t>的支出</w:t>
      </w:r>
      <w:r>
        <w:rPr>
          <w:rFonts w:hint="eastAsia" w:ascii="仿宋_GB2312" w:eastAsia="仿宋_GB2312"/>
          <w:sz w:val="32"/>
          <w:szCs w:val="32"/>
        </w:rPr>
        <w:t>。</w:t>
      </w:r>
    </w:p>
    <w:p w14:paraId="26633256">
      <w:pPr>
        <w:ind w:firstLine="640" w:firstLineChars="200"/>
        <w:rPr>
          <w:rFonts w:hint="eastAsia" w:ascii="仿宋_GB2312" w:eastAsia="仿宋_GB2312"/>
          <w:sz w:val="32"/>
          <w:szCs w:val="32"/>
          <w:u w:val="none"/>
          <w:lang w:eastAsia="zh-CN"/>
        </w:rPr>
      </w:pPr>
      <w:r>
        <w:rPr>
          <w:rFonts w:hint="eastAsia" w:ascii="仿宋_GB2312" w:eastAsia="仿宋_GB2312"/>
          <w:color w:val="auto"/>
          <w:sz w:val="32"/>
          <w:szCs w:val="32"/>
          <w:lang w:val="en-US" w:eastAsia="zh-CN"/>
        </w:rPr>
        <w:t>15.</w:t>
      </w:r>
      <w:r>
        <w:rPr>
          <w:rFonts w:hint="eastAsia" w:ascii="仿宋_GB2312" w:eastAsia="仿宋_GB2312"/>
          <w:sz w:val="32"/>
          <w:szCs w:val="32"/>
          <w:u w:val="none"/>
        </w:rPr>
        <w:t>农林水支出（213）</w:t>
      </w:r>
      <w:r>
        <w:rPr>
          <w:rFonts w:hint="eastAsia" w:ascii="仿宋_GB2312" w:eastAsia="仿宋_GB2312"/>
          <w:sz w:val="32"/>
          <w:szCs w:val="32"/>
          <w:u w:val="none"/>
          <w:lang w:val="en-US" w:eastAsia="zh-CN"/>
        </w:rPr>
        <w:t>其他农林水支出</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99</w:t>
      </w:r>
      <w:r>
        <w:rPr>
          <w:rFonts w:hint="eastAsia" w:ascii="仿宋_GB2312" w:eastAsia="仿宋_GB2312"/>
          <w:sz w:val="32"/>
          <w:szCs w:val="32"/>
          <w:u w:val="none"/>
        </w:rPr>
        <w:t>）其他农林水支出（99）：指用于农业事业</w:t>
      </w:r>
      <w:r>
        <w:rPr>
          <w:rFonts w:hint="eastAsia" w:ascii="仿宋_GB2312" w:eastAsia="仿宋_GB2312"/>
          <w:sz w:val="32"/>
          <w:szCs w:val="32"/>
          <w:u w:val="none"/>
          <w:lang w:eastAsia="zh-CN"/>
        </w:rPr>
        <w:t>除</w:t>
      </w:r>
      <w:r>
        <w:rPr>
          <w:rFonts w:hint="eastAsia" w:ascii="仿宋_GB2312" w:eastAsia="仿宋_GB2312"/>
          <w:sz w:val="32"/>
          <w:szCs w:val="32"/>
          <w:u w:val="none"/>
        </w:rPr>
        <w:t>单位基本支出</w:t>
      </w:r>
      <w:r>
        <w:rPr>
          <w:rFonts w:hint="eastAsia" w:ascii="仿宋_GB2312" w:eastAsia="仿宋_GB2312"/>
          <w:sz w:val="32"/>
          <w:szCs w:val="32"/>
          <w:u w:val="none"/>
          <w:lang w:eastAsia="zh-CN"/>
        </w:rPr>
        <w:t>以外</w:t>
      </w:r>
      <w:r>
        <w:rPr>
          <w:rFonts w:hint="eastAsia" w:ascii="仿宋_GB2312" w:eastAsia="仿宋_GB2312"/>
          <w:sz w:val="32"/>
          <w:szCs w:val="32"/>
          <w:u w:val="none"/>
        </w:rPr>
        <w:t>的支出</w:t>
      </w:r>
      <w:r>
        <w:rPr>
          <w:rFonts w:hint="eastAsia" w:ascii="仿宋_GB2312" w:eastAsia="仿宋_GB2312"/>
          <w:sz w:val="32"/>
          <w:szCs w:val="32"/>
          <w:u w:val="none"/>
          <w:lang w:eastAsia="zh-CN"/>
        </w:rPr>
        <w:t>。</w:t>
      </w:r>
    </w:p>
    <w:p w14:paraId="32AF98F5">
      <w:pPr>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16</w:t>
      </w:r>
      <w:r>
        <w:rPr>
          <w:rFonts w:ascii="仿宋_GB2312" w:eastAsia="仿宋_GB2312"/>
          <w:color w:val="auto"/>
          <w:sz w:val="32"/>
          <w:szCs w:val="32"/>
        </w:rPr>
        <w:t>.</w:t>
      </w:r>
      <w:r>
        <w:rPr>
          <w:rFonts w:hint="eastAsia" w:ascii="仿宋_GB2312" w:eastAsia="仿宋_GB2312"/>
          <w:color w:val="auto"/>
          <w:sz w:val="32"/>
          <w:szCs w:val="32"/>
        </w:rPr>
        <w:t>住房保障支出（</w:t>
      </w:r>
      <w:r>
        <w:rPr>
          <w:rFonts w:hint="eastAsia" w:ascii="仿宋_GB2312" w:eastAsia="仿宋_GB2312"/>
          <w:color w:val="auto"/>
          <w:sz w:val="32"/>
          <w:szCs w:val="32"/>
          <w:lang w:val="en-US" w:eastAsia="zh-CN"/>
        </w:rPr>
        <w:t>221</w:t>
      </w:r>
      <w:r>
        <w:rPr>
          <w:rFonts w:hint="eastAsia" w:ascii="仿宋_GB2312" w:eastAsia="仿宋_GB2312"/>
          <w:color w:val="auto"/>
          <w:sz w:val="32"/>
          <w:szCs w:val="32"/>
        </w:rPr>
        <w:t>）住房改革支出（</w:t>
      </w:r>
      <w:r>
        <w:rPr>
          <w:rFonts w:hint="eastAsia" w:ascii="仿宋_GB2312" w:eastAsia="仿宋_GB2312"/>
          <w:color w:val="auto"/>
          <w:sz w:val="32"/>
          <w:szCs w:val="32"/>
          <w:lang w:val="en-US" w:eastAsia="zh-CN"/>
        </w:rPr>
        <w:t>02</w:t>
      </w:r>
      <w:r>
        <w:rPr>
          <w:rFonts w:hint="eastAsia" w:ascii="仿宋_GB2312" w:eastAsia="仿宋_GB2312"/>
          <w:color w:val="auto"/>
          <w:sz w:val="32"/>
          <w:szCs w:val="32"/>
        </w:rPr>
        <w:t>）住房公积金（</w:t>
      </w:r>
      <w:r>
        <w:rPr>
          <w:rFonts w:hint="eastAsia" w:ascii="仿宋_GB2312" w:eastAsia="仿宋_GB2312"/>
          <w:color w:val="auto"/>
          <w:sz w:val="32"/>
          <w:szCs w:val="32"/>
          <w:lang w:val="en-US" w:eastAsia="zh-CN"/>
        </w:rPr>
        <w:t>01</w:t>
      </w:r>
      <w:r>
        <w:rPr>
          <w:rFonts w:hint="eastAsia" w:ascii="仿宋_GB2312" w:eastAsia="仿宋_GB2312"/>
          <w:color w:val="auto"/>
          <w:sz w:val="32"/>
          <w:szCs w:val="32"/>
        </w:rPr>
        <w:t>）：指按</w:t>
      </w:r>
      <w:r>
        <w:rPr>
          <w:rFonts w:hint="eastAsia" w:ascii="仿宋_GB2312" w:eastAsia="仿宋_GB2312"/>
          <w:color w:val="auto"/>
          <w:sz w:val="32"/>
          <w:szCs w:val="32"/>
          <w:lang w:eastAsia="zh-CN"/>
        </w:rPr>
        <w:t>人力资源和社会保障部、财政部规定的基本工资和津贴补贴以及规定比例为职工缴纳的</w:t>
      </w:r>
      <w:r>
        <w:rPr>
          <w:rFonts w:hint="eastAsia" w:ascii="仿宋_GB2312" w:eastAsia="仿宋_GB2312"/>
          <w:color w:val="auto"/>
          <w:sz w:val="32"/>
          <w:szCs w:val="32"/>
        </w:rPr>
        <w:t>住房公积金。</w:t>
      </w:r>
    </w:p>
    <w:p w14:paraId="5BAB72B2">
      <w:pPr>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17</w:t>
      </w:r>
      <w:r>
        <w:rPr>
          <w:rFonts w:ascii="仿宋_GB2312" w:eastAsia="仿宋_GB2312"/>
          <w:color w:val="auto"/>
          <w:sz w:val="32"/>
          <w:szCs w:val="32"/>
        </w:rPr>
        <w:t>.</w:t>
      </w:r>
      <w:r>
        <w:rPr>
          <w:rFonts w:hint="eastAsia" w:ascii="仿宋_GB2312" w:eastAsia="仿宋_GB2312"/>
          <w:color w:val="auto"/>
          <w:sz w:val="32"/>
          <w:szCs w:val="32"/>
        </w:rPr>
        <w:t>基本支出：指为保障机构正常运转、完成日常工作任务而发生的人员支出和公用支出。</w:t>
      </w:r>
    </w:p>
    <w:p w14:paraId="58DEE08B">
      <w:pPr>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18</w:t>
      </w:r>
      <w:r>
        <w:rPr>
          <w:rFonts w:ascii="仿宋_GB2312" w:eastAsia="仿宋_GB2312"/>
          <w:color w:val="auto"/>
          <w:sz w:val="32"/>
          <w:szCs w:val="32"/>
        </w:rPr>
        <w:t>.</w:t>
      </w:r>
      <w:r>
        <w:rPr>
          <w:rFonts w:hint="eastAsia" w:ascii="仿宋_GB2312" w:eastAsia="仿宋_GB2312"/>
          <w:color w:val="auto"/>
          <w:sz w:val="32"/>
          <w:szCs w:val="32"/>
        </w:rPr>
        <w:t>项目支出：指在基本支出之外为完成特定行政任务和事业发展目标所发生的支出。</w:t>
      </w:r>
      <w:r>
        <w:rPr>
          <w:rFonts w:ascii="仿宋_GB2312" w:eastAsia="仿宋_GB2312"/>
          <w:color w:val="auto"/>
          <w:sz w:val="32"/>
          <w:szCs w:val="32"/>
        </w:rPr>
        <w:t xml:space="preserve"> </w:t>
      </w:r>
    </w:p>
    <w:p w14:paraId="7B42DEE1">
      <w:pPr>
        <w:ind w:firstLine="640" w:firstLineChars="200"/>
        <w:rPr>
          <w:rFonts w:ascii="仿宋_GB2312" w:eastAsia="仿宋_GB2312"/>
          <w:sz w:val="32"/>
          <w:szCs w:val="32"/>
        </w:rPr>
      </w:pPr>
      <w:r>
        <w:rPr>
          <w:rFonts w:hint="eastAsia" w:ascii="仿宋_GB2312" w:eastAsia="仿宋_GB2312"/>
          <w:color w:val="auto"/>
          <w:sz w:val="32"/>
          <w:szCs w:val="32"/>
          <w:lang w:val="en-US" w:eastAsia="zh-CN"/>
        </w:rPr>
        <w:t>19</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_GB2312" w:eastAsia="仿宋_GB2312"/>
          <w:sz w:val="32"/>
          <w:szCs w:val="32"/>
        </w:rPr>
        <w:t>。</w:t>
      </w:r>
    </w:p>
    <w:p w14:paraId="0D5BE690">
      <w:pPr>
        <w:spacing w:line="600" w:lineRule="exact"/>
        <w:ind w:firstLine="640"/>
        <w:rPr>
          <w:rFonts w:ascii="仿宋" w:hAnsi="仿宋" w:eastAsia="仿宋"/>
          <w:b/>
          <w:sz w:val="32"/>
          <w:szCs w:val="32"/>
        </w:rPr>
      </w:pPr>
      <w:r>
        <w:rPr>
          <w:rFonts w:hint="eastAsia" w:ascii="仿宋" w:hAnsi="仿宋" w:eastAsia="仿宋"/>
          <w:b/>
          <w:sz w:val="32"/>
          <w:szCs w:val="32"/>
        </w:rPr>
        <w:t>（解释本单位决算报表中涉及的全部功能分类科目至项级，不涉及的科目请自行删除。请参照《2023年政府收支分类科目》增减内容。）</w:t>
      </w:r>
    </w:p>
    <w:p w14:paraId="50DBCE0E">
      <w:pPr>
        <w:ind w:firstLine="640" w:firstLineChars="200"/>
        <w:rPr>
          <w:rFonts w:ascii="仿宋_GB2312" w:eastAsia="仿宋_GB2312"/>
          <w:sz w:val="32"/>
          <w:szCs w:val="32"/>
        </w:rPr>
      </w:pPr>
      <w:r>
        <w:rPr>
          <w:rFonts w:hint="eastAsia" w:ascii="仿宋_GB2312" w:eastAsia="仿宋_GB2312"/>
          <w:sz w:val="32"/>
          <w:szCs w:val="32"/>
          <w:lang w:val="en-US" w:eastAsia="zh-CN"/>
        </w:rPr>
        <w:t>20</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41D0A480">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1</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4878541B">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22</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2BD4BA0">
      <w:pPr>
        <w:pStyle w:val="25"/>
        <w:spacing w:line="560" w:lineRule="exact"/>
        <w:ind w:firstLine="640" w:firstLineChars="200"/>
        <w:rPr>
          <w:rStyle w:val="27"/>
          <w:rFonts w:ascii="黑体" w:hAnsi="黑体" w:eastAsia="黑体"/>
          <w:b w:val="0"/>
        </w:rPr>
      </w:pPr>
      <w:r>
        <w:rPr>
          <w:rFonts w:hint="eastAsia" w:ascii="仿宋_GB2312" w:eastAsia="仿宋_GB2312"/>
          <w:color w:val="auto"/>
          <w:sz w:val="32"/>
          <w:szCs w:val="32"/>
          <w:lang w:val="en-US" w:eastAsia="zh-CN"/>
        </w:rPr>
        <w:t>23</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7"/>
          <w:rFonts w:hint="eastAsia" w:ascii="黑体" w:hAnsi="黑体" w:eastAsia="黑体"/>
          <w:b w:val="0"/>
        </w:rPr>
        <w:t>四部分 附件</w:t>
      </w:r>
      <w:bookmarkEnd w:id="52"/>
    </w:p>
    <w:p w14:paraId="5DC28583">
      <w:pPr>
        <w:spacing w:line="572" w:lineRule="exact"/>
        <w:jc w:val="left"/>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tbl>
      <w:tblPr>
        <w:tblStyle w:val="14"/>
        <w:tblW w:w="8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1173"/>
        <w:gridCol w:w="814"/>
        <w:gridCol w:w="1038"/>
        <w:gridCol w:w="565"/>
        <w:gridCol w:w="814"/>
        <w:gridCol w:w="416"/>
        <w:gridCol w:w="916"/>
        <w:gridCol w:w="516"/>
        <w:gridCol w:w="416"/>
        <w:gridCol w:w="1276"/>
      </w:tblGrid>
      <w:tr w14:paraId="6908E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jc w:val="center"/>
        </w:trPr>
        <w:tc>
          <w:tcPr>
            <w:tcW w:w="85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66D5333">
            <w:pPr>
              <w:keepNext w:val="0"/>
              <w:keepLines w:val="0"/>
              <w:widowControl/>
              <w:suppressLineNumbers w:val="0"/>
              <w:jc w:val="center"/>
              <w:textAlignment w:val="center"/>
              <w:rPr>
                <w:rFonts w:ascii="黑体" w:hAnsi="宋体" w:eastAsia="黑体" w:cs="黑体"/>
                <w:b/>
                <w:bCs/>
                <w:i w:val="0"/>
                <w:iCs w:val="0"/>
                <w:color w:val="000000"/>
                <w:sz w:val="30"/>
                <w:szCs w:val="30"/>
                <w:u w:val="none"/>
              </w:rPr>
            </w:pPr>
            <w:bookmarkStart w:id="53" w:name="_Toc15396618"/>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4D77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1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6F28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7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B5F6C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51172424T000010055761-2023年四川省县级农产品质量安全风险监测</w:t>
            </w:r>
          </w:p>
        </w:tc>
      </w:tr>
      <w:tr w14:paraId="28EDC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3" w:hRule="atLeast"/>
          <w:jc w:val="center"/>
        </w:trPr>
        <w:tc>
          <w:tcPr>
            <w:tcW w:w="1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22D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6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BCA1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大竹县农产品质量安全监督检验检测站部门</w:t>
            </w:r>
          </w:p>
        </w:tc>
        <w:tc>
          <w:tcPr>
            <w:tcW w:w="916" w:type="dxa"/>
            <w:tcBorders>
              <w:top w:val="nil"/>
              <w:left w:val="nil"/>
              <w:bottom w:val="nil"/>
              <w:right w:val="nil"/>
            </w:tcBorders>
            <w:shd w:val="clear" w:color="auto" w:fill="auto"/>
            <w:vAlign w:val="center"/>
          </w:tcPr>
          <w:p w14:paraId="0CC343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 （盖章）</w:t>
            </w:r>
          </w:p>
        </w:tc>
        <w:tc>
          <w:tcPr>
            <w:tcW w:w="22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A49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大竹县农产品质量安全监督检验检测站</w:t>
            </w:r>
          </w:p>
        </w:tc>
      </w:tr>
      <w:tr w14:paraId="783F5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0534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项目基本情况</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9F21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1.项目年度目标完成情况</w:t>
            </w:r>
          </w:p>
        </w:tc>
        <w:tc>
          <w:tcPr>
            <w:tcW w:w="36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3DE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项目年度目标</w:t>
            </w:r>
          </w:p>
        </w:tc>
        <w:tc>
          <w:tcPr>
            <w:tcW w:w="31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D56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年度目标完成情况</w:t>
            </w:r>
          </w:p>
        </w:tc>
      </w:tr>
      <w:tr w14:paraId="74FD8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4"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C5948">
            <w:pPr>
              <w:rPr>
                <w:rFonts w:hint="eastAsia" w:ascii="宋体" w:hAnsi="宋体" w:eastAsia="宋体" w:cs="宋体"/>
                <w:i w:val="0"/>
                <w:iCs w:val="0"/>
                <w:color w:val="000000"/>
                <w:sz w:val="20"/>
                <w:szCs w:val="20"/>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725EB">
            <w:pPr>
              <w:rPr>
                <w:rFonts w:hint="eastAsia" w:ascii="宋体" w:hAnsi="宋体" w:eastAsia="宋体" w:cs="宋体"/>
                <w:i w:val="0"/>
                <w:iCs w:val="0"/>
                <w:color w:val="000000"/>
                <w:sz w:val="20"/>
                <w:szCs w:val="20"/>
                <w:u w:val="none"/>
              </w:rPr>
            </w:pPr>
          </w:p>
        </w:tc>
        <w:tc>
          <w:tcPr>
            <w:tcW w:w="36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B510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抽检各类农产品样品125个。及时掌握本地农产品质量安全状况，充分应用监测结果，有针对性地进行生产指导、过程控制，确保农产品生产消费安全，</w:t>
            </w:r>
          </w:p>
        </w:tc>
        <w:tc>
          <w:tcPr>
            <w:tcW w:w="31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91C7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对照年度目标，说明相关任务目标的完成情况（100字以内）</w:t>
            </w:r>
          </w:p>
        </w:tc>
      </w:tr>
      <w:tr w14:paraId="7A9A3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6"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E43DF">
            <w:pPr>
              <w:rPr>
                <w:rFonts w:hint="eastAsia" w:ascii="宋体" w:hAnsi="宋体" w:eastAsia="宋体" w:cs="宋体"/>
                <w:i w:val="0"/>
                <w:iCs w:val="0"/>
                <w:color w:val="000000"/>
                <w:sz w:val="20"/>
                <w:szCs w:val="20"/>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8F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2.项目实施内容及过程概述</w:t>
            </w:r>
          </w:p>
        </w:tc>
        <w:tc>
          <w:tcPr>
            <w:tcW w:w="67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A12E9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主要内容为承担大竹县125个批次农产品（包含种植业产品、畜禽产品、水产品和林业产品）质量安全风险监测任务，监测地点主要从大竹县所辖31个乡镇（街道办）中选择所有中心场镇，坚持用“三个全面覆盖”强力保证抽取样品的代表性和可靠性。一是监测地点全面覆盖县内210国道、318国道沿线乡镇、高速路出口设置乡镇；二是监测环节全面覆盖，所有样品来源于本地农产品生产主体、农贸批发市场、生猪定点屠宰厂、活禽交易市场等；三是监测对象全面涵盖。</w:t>
            </w:r>
          </w:p>
        </w:tc>
      </w:tr>
      <w:tr w14:paraId="3DC1A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7CBA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预算执行情况（10分）</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A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年度预算数（万元）</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F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A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调整后预算数</w:t>
            </w:r>
          </w:p>
        </w:tc>
        <w:tc>
          <w:tcPr>
            <w:tcW w:w="1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7B6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3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1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权重</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8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1D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原因</w:t>
            </w:r>
          </w:p>
        </w:tc>
      </w:tr>
      <w:tr w14:paraId="2E5D0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89BEC">
            <w:pPr>
              <w:jc w:val="center"/>
              <w:rPr>
                <w:rFonts w:hint="eastAsia" w:ascii="宋体" w:hAnsi="宋体" w:eastAsia="宋体" w:cs="宋体"/>
                <w:i w:val="0"/>
                <w:iCs w:val="0"/>
                <w:color w:val="000000"/>
                <w:sz w:val="20"/>
                <w:szCs w:val="20"/>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9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总额</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2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2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12.50</w:t>
            </w:r>
          </w:p>
        </w:tc>
        <w:tc>
          <w:tcPr>
            <w:tcW w:w="1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553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F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8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7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C50E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89E0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F08EE">
            <w:pPr>
              <w:jc w:val="center"/>
              <w:rPr>
                <w:rFonts w:hint="eastAsia" w:ascii="宋体" w:hAnsi="宋体" w:eastAsia="宋体" w:cs="宋体"/>
                <w:i w:val="0"/>
                <w:iCs w:val="0"/>
                <w:color w:val="000000"/>
                <w:sz w:val="20"/>
                <w:szCs w:val="20"/>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3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其中：财政资金</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D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6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12.50</w:t>
            </w:r>
          </w:p>
        </w:tc>
        <w:tc>
          <w:tcPr>
            <w:tcW w:w="1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76BE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3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8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1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5ADBF">
            <w:pPr>
              <w:rPr>
                <w:rFonts w:hint="eastAsia" w:ascii="宋体" w:hAnsi="宋体" w:eastAsia="宋体" w:cs="宋体"/>
                <w:i w:val="0"/>
                <w:iCs w:val="0"/>
                <w:color w:val="000000"/>
                <w:sz w:val="20"/>
                <w:szCs w:val="20"/>
                <w:u w:val="none"/>
              </w:rPr>
            </w:pPr>
          </w:p>
        </w:tc>
      </w:tr>
      <w:tr w14:paraId="55FD9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C1C6D">
            <w:pPr>
              <w:jc w:val="center"/>
              <w:rPr>
                <w:rFonts w:hint="eastAsia" w:ascii="宋体" w:hAnsi="宋体" w:eastAsia="宋体" w:cs="宋体"/>
                <w:i w:val="0"/>
                <w:iCs w:val="0"/>
                <w:color w:val="000000"/>
                <w:sz w:val="20"/>
                <w:szCs w:val="20"/>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1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C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D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5DD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7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C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E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77202">
            <w:pPr>
              <w:rPr>
                <w:rFonts w:hint="eastAsia" w:ascii="宋体" w:hAnsi="宋体" w:eastAsia="宋体" w:cs="宋体"/>
                <w:i w:val="0"/>
                <w:iCs w:val="0"/>
                <w:color w:val="000000"/>
                <w:sz w:val="20"/>
                <w:szCs w:val="20"/>
                <w:u w:val="none"/>
              </w:rPr>
            </w:pPr>
          </w:p>
        </w:tc>
      </w:tr>
      <w:tr w14:paraId="7551F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B53EF">
            <w:pPr>
              <w:jc w:val="center"/>
              <w:rPr>
                <w:rFonts w:hint="eastAsia" w:ascii="宋体" w:hAnsi="宋体" w:eastAsia="宋体" w:cs="宋体"/>
                <w:i w:val="0"/>
                <w:iCs w:val="0"/>
                <w:color w:val="000000"/>
                <w:sz w:val="20"/>
                <w:szCs w:val="20"/>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F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C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D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ABF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7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1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9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FC3A0">
            <w:pPr>
              <w:rPr>
                <w:rFonts w:hint="eastAsia" w:ascii="宋体" w:hAnsi="宋体" w:eastAsia="宋体" w:cs="宋体"/>
                <w:i w:val="0"/>
                <w:iCs w:val="0"/>
                <w:color w:val="000000"/>
                <w:sz w:val="20"/>
                <w:szCs w:val="20"/>
                <w:u w:val="none"/>
              </w:rPr>
            </w:pPr>
          </w:p>
        </w:tc>
      </w:tr>
      <w:tr w14:paraId="65786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8"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4CAD5">
            <w:pPr>
              <w:jc w:val="center"/>
              <w:rPr>
                <w:rFonts w:hint="eastAsia" w:ascii="宋体" w:hAnsi="宋体" w:eastAsia="宋体" w:cs="宋体"/>
                <w:i w:val="0"/>
                <w:iCs w:val="0"/>
                <w:color w:val="000000"/>
                <w:sz w:val="20"/>
                <w:szCs w:val="20"/>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1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D7BB">
            <w:pPr>
              <w:jc w:val="center"/>
              <w:rPr>
                <w:rFonts w:hint="eastAsia" w:ascii="宋体" w:hAnsi="宋体" w:eastAsia="宋体" w:cs="宋体"/>
                <w:i w:val="0"/>
                <w:iCs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B114">
            <w:pPr>
              <w:jc w:val="center"/>
              <w:rPr>
                <w:rFonts w:hint="eastAsia" w:ascii="宋体" w:hAnsi="宋体" w:eastAsia="宋体" w:cs="宋体"/>
                <w:i w:val="0"/>
                <w:iCs w:val="0"/>
                <w:color w:val="000000"/>
                <w:sz w:val="20"/>
                <w:szCs w:val="20"/>
                <w:u w:val="none"/>
              </w:rPr>
            </w:pPr>
          </w:p>
        </w:tc>
        <w:tc>
          <w:tcPr>
            <w:tcW w:w="1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4A1352">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3D78">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2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A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49E75">
            <w:pPr>
              <w:rPr>
                <w:rFonts w:hint="eastAsia" w:ascii="宋体" w:hAnsi="宋体" w:eastAsia="宋体" w:cs="宋体"/>
                <w:i w:val="0"/>
                <w:iCs w:val="0"/>
                <w:color w:val="000000"/>
                <w:sz w:val="20"/>
                <w:szCs w:val="20"/>
                <w:u w:val="none"/>
              </w:rPr>
            </w:pPr>
          </w:p>
        </w:tc>
      </w:tr>
      <w:tr w14:paraId="6ECFC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jc w:val="center"/>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2BA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绩效指标（90分）</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D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C6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2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3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指标性质</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9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48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度量单位</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9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完成值</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B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权重</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C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8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未完成原因分析</w:t>
            </w:r>
          </w:p>
        </w:tc>
      </w:tr>
      <w:tr w14:paraId="7BB34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E26A6">
            <w:pPr>
              <w:jc w:val="center"/>
              <w:rPr>
                <w:rFonts w:hint="eastAsia" w:ascii="宋体" w:hAnsi="宋体" w:eastAsia="宋体" w:cs="宋体"/>
                <w:i w:val="0"/>
                <w:iCs w:val="0"/>
                <w:color w:val="000000"/>
                <w:sz w:val="20"/>
                <w:szCs w:val="20"/>
                <w:u w:val="none"/>
              </w:rPr>
            </w:pP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862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E27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4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监测区域</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8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7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2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C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7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0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ECEF">
            <w:pPr>
              <w:jc w:val="center"/>
              <w:rPr>
                <w:rFonts w:hint="eastAsia" w:ascii="宋体" w:hAnsi="宋体" w:eastAsia="宋体" w:cs="宋体"/>
                <w:i w:val="0"/>
                <w:iCs w:val="0"/>
                <w:color w:val="000000"/>
                <w:sz w:val="20"/>
                <w:szCs w:val="20"/>
                <w:u w:val="none"/>
              </w:rPr>
            </w:pPr>
          </w:p>
        </w:tc>
      </w:tr>
      <w:tr w14:paraId="53AC9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3"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9D439">
            <w:pPr>
              <w:jc w:val="center"/>
              <w:rPr>
                <w:rFonts w:hint="eastAsia" w:ascii="宋体" w:hAnsi="宋体" w:eastAsia="宋体" w:cs="宋体"/>
                <w:i w:val="0"/>
                <w:iCs w:val="0"/>
                <w:color w:val="000000"/>
                <w:sz w:val="20"/>
                <w:szCs w:val="20"/>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0903F">
            <w:pPr>
              <w:jc w:val="center"/>
              <w:rPr>
                <w:rFonts w:hint="eastAsia" w:ascii="宋体" w:hAnsi="宋体" w:eastAsia="宋体" w:cs="宋体"/>
                <w:i w:val="0"/>
                <w:iCs w:val="0"/>
                <w:color w:val="000000"/>
                <w:sz w:val="20"/>
                <w:szCs w:val="20"/>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00EA6">
            <w:pPr>
              <w:jc w:val="center"/>
              <w:rPr>
                <w:rFonts w:hint="eastAsia" w:ascii="宋体" w:hAnsi="宋体" w:eastAsia="宋体" w:cs="宋体"/>
                <w:i w:val="0"/>
                <w:iCs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D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监测农产品样品数量</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E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1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E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9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1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9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3C78">
            <w:pPr>
              <w:jc w:val="center"/>
              <w:rPr>
                <w:rFonts w:hint="eastAsia" w:ascii="宋体" w:hAnsi="宋体" w:eastAsia="宋体" w:cs="宋体"/>
                <w:i w:val="0"/>
                <w:iCs w:val="0"/>
                <w:color w:val="000000"/>
                <w:sz w:val="20"/>
                <w:szCs w:val="20"/>
                <w:u w:val="none"/>
              </w:rPr>
            </w:pPr>
          </w:p>
        </w:tc>
      </w:tr>
      <w:tr w14:paraId="481EE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63094">
            <w:pPr>
              <w:jc w:val="center"/>
              <w:rPr>
                <w:rFonts w:hint="eastAsia" w:ascii="宋体" w:hAnsi="宋体" w:eastAsia="宋体" w:cs="宋体"/>
                <w:i w:val="0"/>
                <w:iCs w:val="0"/>
                <w:color w:val="000000"/>
                <w:sz w:val="20"/>
                <w:szCs w:val="20"/>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1ECD3">
            <w:pPr>
              <w:jc w:val="center"/>
              <w:rPr>
                <w:rFonts w:hint="eastAsia" w:ascii="宋体" w:hAnsi="宋体" w:eastAsia="宋体" w:cs="宋体"/>
                <w:i w:val="0"/>
                <w:iCs w:val="0"/>
                <w:color w:val="000000"/>
                <w:sz w:val="20"/>
                <w:szCs w:val="20"/>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86918">
            <w:pPr>
              <w:jc w:val="center"/>
              <w:rPr>
                <w:rFonts w:hint="eastAsia" w:ascii="宋体" w:hAnsi="宋体" w:eastAsia="宋体" w:cs="宋体"/>
                <w:i w:val="0"/>
                <w:iCs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9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监测农产品种类</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2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C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4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24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4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D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AB29">
            <w:pPr>
              <w:jc w:val="center"/>
              <w:rPr>
                <w:rFonts w:hint="eastAsia" w:ascii="宋体" w:hAnsi="宋体" w:eastAsia="宋体" w:cs="宋体"/>
                <w:i w:val="0"/>
                <w:iCs w:val="0"/>
                <w:color w:val="000000"/>
                <w:sz w:val="20"/>
                <w:szCs w:val="20"/>
                <w:u w:val="none"/>
              </w:rPr>
            </w:pPr>
          </w:p>
        </w:tc>
      </w:tr>
      <w:tr w14:paraId="05185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24C55">
            <w:pPr>
              <w:jc w:val="center"/>
              <w:rPr>
                <w:rFonts w:hint="eastAsia" w:ascii="宋体" w:hAnsi="宋体" w:eastAsia="宋体" w:cs="宋体"/>
                <w:i w:val="0"/>
                <w:iCs w:val="0"/>
                <w:color w:val="000000"/>
                <w:sz w:val="20"/>
                <w:szCs w:val="20"/>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D10BB">
            <w:pPr>
              <w:jc w:val="center"/>
              <w:rPr>
                <w:rFonts w:hint="eastAsia" w:ascii="宋体" w:hAnsi="宋体" w:eastAsia="宋体" w:cs="宋体"/>
                <w:i w:val="0"/>
                <w:iCs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C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53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监测时间</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E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4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2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月</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2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1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6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5C24">
            <w:pPr>
              <w:jc w:val="center"/>
              <w:rPr>
                <w:rFonts w:hint="eastAsia" w:ascii="宋体" w:hAnsi="宋体" w:eastAsia="宋体" w:cs="宋体"/>
                <w:i w:val="0"/>
                <w:iCs w:val="0"/>
                <w:color w:val="000000"/>
                <w:sz w:val="20"/>
                <w:szCs w:val="20"/>
                <w:u w:val="none"/>
              </w:rPr>
            </w:pPr>
          </w:p>
        </w:tc>
      </w:tr>
      <w:tr w14:paraId="39428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4"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16BD2">
            <w:pPr>
              <w:jc w:val="center"/>
              <w:rPr>
                <w:rFonts w:hint="eastAsia" w:ascii="宋体" w:hAnsi="宋体" w:eastAsia="宋体" w:cs="宋体"/>
                <w:i w:val="0"/>
                <w:iCs w:val="0"/>
                <w:color w:val="000000"/>
                <w:sz w:val="20"/>
                <w:szCs w:val="20"/>
                <w:u w:val="none"/>
              </w:rPr>
            </w:pP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6AB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35A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8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农产品质量安全形势持续稳定向好</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B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1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好</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8181">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9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好</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8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31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26A1">
            <w:pPr>
              <w:jc w:val="center"/>
              <w:rPr>
                <w:rFonts w:hint="eastAsia" w:ascii="宋体" w:hAnsi="宋体" w:eastAsia="宋体" w:cs="宋体"/>
                <w:i w:val="0"/>
                <w:iCs w:val="0"/>
                <w:color w:val="000000"/>
                <w:sz w:val="20"/>
                <w:szCs w:val="20"/>
                <w:u w:val="none"/>
              </w:rPr>
            </w:pPr>
          </w:p>
        </w:tc>
      </w:tr>
      <w:tr w14:paraId="0F4C2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4"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C08E3">
            <w:pPr>
              <w:jc w:val="center"/>
              <w:rPr>
                <w:rFonts w:hint="eastAsia" w:ascii="宋体" w:hAnsi="宋体" w:eastAsia="宋体" w:cs="宋体"/>
                <w:i w:val="0"/>
                <w:iCs w:val="0"/>
                <w:color w:val="000000"/>
                <w:sz w:val="20"/>
                <w:szCs w:val="20"/>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FCF58">
            <w:pPr>
              <w:jc w:val="center"/>
              <w:rPr>
                <w:rFonts w:hint="eastAsia" w:ascii="宋体" w:hAnsi="宋体" w:eastAsia="宋体" w:cs="宋体"/>
                <w:i w:val="0"/>
                <w:iCs w:val="0"/>
                <w:color w:val="000000"/>
                <w:sz w:val="20"/>
                <w:szCs w:val="20"/>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5C73B">
            <w:pPr>
              <w:jc w:val="center"/>
              <w:rPr>
                <w:rFonts w:hint="eastAsia" w:ascii="宋体" w:hAnsi="宋体" w:eastAsia="宋体" w:cs="宋体"/>
                <w:i w:val="0"/>
                <w:iCs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1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农产品质量安全重大事故</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7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4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D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案件数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A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0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1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53CF">
            <w:pPr>
              <w:jc w:val="center"/>
              <w:rPr>
                <w:rFonts w:hint="eastAsia" w:ascii="宋体" w:hAnsi="宋体" w:eastAsia="宋体" w:cs="宋体"/>
                <w:i w:val="0"/>
                <w:iCs w:val="0"/>
                <w:color w:val="000000"/>
                <w:sz w:val="20"/>
                <w:szCs w:val="20"/>
                <w:u w:val="none"/>
              </w:rPr>
            </w:pPr>
          </w:p>
        </w:tc>
      </w:tr>
      <w:tr w14:paraId="09C91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3FA29">
            <w:pPr>
              <w:jc w:val="center"/>
              <w:rPr>
                <w:rFonts w:hint="eastAsia" w:ascii="宋体" w:hAnsi="宋体" w:eastAsia="宋体" w:cs="宋体"/>
                <w:i w:val="0"/>
                <w:iCs w:val="0"/>
                <w:color w:val="000000"/>
                <w:sz w:val="20"/>
                <w:szCs w:val="20"/>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94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E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C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区域内新型经营主体和</w:t>
            </w:r>
            <w:r>
              <w:rPr>
                <w:rFonts w:hint="eastAsia" w:ascii="宋体" w:hAnsi="宋体" w:cs="宋体"/>
                <w:i w:val="0"/>
                <w:iCs w:val="0"/>
                <w:color w:val="000000"/>
                <w:kern w:val="0"/>
                <w:sz w:val="20"/>
                <w:szCs w:val="20"/>
                <w:u w:val="none"/>
                <w:lang w:val="en-US" w:eastAsia="zh-CN" w:bidi="ar"/>
              </w:rPr>
              <w:t>服务对象</w:t>
            </w:r>
            <w:bookmarkStart w:id="67" w:name="_GoBack"/>
            <w:bookmarkEnd w:id="67"/>
            <w:r>
              <w:rPr>
                <w:rFonts w:hint="eastAsia" w:ascii="宋体" w:hAnsi="宋体" w:eastAsia="宋体" w:cs="宋体"/>
                <w:i w:val="0"/>
                <w:iCs w:val="0"/>
                <w:color w:val="000000"/>
                <w:kern w:val="0"/>
                <w:sz w:val="20"/>
                <w:szCs w:val="20"/>
                <w:u w:val="none"/>
                <w:lang w:val="en-US" w:eastAsia="zh-CN" w:bidi="ar"/>
              </w:rPr>
              <w:t>满意度</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F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7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E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6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9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5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5D49">
            <w:pPr>
              <w:jc w:val="center"/>
              <w:rPr>
                <w:rFonts w:hint="eastAsia" w:ascii="宋体" w:hAnsi="宋体" w:eastAsia="宋体" w:cs="宋体"/>
                <w:i w:val="0"/>
                <w:iCs w:val="0"/>
                <w:color w:val="000000"/>
                <w:sz w:val="20"/>
                <w:szCs w:val="20"/>
                <w:u w:val="none"/>
              </w:rPr>
            </w:pPr>
          </w:p>
        </w:tc>
      </w:tr>
      <w:tr w14:paraId="24520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3" w:hRule="atLeast"/>
          <w:jc w:val="center"/>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9407C">
            <w:pPr>
              <w:jc w:val="center"/>
              <w:rPr>
                <w:rFonts w:hint="eastAsia" w:ascii="宋体" w:hAnsi="宋体" w:eastAsia="宋体" w:cs="宋体"/>
                <w:i w:val="0"/>
                <w:iCs w:val="0"/>
                <w:color w:val="000000"/>
                <w:sz w:val="20"/>
                <w:szCs w:val="20"/>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6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6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F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监测费用</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6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2C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2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9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912</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3D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0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A835">
            <w:pPr>
              <w:jc w:val="center"/>
              <w:rPr>
                <w:rFonts w:hint="eastAsia" w:ascii="宋体" w:hAnsi="宋体" w:eastAsia="宋体" w:cs="宋体"/>
                <w:i w:val="0"/>
                <w:iCs w:val="0"/>
                <w:color w:val="000000"/>
                <w:sz w:val="20"/>
                <w:szCs w:val="20"/>
                <w:u w:val="none"/>
              </w:rPr>
            </w:pPr>
          </w:p>
        </w:tc>
      </w:tr>
      <w:tr w14:paraId="7EFD2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635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A605D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3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14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AC9C">
            <w:pPr>
              <w:rPr>
                <w:rFonts w:hint="eastAsia" w:ascii="宋体" w:hAnsi="宋体" w:eastAsia="宋体" w:cs="宋体"/>
                <w:i w:val="0"/>
                <w:iCs w:val="0"/>
                <w:color w:val="000000"/>
                <w:sz w:val="20"/>
                <w:szCs w:val="20"/>
                <w:u w:val="none"/>
              </w:rPr>
            </w:pPr>
          </w:p>
        </w:tc>
      </w:tr>
      <w:tr w14:paraId="52178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E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评价结论</w:t>
            </w:r>
          </w:p>
        </w:tc>
        <w:tc>
          <w:tcPr>
            <w:tcW w:w="79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1C118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该项目自评为91分。项目实施结果与项目目标一致，社会认可度高，社会效益好，达到项目实施的相关要求。</w:t>
            </w:r>
          </w:p>
        </w:tc>
      </w:tr>
      <w:tr w14:paraId="7EB80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4"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0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存在问题</w:t>
            </w:r>
          </w:p>
        </w:tc>
        <w:tc>
          <w:tcPr>
            <w:tcW w:w="79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7BF26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是项目监测的覆盖面不够。大竹县人口数量大，地域面积广大，监督抽查不能覆盖大竹所辖的全部乡镇。二是与其它的项目的衔接性不够。农产品质量安全检验检测属于最后“体检”环节，与化学农药减量化行动和兽用抗菌药使用减量化行动等项目的整体衔接不够。三是项目实施进度不能稳定。农产品质量安全检验检测，需要大量的实验检测试剂和耗材，不能及时支付相应的费用，造成抽取样品的实验检测时间滞后。</w:t>
            </w:r>
          </w:p>
        </w:tc>
      </w:tr>
      <w:tr w14:paraId="63ACC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1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改进措施</w:t>
            </w:r>
          </w:p>
        </w:tc>
        <w:tc>
          <w:tcPr>
            <w:tcW w:w="79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90602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是进一步高度重视，落实项目实施的管理责任；二是进一步强化汇报协调，按时按质完成监测任务；三是进一步有序组织，科学、系统性开展监测采样；四是进一步加快资金拨付，保障农产品质量安全监测工作顺利开展。</w:t>
            </w:r>
          </w:p>
        </w:tc>
      </w:tr>
      <w:tr w14:paraId="08901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42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527484">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项目负责人：董真魁</w:t>
            </w:r>
          </w:p>
        </w:tc>
        <w:tc>
          <w:tcPr>
            <w:tcW w:w="43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86F3B9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财务负责人：杨嘉伟</w:t>
            </w:r>
          </w:p>
        </w:tc>
      </w:tr>
    </w:tbl>
    <w:p w14:paraId="6C1E4529">
      <w:pPr>
        <w:pStyle w:val="13"/>
        <w:spacing w:line="560" w:lineRule="exact"/>
        <w:ind w:left="0" w:leftChars="0" w:firstLine="0" w:firstLineChars="0"/>
        <w:rPr>
          <w:rFonts w:hint="default" w:eastAsia="宋体"/>
          <w:sz w:val="32"/>
          <w:lang w:val="en-US" w:eastAsia="zh-CN"/>
        </w:rPr>
      </w:pPr>
      <w:r>
        <w:rPr>
          <w:rFonts w:hint="eastAsia"/>
          <w:sz w:val="32"/>
          <w:lang w:val="en-US" w:eastAsia="zh-CN"/>
        </w:rPr>
        <w:t>附件2</w:t>
      </w:r>
    </w:p>
    <w:tbl>
      <w:tblPr>
        <w:tblStyle w:val="14"/>
        <w:tblW w:w="8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1247"/>
        <w:gridCol w:w="937"/>
        <w:gridCol w:w="1091"/>
        <w:gridCol w:w="416"/>
        <w:gridCol w:w="797"/>
        <w:gridCol w:w="416"/>
        <w:gridCol w:w="916"/>
        <w:gridCol w:w="516"/>
        <w:gridCol w:w="416"/>
        <w:gridCol w:w="1372"/>
      </w:tblGrid>
      <w:tr w14:paraId="36B31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87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E0E3198">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348F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ED7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8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4A47C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51172422T000007081439-农产品质量安全定量检测经费</w:t>
            </w:r>
          </w:p>
        </w:tc>
      </w:tr>
      <w:tr w14:paraId="78251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jc w:val="center"/>
        </w:trPr>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D81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6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C35B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大竹县农产品质量安全监督检验检测站部门</w:t>
            </w:r>
          </w:p>
        </w:tc>
        <w:tc>
          <w:tcPr>
            <w:tcW w:w="879" w:type="dxa"/>
            <w:tcBorders>
              <w:top w:val="nil"/>
              <w:left w:val="nil"/>
              <w:bottom w:val="nil"/>
              <w:right w:val="nil"/>
            </w:tcBorders>
            <w:shd w:val="clear" w:color="auto" w:fill="auto"/>
            <w:vAlign w:val="center"/>
          </w:tcPr>
          <w:p w14:paraId="32066E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 （盖章）</w:t>
            </w:r>
          </w:p>
        </w:tc>
        <w:tc>
          <w:tcPr>
            <w:tcW w:w="22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F9C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大竹县农产品质量安全监督检验检测站</w:t>
            </w:r>
          </w:p>
        </w:tc>
      </w:tr>
      <w:tr w14:paraId="545AC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3932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项目基本情况</w:t>
            </w: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EAC2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1.项目年度目标完成情况</w:t>
            </w:r>
          </w:p>
        </w:tc>
        <w:tc>
          <w:tcPr>
            <w:tcW w:w="36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5BE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项目年度目标</w:t>
            </w:r>
          </w:p>
        </w:tc>
        <w:tc>
          <w:tcPr>
            <w:tcW w:w="31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C85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年度目标完成情况</w:t>
            </w:r>
          </w:p>
        </w:tc>
      </w:tr>
      <w:tr w14:paraId="71BD1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jc w:val="center"/>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DC4D3">
            <w:pPr>
              <w:rPr>
                <w:rFonts w:hint="eastAsia" w:ascii="宋体" w:hAnsi="宋体" w:eastAsia="宋体" w:cs="宋体"/>
                <w:i w:val="0"/>
                <w:iCs w:val="0"/>
                <w:color w:val="000000"/>
                <w:sz w:val="20"/>
                <w:szCs w:val="20"/>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9ECA3">
            <w:pPr>
              <w:rPr>
                <w:rFonts w:hint="eastAsia" w:ascii="宋体" w:hAnsi="宋体" w:eastAsia="宋体" w:cs="宋体"/>
                <w:i w:val="0"/>
                <w:iCs w:val="0"/>
                <w:color w:val="000000"/>
                <w:sz w:val="20"/>
                <w:szCs w:val="20"/>
                <w:u w:val="none"/>
              </w:rPr>
            </w:pPr>
          </w:p>
        </w:tc>
        <w:tc>
          <w:tcPr>
            <w:tcW w:w="36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F109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承担省市下达我县食用农产品（含种植产品、畜禽产品、水产品）等共计860个批次样品的农产品质量安全风险监测任务。</w:t>
            </w:r>
          </w:p>
        </w:tc>
        <w:tc>
          <w:tcPr>
            <w:tcW w:w="31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32D8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对照年度目标，说明相关任务目标的完成情况（100字以内）</w:t>
            </w:r>
          </w:p>
        </w:tc>
      </w:tr>
      <w:tr w14:paraId="71BCF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2" w:hRule="atLeast"/>
          <w:jc w:val="center"/>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01411">
            <w:pPr>
              <w:rPr>
                <w:rFonts w:hint="eastAsia" w:ascii="宋体" w:hAnsi="宋体" w:eastAsia="宋体" w:cs="宋体"/>
                <w:i w:val="0"/>
                <w:iCs w:val="0"/>
                <w:color w:val="000000"/>
                <w:sz w:val="20"/>
                <w:szCs w:val="20"/>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88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2.项目实施内容及过程概述</w:t>
            </w:r>
          </w:p>
        </w:tc>
        <w:tc>
          <w:tcPr>
            <w:tcW w:w="68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001EE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内容为开展农产品质量安全风险监测1.0批次/千人定量抽检任务860个，检测种类为种植产品和畜禽产品。实施过程为2023年1-12月期间在大竹县行政辖区内31个乡镇（街道）开展种植产品和畜禽产品抽检工作，项目实施期间县农业农村局、县畜牧发展促进中心定期对我站开展业务指导和过程监管，我站定期向主管部门汇报监测情况，项目实施过程严格按照要求执行，资金使用无重大违规违纪问题，项目自评工作按各级相关要求开展。</w:t>
            </w:r>
          </w:p>
        </w:tc>
      </w:tr>
      <w:tr w14:paraId="6926F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412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预算执行情况（10分）</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0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年度预算数（万元）</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F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5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调整后预算数</w:t>
            </w:r>
          </w:p>
        </w:tc>
        <w:tc>
          <w:tcPr>
            <w:tcW w:w="16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5EC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预算执行数</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E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71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权重</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E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D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原因</w:t>
            </w:r>
          </w:p>
        </w:tc>
      </w:tr>
      <w:tr w14:paraId="67BA3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0EC9B">
            <w:pPr>
              <w:jc w:val="center"/>
              <w:rPr>
                <w:rFonts w:hint="eastAsia" w:ascii="宋体" w:hAnsi="宋体" w:eastAsia="宋体" w:cs="宋体"/>
                <w:i w:val="0"/>
                <w:iCs w:val="0"/>
                <w:color w:val="000000"/>
                <w:sz w:val="20"/>
                <w:szCs w:val="20"/>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4A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总额</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5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C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67.95</w:t>
            </w:r>
          </w:p>
        </w:tc>
        <w:tc>
          <w:tcPr>
            <w:tcW w:w="16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BB1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67.95</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3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9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5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05C8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18CE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6637B">
            <w:pPr>
              <w:jc w:val="center"/>
              <w:rPr>
                <w:rFonts w:hint="eastAsia" w:ascii="宋体" w:hAnsi="宋体" w:eastAsia="宋体" w:cs="宋体"/>
                <w:i w:val="0"/>
                <w:iCs w:val="0"/>
                <w:color w:val="000000"/>
                <w:sz w:val="20"/>
                <w:szCs w:val="20"/>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B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5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C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67.95</w:t>
            </w:r>
          </w:p>
        </w:tc>
        <w:tc>
          <w:tcPr>
            <w:tcW w:w="16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5B9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67.95</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7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5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2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C9E8D">
            <w:pPr>
              <w:rPr>
                <w:rFonts w:hint="eastAsia" w:ascii="宋体" w:hAnsi="宋体" w:eastAsia="宋体" w:cs="宋体"/>
                <w:i w:val="0"/>
                <w:iCs w:val="0"/>
                <w:color w:val="000000"/>
                <w:sz w:val="20"/>
                <w:szCs w:val="20"/>
                <w:u w:val="none"/>
              </w:rPr>
            </w:pPr>
          </w:p>
        </w:tc>
      </w:tr>
      <w:tr w14:paraId="7916E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E51EE">
            <w:pPr>
              <w:jc w:val="center"/>
              <w:rPr>
                <w:rFonts w:hint="eastAsia" w:ascii="宋体" w:hAnsi="宋体" w:eastAsia="宋体" w:cs="宋体"/>
                <w:i w:val="0"/>
                <w:iCs w:val="0"/>
                <w:color w:val="000000"/>
                <w:sz w:val="20"/>
                <w:szCs w:val="20"/>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A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7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9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A27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4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C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0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C6D2F">
            <w:pPr>
              <w:rPr>
                <w:rFonts w:hint="eastAsia" w:ascii="宋体" w:hAnsi="宋体" w:eastAsia="宋体" w:cs="宋体"/>
                <w:i w:val="0"/>
                <w:iCs w:val="0"/>
                <w:color w:val="000000"/>
                <w:sz w:val="20"/>
                <w:szCs w:val="20"/>
                <w:u w:val="none"/>
              </w:rPr>
            </w:pPr>
          </w:p>
        </w:tc>
      </w:tr>
      <w:tr w14:paraId="6D90C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330C5">
            <w:pPr>
              <w:jc w:val="center"/>
              <w:rPr>
                <w:rFonts w:hint="eastAsia" w:ascii="宋体" w:hAnsi="宋体" w:eastAsia="宋体" w:cs="宋体"/>
                <w:i w:val="0"/>
                <w:iCs w:val="0"/>
                <w:color w:val="000000"/>
                <w:sz w:val="20"/>
                <w:szCs w:val="20"/>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61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0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9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2FA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8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9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D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15AB0">
            <w:pPr>
              <w:rPr>
                <w:rFonts w:hint="eastAsia" w:ascii="宋体" w:hAnsi="宋体" w:eastAsia="宋体" w:cs="宋体"/>
                <w:i w:val="0"/>
                <w:iCs w:val="0"/>
                <w:color w:val="000000"/>
                <w:sz w:val="20"/>
                <w:szCs w:val="20"/>
                <w:u w:val="none"/>
              </w:rPr>
            </w:pPr>
          </w:p>
        </w:tc>
      </w:tr>
      <w:tr w14:paraId="6592D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2" w:hRule="atLeast"/>
          <w:jc w:val="center"/>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864E1">
            <w:pPr>
              <w:jc w:val="center"/>
              <w:rPr>
                <w:rFonts w:hint="eastAsia" w:ascii="宋体" w:hAnsi="宋体" w:eastAsia="宋体" w:cs="宋体"/>
                <w:i w:val="0"/>
                <w:iCs w:val="0"/>
                <w:color w:val="000000"/>
                <w:sz w:val="20"/>
                <w:szCs w:val="20"/>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48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D86F">
            <w:pPr>
              <w:jc w:val="center"/>
              <w:rPr>
                <w:rFonts w:hint="eastAsia" w:ascii="宋体" w:hAnsi="宋体" w:eastAsia="宋体" w:cs="宋体"/>
                <w:i w:val="0"/>
                <w:iCs w:val="0"/>
                <w:color w:val="000000"/>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4737">
            <w:pPr>
              <w:jc w:val="center"/>
              <w:rPr>
                <w:rFonts w:hint="eastAsia" w:ascii="宋体" w:hAnsi="宋体" w:eastAsia="宋体" w:cs="宋体"/>
                <w:i w:val="0"/>
                <w:iCs w:val="0"/>
                <w:color w:val="000000"/>
                <w:sz w:val="20"/>
                <w:szCs w:val="20"/>
                <w:u w:val="none"/>
              </w:rPr>
            </w:pPr>
          </w:p>
        </w:tc>
        <w:tc>
          <w:tcPr>
            <w:tcW w:w="16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0B3C21">
            <w:pPr>
              <w:jc w:val="center"/>
              <w:rPr>
                <w:rFonts w:hint="eastAsia" w:ascii="宋体" w:hAnsi="宋体" w:eastAsia="宋体" w:cs="宋体"/>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7F1C">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2A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9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9C117">
            <w:pPr>
              <w:rPr>
                <w:rFonts w:hint="eastAsia" w:ascii="宋体" w:hAnsi="宋体" w:eastAsia="宋体" w:cs="宋体"/>
                <w:i w:val="0"/>
                <w:iCs w:val="0"/>
                <w:color w:val="000000"/>
                <w:sz w:val="20"/>
                <w:szCs w:val="20"/>
                <w:u w:val="none"/>
              </w:rPr>
            </w:pPr>
          </w:p>
        </w:tc>
      </w:tr>
      <w:tr w14:paraId="41AA8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jc w:val="center"/>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A449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绩效指标（90分）</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E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9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4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4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指标性质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E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0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度量单位</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6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完成值</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6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权重</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8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F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未完成原因分析</w:t>
            </w:r>
          </w:p>
        </w:tc>
      </w:tr>
      <w:tr w14:paraId="28A23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jc w:val="center"/>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A1547">
            <w:pPr>
              <w:jc w:val="center"/>
              <w:rPr>
                <w:rFonts w:hint="eastAsia" w:ascii="宋体" w:hAnsi="宋体" w:eastAsia="宋体" w:cs="宋体"/>
                <w:i w:val="0"/>
                <w:iCs w:val="0"/>
                <w:color w:val="000000"/>
                <w:sz w:val="20"/>
                <w:szCs w:val="20"/>
                <w:u w:val="none"/>
              </w:rPr>
            </w:pP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908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5F0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E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农产品质量安全检测数量</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4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8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860</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D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1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0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9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B9A8">
            <w:pPr>
              <w:jc w:val="center"/>
              <w:rPr>
                <w:rFonts w:hint="eastAsia" w:ascii="宋体" w:hAnsi="宋体" w:eastAsia="宋体" w:cs="宋体"/>
                <w:i w:val="0"/>
                <w:iCs w:val="0"/>
                <w:color w:val="000000"/>
                <w:sz w:val="20"/>
                <w:szCs w:val="20"/>
                <w:u w:val="none"/>
              </w:rPr>
            </w:pPr>
          </w:p>
        </w:tc>
      </w:tr>
      <w:tr w14:paraId="24DB9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AAD1B">
            <w:pPr>
              <w:jc w:val="center"/>
              <w:rPr>
                <w:rFonts w:hint="eastAsia" w:ascii="宋体" w:hAnsi="宋体" w:eastAsia="宋体" w:cs="宋体"/>
                <w:i w:val="0"/>
                <w:iCs w:val="0"/>
                <w:color w:val="000000"/>
                <w:sz w:val="20"/>
                <w:szCs w:val="20"/>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793BD">
            <w:pPr>
              <w:jc w:val="center"/>
              <w:rPr>
                <w:rFonts w:hint="eastAsia" w:ascii="宋体" w:hAnsi="宋体" w:eastAsia="宋体" w:cs="宋体"/>
                <w:i w:val="0"/>
                <w:iCs w:val="0"/>
                <w:color w:val="000000"/>
                <w:sz w:val="20"/>
                <w:szCs w:val="20"/>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73E42">
            <w:pPr>
              <w:jc w:val="center"/>
              <w:rPr>
                <w:rFonts w:hint="eastAsia" w:ascii="宋体" w:hAnsi="宋体" w:eastAsia="宋体" w:cs="宋体"/>
                <w:i w:val="0"/>
                <w:iCs w:val="0"/>
                <w:color w:val="000000"/>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1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农产品质量安全抽样</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E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7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860</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1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1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F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C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DA8A">
            <w:pPr>
              <w:jc w:val="center"/>
              <w:rPr>
                <w:rFonts w:hint="eastAsia" w:ascii="宋体" w:hAnsi="宋体" w:eastAsia="宋体" w:cs="宋体"/>
                <w:i w:val="0"/>
                <w:iCs w:val="0"/>
                <w:color w:val="000000"/>
                <w:sz w:val="20"/>
                <w:szCs w:val="20"/>
                <w:u w:val="none"/>
              </w:rPr>
            </w:pPr>
          </w:p>
        </w:tc>
      </w:tr>
      <w:tr w14:paraId="79E72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1" w:hRule="atLeast"/>
          <w:jc w:val="center"/>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B335E">
            <w:pPr>
              <w:jc w:val="center"/>
              <w:rPr>
                <w:rFonts w:hint="eastAsia" w:ascii="宋体" w:hAnsi="宋体" w:eastAsia="宋体" w:cs="宋体"/>
                <w:i w:val="0"/>
                <w:iCs w:val="0"/>
                <w:color w:val="000000"/>
                <w:sz w:val="20"/>
                <w:szCs w:val="20"/>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92B56">
            <w:pPr>
              <w:jc w:val="center"/>
              <w:rPr>
                <w:rFonts w:hint="eastAsia" w:ascii="宋体" w:hAnsi="宋体" w:eastAsia="宋体" w:cs="宋体"/>
                <w:i w:val="0"/>
                <w:iCs w:val="0"/>
                <w:color w:val="000000"/>
                <w:sz w:val="20"/>
                <w:szCs w:val="20"/>
                <w:u w:val="none"/>
              </w:rPr>
            </w:pP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7ED9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3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指导农户安全生产，农产品质量安全抽检合格率</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F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C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2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7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95.30%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6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1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D19A">
            <w:pPr>
              <w:jc w:val="center"/>
              <w:rPr>
                <w:rFonts w:hint="eastAsia" w:ascii="宋体" w:hAnsi="宋体" w:eastAsia="宋体" w:cs="宋体"/>
                <w:i w:val="0"/>
                <w:iCs w:val="0"/>
                <w:color w:val="000000"/>
                <w:sz w:val="20"/>
                <w:szCs w:val="20"/>
                <w:u w:val="none"/>
              </w:rPr>
            </w:pPr>
          </w:p>
        </w:tc>
      </w:tr>
      <w:tr w14:paraId="56BDF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E3B32">
            <w:pPr>
              <w:jc w:val="center"/>
              <w:rPr>
                <w:rFonts w:hint="eastAsia" w:ascii="宋体" w:hAnsi="宋体" w:eastAsia="宋体" w:cs="宋体"/>
                <w:i w:val="0"/>
                <w:iCs w:val="0"/>
                <w:color w:val="000000"/>
                <w:sz w:val="20"/>
                <w:szCs w:val="20"/>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1B6D8">
            <w:pPr>
              <w:jc w:val="center"/>
              <w:rPr>
                <w:rFonts w:hint="eastAsia" w:ascii="宋体" w:hAnsi="宋体" w:eastAsia="宋体" w:cs="宋体"/>
                <w:i w:val="0"/>
                <w:iCs w:val="0"/>
                <w:color w:val="000000"/>
                <w:sz w:val="20"/>
                <w:szCs w:val="20"/>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B9096">
            <w:pPr>
              <w:jc w:val="center"/>
              <w:rPr>
                <w:rFonts w:hint="eastAsia" w:ascii="宋体" w:hAnsi="宋体" w:eastAsia="宋体" w:cs="宋体"/>
                <w:i w:val="0"/>
                <w:iCs w:val="0"/>
                <w:color w:val="000000"/>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5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检测报告准确率</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D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8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46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C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8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6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69A5">
            <w:pPr>
              <w:jc w:val="center"/>
              <w:rPr>
                <w:rFonts w:hint="eastAsia" w:ascii="宋体" w:hAnsi="宋体" w:eastAsia="宋体" w:cs="宋体"/>
                <w:i w:val="0"/>
                <w:iCs w:val="0"/>
                <w:color w:val="000000"/>
                <w:sz w:val="20"/>
                <w:szCs w:val="20"/>
                <w:u w:val="none"/>
              </w:rPr>
            </w:pPr>
          </w:p>
        </w:tc>
      </w:tr>
      <w:tr w14:paraId="66E8E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jc w:val="center"/>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DDEA1">
            <w:pPr>
              <w:jc w:val="center"/>
              <w:rPr>
                <w:rFonts w:hint="eastAsia" w:ascii="宋体" w:hAnsi="宋体" w:eastAsia="宋体" w:cs="宋体"/>
                <w:i w:val="0"/>
                <w:iCs w:val="0"/>
                <w:color w:val="000000"/>
                <w:sz w:val="20"/>
                <w:szCs w:val="20"/>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74FE7">
            <w:pPr>
              <w:jc w:val="center"/>
              <w:rPr>
                <w:rFonts w:hint="eastAsia" w:ascii="宋体" w:hAnsi="宋体" w:eastAsia="宋体" w:cs="宋体"/>
                <w:i w:val="0"/>
                <w:iCs w:val="0"/>
                <w:color w:val="000000"/>
                <w:sz w:val="20"/>
                <w:szCs w:val="20"/>
                <w:u w:val="none"/>
              </w:rPr>
            </w:pP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C2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8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农产品抽样、检测工作及时率</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4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E7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0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E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C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A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C3C6">
            <w:pPr>
              <w:jc w:val="center"/>
              <w:rPr>
                <w:rFonts w:hint="eastAsia" w:ascii="宋体" w:hAnsi="宋体" w:eastAsia="宋体" w:cs="宋体"/>
                <w:i w:val="0"/>
                <w:iCs w:val="0"/>
                <w:color w:val="000000"/>
                <w:sz w:val="20"/>
                <w:szCs w:val="20"/>
                <w:u w:val="none"/>
              </w:rPr>
            </w:pPr>
          </w:p>
        </w:tc>
      </w:tr>
      <w:tr w14:paraId="3B279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jc w:val="center"/>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286B6">
            <w:pPr>
              <w:jc w:val="center"/>
              <w:rPr>
                <w:rFonts w:hint="eastAsia" w:ascii="宋体" w:hAnsi="宋体" w:eastAsia="宋体" w:cs="宋体"/>
                <w:i w:val="0"/>
                <w:iCs w:val="0"/>
                <w:color w:val="000000"/>
                <w:sz w:val="20"/>
                <w:szCs w:val="20"/>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DF97C">
            <w:pPr>
              <w:jc w:val="center"/>
              <w:rPr>
                <w:rFonts w:hint="eastAsia" w:ascii="宋体" w:hAnsi="宋体" w:eastAsia="宋体" w:cs="宋体"/>
                <w:i w:val="0"/>
                <w:iCs w:val="0"/>
                <w:color w:val="000000"/>
                <w:sz w:val="20"/>
                <w:szCs w:val="20"/>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D3030">
            <w:pPr>
              <w:jc w:val="center"/>
              <w:rPr>
                <w:rFonts w:hint="eastAsia" w:ascii="宋体" w:hAnsi="宋体" w:eastAsia="宋体" w:cs="宋体"/>
                <w:i w:val="0"/>
                <w:iCs w:val="0"/>
                <w:color w:val="000000"/>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C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农产品抽样、检测时限</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F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C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5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月</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C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2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EB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DD10">
            <w:pPr>
              <w:jc w:val="center"/>
              <w:rPr>
                <w:rFonts w:hint="eastAsia" w:ascii="宋体" w:hAnsi="宋体" w:eastAsia="宋体" w:cs="宋体"/>
                <w:i w:val="0"/>
                <w:iCs w:val="0"/>
                <w:color w:val="000000"/>
                <w:sz w:val="20"/>
                <w:szCs w:val="20"/>
                <w:u w:val="none"/>
              </w:rPr>
            </w:pPr>
          </w:p>
        </w:tc>
      </w:tr>
      <w:tr w14:paraId="74105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jc w:val="center"/>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E240A">
            <w:pPr>
              <w:jc w:val="center"/>
              <w:rPr>
                <w:rFonts w:hint="eastAsia" w:ascii="宋体" w:hAnsi="宋体" w:eastAsia="宋体" w:cs="宋体"/>
                <w:i w:val="0"/>
                <w:iCs w:val="0"/>
                <w:color w:val="000000"/>
                <w:sz w:val="20"/>
                <w:szCs w:val="20"/>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0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9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E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重大农产品安全事故为0</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0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5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6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6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6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4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20C6">
            <w:pPr>
              <w:jc w:val="center"/>
              <w:rPr>
                <w:rFonts w:hint="eastAsia" w:ascii="宋体" w:hAnsi="宋体" w:eastAsia="宋体" w:cs="宋体"/>
                <w:i w:val="0"/>
                <w:iCs w:val="0"/>
                <w:color w:val="000000"/>
                <w:sz w:val="20"/>
                <w:szCs w:val="20"/>
                <w:u w:val="none"/>
              </w:rPr>
            </w:pPr>
          </w:p>
        </w:tc>
      </w:tr>
      <w:tr w14:paraId="0AEAD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jc w:val="center"/>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4BBD3">
            <w:pPr>
              <w:jc w:val="center"/>
              <w:rPr>
                <w:rFonts w:hint="eastAsia" w:ascii="宋体" w:hAnsi="宋体" w:eastAsia="宋体" w:cs="宋体"/>
                <w:i w:val="0"/>
                <w:iCs w:val="0"/>
                <w:color w:val="000000"/>
                <w:sz w:val="20"/>
                <w:szCs w:val="20"/>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8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D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4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3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4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E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8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4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C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A237">
            <w:pPr>
              <w:jc w:val="center"/>
              <w:rPr>
                <w:rFonts w:hint="eastAsia" w:ascii="宋体" w:hAnsi="宋体" w:eastAsia="宋体" w:cs="宋体"/>
                <w:i w:val="0"/>
                <w:iCs w:val="0"/>
                <w:color w:val="000000"/>
                <w:sz w:val="20"/>
                <w:szCs w:val="20"/>
                <w:u w:val="none"/>
              </w:rPr>
            </w:pPr>
          </w:p>
        </w:tc>
      </w:tr>
      <w:tr w14:paraId="5981B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jc w:val="center"/>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FDAAB">
            <w:pPr>
              <w:jc w:val="center"/>
              <w:rPr>
                <w:rFonts w:hint="eastAsia" w:ascii="宋体" w:hAnsi="宋体" w:eastAsia="宋体" w:cs="宋体"/>
                <w:i w:val="0"/>
                <w:iCs w:val="0"/>
                <w:color w:val="000000"/>
                <w:sz w:val="20"/>
                <w:szCs w:val="20"/>
                <w:u w:val="none"/>
              </w:rPr>
            </w:pP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29E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862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D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种植产品540个样品费</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4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05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8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元/个</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FE9C">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5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E6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9EA7">
            <w:pPr>
              <w:jc w:val="center"/>
              <w:rPr>
                <w:rFonts w:hint="eastAsia" w:ascii="宋体" w:hAnsi="宋体" w:eastAsia="宋体" w:cs="宋体"/>
                <w:i w:val="0"/>
                <w:iCs w:val="0"/>
                <w:color w:val="000000"/>
                <w:sz w:val="20"/>
                <w:szCs w:val="20"/>
                <w:u w:val="none"/>
              </w:rPr>
            </w:pPr>
          </w:p>
        </w:tc>
      </w:tr>
      <w:tr w14:paraId="2174C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jc w:val="center"/>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2B4C3">
            <w:pPr>
              <w:jc w:val="center"/>
              <w:rPr>
                <w:rFonts w:hint="eastAsia" w:ascii="宋体" w:hAnsi="宋体" w:eastAsia="宋体" w:cs="宋体"/>
                <w:i w:val="0"/>
                <w:iCs w:val="0"/>
                <w:color w:val="000000"/>
                <w:sz w:val="20"/>
                <w:szCs w:val="20"/>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4DD41">
            <w:pPr>
              <w:jc w:val="center"/>
              <w:rPr>
                <w:rFonts w:hint="eastAsia" w:ascii="宋体" w:hAnsi="宋体" w:eastAsia="宋体" w:cs="宋体"/>
                <w:i w:val="0"/>
                <w:iCs w:val="0"/>
                <w:color w:val="000000"/>
                <w:sz w:val="20"/>
                <w:szCs w:val="20"/>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994F3">
            <w:pPr>
              <w:jc w:val="center"/>
              <w:rPr>
                <w:rFonts w:hint="eastAsia" w:ascii="宋体" w:hAnsi="宋体" w:eastAsia="宋体" w:cs="宋体"/>
                <w:i w:val="0"/>
                <w:iCs w:val="0"/>
                <w:color w:val="000000"/>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7C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药品试剂耗材（检测数量900个）</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6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B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E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元/个</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A045">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1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C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1D09">
            <w:pPr>
              <w:jc w:val="center"/>
              <w:rPr>
                <w:rFonts w:hint="eastAsia" w:ascii="宋体" w:hAnsi="宋体" w:eastAsia="宋体" w:cs="宋体"/>
                <w:i w:val="0"/>
                <w:iCs w:val="0"/>
                <w:color w:val="000000"/>
                <w:sz w:val="20"/>
                <w:szCs w:val="20"/>
                <w:u w:val="none"/>
              </w:rPr>
            </w:pPr>
          </w:p>
        </w:tc>
      </w:tr>
      <w:tr w14:paraId="735EC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jc w:val="center"/>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7127B">
            <w:pPr>
              <w:jc w:val="center"/>
              <w:rPr>
                <w:rFonts w:hint="eastAsia" w:ascii="宋体" w:hAnsi="宋体" w:eastAsia="宋体" w:cs="宋体"/>
                <w:i w:val="0"/>
                <w:iCs w:val="0"/>
                <w:color w:val="000000"/>
                <w:sz w:val="20"/>
                <w:szCs w:val="20"/>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DAD45">
            <w:pPr>
              <w:jc w:val="center"/>
              <w:rPr>
                <w:rFonts w:hint="eastAsia" w:ascii="宋体" w:hAnsi="宋体" w:eastAsia="宋体" w:cs="宋体"/>
                <w:i w:val="0"/>
                <w:iCs w:val="0"/>
                <w:color w:val="000000"/>
                <w:sz w:val="20"/>
                <w:szCs w:val="20"/>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89C1E">
            <w:pPr>
              <w:jc w:val="center"/>
              <w:rPr>
                <w:rFonts w:hint="eastAsia" w:ascii="宋体" w:hAnsi="宋体" w:eastAsia="宋体" w:cs="宋体"/>
                <w:i w:val="0"/>
                <w:iCs w:val="0"/>
                <w:color w:val="000000"/>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F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实验室用电</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E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7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1416</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E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元/月</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6F73">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3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7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17B0">
            <w:pPr>
              <w:jc w:val="center"/>
              <w:rPr>
                <w:rFonts w:hint="eastAsia" w:ascii="宋体" w:hAnsi="宋体" w:eastAsia="宋体" w:cs="宋体"/>
                <w:i w:val="0"/>
                <w:iCs w:val="0"/>
                <w:color w:val="000000"/>
                <w:sz w:val="20"/>
                <w:szCs w:val="20"/>
                <w:u w:val="none"/>
              </w:rPr>
            </w:pPr>
          </w:p>
        </w:tc>
      </w:tr>
      <w:tr w14:paraId="62F72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jc w:val="center"/>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89038">
            <w:pPr>
              <w:jc w:val="center"/>
              <w:rPr>
                <w:rFonts w:hint="eastAsia" w:ascii="宋体" w:hAnsi="宋体" w:eastAsia="宋体" w:cs="宋体"/>
                <w:i w:val="0"/>
                <w:iCs w:val="0"/>
                <w:color w:val="000000"/>
                <w:sz w:val="20"/>
                <w:szCs w:val="20"/>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8FD59">
            <w:pPr>
              <w:jc w:val="center"/>
              <w:rPr>
                <w:rFonts w:hint="eastAsia" w:ascii="宋体" w:hAnsi="宋体" w:eastAsia="宋体" w:cs="宋体"/>
                <w:i w:val="0"/>
                <w:iCs w:val="0"/>
                <w:color w:val="000000"/>
                <w:sz w:val="20"/>
                <w:szCs w:val="20"/>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760E1">
            <w:pPr>
              <w:jc w:val="center"/>
              <w:rPr>
                <w:rFonts w:hint="eastAsia" w:ascii="宋体" w:hAnsi="宋体" w:eastAsia="宋体" w:cs="宋体"/>
                <w:i w:val="0"/>
                <w:iCs w:val="0"/>
                <w:color w:val="000000"/>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A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畜禽产品360个样品费</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0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4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87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元/个</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CABB">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3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D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D20D">
            <w:pPr>
              <w:jc w:val="center"/>
              <w:rPr>
                <w:rFonts w:hint="eastAsia" w:ascii="宋体" w:hAnsi="宋体" w:eastAsia="宋体" w:cs="宋体"/>
                <w:i w:val="0"/>
                <w:iCs w:val="0"/>
                <w:color w:val="000000"/>
                <w:sz w:val="20"/>
                <w:szCs w:val="20"/>
                <w:u w:val="none"/>
              </w:rPr>
            </w:pPr>
          </w:p>
        </w:tc>
      </w:tr>
      <w:tr w14:paraId="5CEDB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jc w:val="center"/>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ED516">
            <w:pPr>
              <w:jc w:val="center"/>
              <w:rPr>
                <w:rFonts w:hint="eastAsia" w:ascii="宋体" w:hAnsi="宋体" w:eastAsia="宋体" w:cs="宋体"/>
                <w:i w:val="0"/>
                <w:iCs w:val="0"/>
                <w:color w:val="000000"/>
                <w:sz w:val="20"/>
                <w:szCs w:val="20"/>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54A6D">
            <w:pPr>
              <w:jc w:val="center"/>
              <w:rPr>
                <w:rFonts w:hint="eastAsia" w:ascii="宋体" w:hAnsi="宋体" w:eastAsia="宋体" w:cs="宋体"/>
                <w:i w:val="0"/>
                <w:iCs w:val="0"/>
                <w:color w:val="000000"/>
                <w:sz w:val="20"/>
                <w:szCs w:val="20"/>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546CA">
            <w:pPr>
              <w:jc w:val="center"/>
              <w:rPr>
                <w:rFonts w:hint="eastAsia" w:ascii="宋体" w:hAnsi="宋体" w:eastAsia="宋体" w:cs="宋体"/>
                <w:i w:val="0"/>
                <w:iCs w:val="0"/>
                <w:color w:val="000000"/>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C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印刷费</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4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8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0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元/个</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C5F0">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C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1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1DB5">
            <w:pPr>
              <w:jc w:val="center"/>
              <w:rPr>
                <w:rFonts w:hint="eastAsia" w:ascii="宋体" w:hAnsi="宋体" w:eastAsia="宋体" w:cs="宋体"/>
                <w:i w:val="0"/>
                <w:iCs w:val="0"/>
                <w:color w:val="000000"/>
                <w:sz w:val="20"/>
                <w:szCs w:val="20"/>
                <w:u w:val="none"/>
              </w:rPr>
            </w:pPr>
          </w:p>
        </w:tc>
      </w:tr>
      <w:tr w14:paraId="71E76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jc w:val="center"/>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819FB">
            <w:pPr>
              <w:jc w:val="center"/>
              <w:rPr>
                <w:rFonts w:hint="eastAsia" w:ascii="宋体" w:hAnsi="宋体" w:eastAsia="宋体" w:cs="宋体"/>
                <w:i w:val="0"/>
                <w:iCs w:val="0"/>
                <w:color w:val="000000"/>
                <w:sz w:val="20"/>
                <w:szCs w:val="20"/>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83A59">
            <w:pPr>
              <w:jc w:val="center"/>
              <w:rPr>
                <w:rFonts w:hint="eastAsia" w:ascii="宋体" w:hAnsi="宋体" w:eastAsia="宋体" w:cs="宋体"/>
                <w:i w:val="0"/>
                <w:iCs w:val="0"/>
                <w:color w:val="000000"/>
                <w:sz w:val="20"/>
                <w:szCs w:val="20"/>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54217">
            <w:pPr>
              <w:jc w:val="center"/>
              <w:rPr>
                <w:rFonts w:hint="eastAsia" w:ascii="宋体" w:hAnsi="宋体" w:eastAsia="宋体" w:cs="宋体"/>
                <w:i w:val="0"/>
                <w:iCs w:val="0"/>
                <w:color w:val="000000"/>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9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40台仪器设备检定校准费</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6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8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C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AF2D">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C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4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1778">
            <w:pPr>
              <w:jc w:val="center"/>
              <w:rPr>
                <w:rFonts w:hint="eastAsia" w:ascii="宋体" w:hAnsi="宋体" w:eastAsia="宋体" w:cs="宋体"/>
                <w:i w:val="0"/>
                <w:iCs w:val="0"/>
                <w:color w:val="000000"/>
                <w:sz w:val="20"/>
                <w:szCs w:val="20"/>
                <w:u w:val="none"/>
              </w:rPr>
            </w:pPr>
          </w:p>
        </w:tc>
      </w:tr>
      <w:tr w14:paraId="64DE5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jc w:val="center"/>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5C97E">
            <w:pPr>
              <w:jc w:val="center"/>
              <w:rPr>
                <w:rFonts w:hint="eastAsia" w:ascii="宋体" w:hAnsi="宋体" w:eastAsia="宋体" w:cs="宋体"/>
                <w:i w:val="0"/>
                <w:iCs w:val="0"/>
                <w:color w:val="000000"/>
                <w:sz w:val="20"/>
                <w:szCs w:val="20"/>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AFEB8">
            <w:pPr>
              <w:jc w:val="center"/>
              <w:rPr>
                <w:rFonts w:hint="eastAsia" w:ascii="宋体" w:hAnsi="宋体" w:eastAsia="宋体" w:cs="宋体"/>
                <w:i w:val="0"/>
                <w:iCs w:val="0"/>
                <w:color w:val="000000"/>
                <w:sz w:val="20"/>
                <w:szCs w:val="20"/>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E5B3A">
            <w:pPr>
              <w:jc w:val="center"/>
              <w:rPr>
                <w:rFonts w:hint="eastAsia" w:ascii="宋体" w:hAnsi="宋体" w:eastAsia="宋体" w:cs="宋体"/>
                <w:i w:val="0"/>
                <w:iCs w:val="0"/>
                <w:color w:val="000000"/>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4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5台大型仪器设备维修维护费</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4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C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7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DE53">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A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D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C4EA">
            <w:pPr>
              <w:jc w:val="center"/>
              <w:rPr>
                <w:rFonts w:hint="eastAsia" w:ascii="宋体" w:hAnsi="宋体" w:eastAsia="宋体" w:cs="宋体"/>
                <w:i w:val="0"/>
                <w:iCs w:val="0"/>
                <w:color w:val="000000"/>
                <w:sz w:val="20"/>
                <w:szCs w:val="20"/>
                <w:u w:val="none"/>
              </w:rPr>
            </w:pPr>
          </w:p>
        </w:tc>
      </w:tr>
      <w:tr w14:paraId="71346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jc w:val="center"/>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29B40">
            <w:pPr>
              <w:jc w:val="center"/>
              <w:rPr>
                <w:rFonts w:hint="eastAsia" w:ascii="宋体" w:hAnsi="宋体" w:eastAsia="宋体" w:cs="宋体"/>
                <w:i w:val="0"/>
                <w:iCs w:val="0"/>
                <w:color w:val="000000"/>
                <w:sz w:val="20"/>
                <w:szCs w:val="20"/>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610F2">
            <w:pPr>
              <w:jc w:val="center"/>
              <w:rPr>
                <w:rFonts w:hint="eastAsia" w:ascii="宋体" w:hAnsi="宋体" w:eastAsia="宋体" w:cs="宋体"/>
                <w:i w:val="0"/>
                <w:iCs w:val="0"/>
                <w:color w:val="000000"/>
                <w:sz w:val="20"/>
                <w:szCs w:val="20"/>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5C2BA">
            <w:pPr>
              <w:jc w:val="center"/>
              <w:rPr>
                <w:rFonts w:hint="eastAsia" w:ascii="宋体" w:hAnsi="宋体" w:eastAsia="宋体" w:cs="宋体"/>
                <w:i w:val="0"/>
                <w:iCs w:val="0"/>
                <w:color w:val="000000"/>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F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900个样品抽样费</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C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A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1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元/个</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4770">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D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3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F3CA">
            <w:pPr>
              <w:jc w:val="center"/>
              <w:rPr>
                <w:rFonts w:hint="eastAsia" w:ascii="宋体" w:hAnsi="宋体" w:eastAsia="宋体" w:cs="宋体"/>
                <w:i w:val="0"/>
                <w:iCs w:val="0"/>
                <w:color w:val="000000"/>
                <w:sz w:val="20"/>
                <w:szCs w:val="20"/>
                <w:u w:val="none"/>
              </w:rPr>
            </w:pPr>
          </w:p>
        </w:tc>
      </w:tr>
      <w:tr w14:paraId="258F9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44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63A3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2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CC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48A8">
            <w:pPr>
              <w:rPr>
                <w:rFonts w:hint="eastAsia" w:ascii="宋体" w:hAnsi="宋体" w:eastAsia="宋体" w:cs="宋体"/>
                <w:i w:val="0"/>
                <w:iCs w:val="0"/>
                <w:color w:val="000000"/>
                <w:sz w:val="20"/>
                <w:szCs w:val="20"/>
                <w:u w:val="none"/>
              </w:rPr>
            </w:pPr>
          </w:p>
        </w:tc>
      </w:tr>
      <w:tr w14:paraId="0065B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2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评价结论</w:t>
            </w:r>
          </w:p>
        </w:tc>
        <w:tc>
          <w:tcPr>
            <w:tcW w:w="81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32B23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该项目考核分为100分，自评为92分。项目实施结果与项目目标一致，社会认可度高，社会效益好，达到项目实施的相关要求。</w:t>
            </w:r>
          </w:p>
        </w:tc>
      </w:tr>
      <w:tr w14:paraId="6F410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1" w:hRule="atLeast"/>
          <w:jc w:val="center"/>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9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存在问题</w:t>
            </w:r>
          </w:p>
        </w:tc>
        <w:tc>
          <w:tcPr>
            <w:tcW w:w="81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E261F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是排查工作不够全面，并未做到全乡镇完全覆盖。二是监测样本代表性不强，对家庭农场、“巴山食荟”用标企业、三品一标企业未做到全面监测。三是项目实施进度不能稳定。农产品质量安全检验检测，需要大量的实验检测试剂和耗材，不能及时支付相应的费用，造成抽取样品的实验检测时间滞后。</w:t>
            </w:r>
          </w:p>
        </w:tc>
      </w:tr>
      <w:tr w14:paraId="7B5E6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1" w:hRule="atLeast"/>
          <w:jc w:val="center"/>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E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改进措施</w:t>
            </w:r>
          </w:p>
        </w:tc>
        <w:tc>
          <w:tcPr>
            <w:tcW w:w="81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5F1E8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是进一步高度重视，落实项目实施的管理责任，完成区域内全覆盖抽检；二是加强地标性产品和代表性企业产品的监测力度，规范抽样环节，使抽样样本更具代表性，做到检测到“点”源头把控，守牢农产品质量关；三是进一步强化汇报协调，加快资金拨付，保障农产品质量安全监测工作顺利开展按时按质完成监测任务。</w:t>
            </w:r>
          </w:p>
        </w:tc>
      </w:tr>
      <w:tr w14:paraId="0B2C8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43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936A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项目负责人：董真魁</w:t>
            </w:r>
          </w:p>
        </w:tc>
        <w:tc>
          <w:tcPr>
            <w:tcW w:w="43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626B9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财务负责人：杨嘉伟</w:t>
            </w:r>
          </w:p>
        </w:tc>
      </w:tr>
    </w:tbl>
    <w:p w14:paraId="7F710E27">
      <w:pPr>
        <w:pStyle w:val="2"/>
        <w:spacing w:before="93"/>
        <w:rPr>
          <w:rFonts w:hAnsi="Calibri" w:cs="仿宋"/>
          <w:sz w:val="32"/>
          <w:szCs w:val="32"/>
        </w:rPr>
      </w:pPr>
    </w:p>
    <w:p w14:paraId="7966DEEB">
      <w:pPr>
        <w:pStyle w:val="2"/>
        <w:spacing w:before="93"/>
        <w:rPr>
          <w:rFonts w:hAnsi="Calibri" w:cs="仿宋"/>
          <w:sz w:val="32"/>
          <w:szCs w:val="32"/>
        </w:rPr>
      </w:pPr>
    </w:p>
    <w:p w14:paraId="3DD37E40">
      <w:pPr>
        <w:pStyle w:val="2"/>
        <w:spacing w:before="93"/>
        <w:rPr>
          <w:rFonts w:hAnsi="Calibri" w:cs="仿宋"/>
          <w:sz w:val="32"/>
          <w:szCs w:val="32"/>
        </w:rPr>
      </w:pPr>
    </w:p>
    <w:p w14:paraId="7E117EAC">
      <w:pPr>
        <w:pStyle w:val="2"/>
        <w:spacing w:before="93"/>
        <w:rPr>
          <w:rFonts w:hAnsi="Calibri" w:cs="仿宋"/>
          <w:sz w:val="32"/>
          <w:szCs w:val="32"/>
        </w:rPr>
      </w:pPr>
    </w:p>
    <w:p w14:paraId="01F8CF3B">
      <w:pPr>
        <w:pStyle w:val="2"/>
        <w:spacing w:before="93"/>
        <w:rPr>
          <w:rFonts w:hAnsi="Calibri" w:cs="仿宋"/>
          <w:sz w:val="32"/>
          <w:szCs w:val="32"/>
        </w:rPr>
      </w:pPr>
    </w:p>
    <w:p w14:paraId="759D914D">
      <w:pPr>
        <w:pStyle w:val="2"/>
        <w:spacing w:before="93"/>
        <w:rPr>
          <w:rFonts w:hAnsi="Calibri" w:cs="仿宋"/>
          <w:sz w:val="32"/>
          <w:szCs w:val="32"/>
        </w:rPr>
      </w:pPr>
    </w:p>
    <w:p w14:paraId="5554C2EF">
      <w:pPr>
        <w:pStyle w:val="2"/>
        <w:spacing w:before="93"/>
        <w:rPr>
          <w:rFonts w:hAnsi="Calibri" w:cs="仿宋"/>
          <w:sz w:val="32"/>
          <w:szCs w:val="32"/>
        </w:rPr>
      </w:pPr>
    </w:p>
    <w:p w14:paraId="1AF5AE15">
      <w:pPr>
        <w:pStyle w:val="2"/>
        <w:spacing w:before="93"/>
        <w:rPr>
          <w:rFonts w:hAnsi="Calibri" w:cs="仿宋"/>
          <w:sz w:val="32"/>
          <w:szCs w:val="32"/>
        </w:rPr>
      </w:pPr>
    </w:p>
    <w:p w14:paraId="0A4B896D">
      <w:pPr>
        <w:pStyle w:val="2"/>
        <w:spacing w:before="93"/>
        <w:rPr>
          <w:rFonts w:hAnsi="Calibri" w:cs="仿宋"/>
          <w:sz w:val="32"/>
          <w:szCs w:val="32"/>
        </w:rPr>
      </w:pPr>
    </w:p>
    <w:p w14:paraId="79D013E4">
      <w:pPr>
        <w:pStyle w:val="2"/>
        <w:spacing w:before="93"/>
        <w:rPr>
          <w:rFonts w:hAnsi="Calibri" w:cs="仿宋"/>
          <w:sz w:val="32"/>
          <w:szCs w:val="32"/>
        </w:rPr>
      </w:pPr>
    </w:p>
    <w:p w14:paraId="1D5D476B">
      <w:pPr>
        <w:pStyle w:val="2"/>
        <w:spacing w:before="93"/>
        <w:rPr>
          <w:rFonts w:hAnsi="Calibri" w:cs="仿宋"/>
          <w:sz w:val="32"/>
          <w:szCs w:val="32"/>
        </w:rPr>
      </w:pPr>
    </w:p>
    <w:p w14:paraId="1B7B825C">
      <w:pPr>
        <w:pStyle w:val="2"/>
        <w:spacing w:before="93"/>
        <w:rPr>
          <w:rFonts w:hAnsi="Calibri" w:cs="仿宋"/>
          <w:sz w:val="32"/>
          <w:szCs w:val="32"/>
        </w:rPr>
      </w:pPr>
    </w:p>
    <w:p w14:paraId="66727114">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1"/>
      <w:bookmarkEnd w:id="53"/>
      <w:bookmarkStart w:id="54" w:name="_Toc15396619"/>
    </w:p>
    <w:p w14:paraId="7474CB4A">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14:paraId="54B3E32C">
      <w:pPr>
        <w:pStyle w:val="4"/>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14:paraId="648BF778">
      <w:pPr>
        <w:pStyle w:val="4"/>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14:paraId="409895B6">
      <w:pPr>
        <w:pStyle w:val="4"/>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14:paraId="1BB82E6C">
      <w:pPr>
        <w:pStyle w:val="4"/>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14:paraId="6A63D776">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14:paraId="6FE89DA9">
      <w:pPr>
        <w:pStyle w:val="4"/>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14:paraId="2E2E681A">
      <w:pPr>
        <w:pStyle w:val="4"/>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14:paraId="4C84AB5D">
      <w:pPr>
        <w:pStyle w:val="4"/>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14:paraId="095D4F38">
      <w:pPr>
        <w:pStyle w:val="4"/>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55B3B34D">
      <w:pPr>
        <w:pStyle w:val="4"/>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7B737008">
      <w:pPr>
        <w:pStyle w:val="4"/>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14:paraId="2884DE43">
      <w:pPr>
        <w:pStyle w:val="4"/>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Arial">
    <w:panose1 w:val="020B0604020202020204"/>
    <w:charset w:val="00"/>
    <w:family w:val=""/>
    <w:pitch w:val="default"/>
    <w:sig w:usb0="E0002EFF" w:usb1="C000785B"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18BA445F">
        <w:pPr>
          <w:pStyle w:val="9"/>
          <w:jc w:val="center"/>
        </w:pPr>
        <w:r>
          <w:fldChar w:fldCharType="begin"/>
        </w:r>
        <w:r>
          <w:instrText xml:space="preserve">PAGE   \* MERGEFORMAT</w:instrText>
        </w:r>
        <w:r>
          <w:fldChar w:fldCharType="separate"/>
        </w:r>
        <w:r>
          <w:rPr>
            <w:lang w:val="zh-CN"/>
          </w:rPr>
          <w:t>15</w:t>
        </w:r>
        <w:r>
          <w:fldChar w:fldCharType="end"/>
        </w:r>
      </w:p>
    </w:sdtContent>
  </w:sdt>
  <w:p w14:paraId="5F80D078">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F86AD">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zODFkYzA5ODMwOTRiMzEwZDY0ZmFhZjUzYzdiMD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F24E47"/>
    <w:rsid w:val="03DC2831"/>
    <w:rsid w:val="081B5E94"/>
    <w:rsid w:val="0A2032A3"/>
    <w:rsid w:val="0B8A37D8"/>
    <w:rsid w:val="0F5FFB2F"/>
    <w:rsid w:val="0FFFCF60"/>
    <w:rsid w:val="10C055FF"/>
    <w:rsid w:val="118107EC"/>
    <w:rsid w:val="11DD6519"/>
    <w:rsid w:val="16BB723D"/>
    <w:rsid w:val="18015F3F"/>
    <w:rsid w:val="1BE8440E"/>
    <w:rsid w:val="1D155CEE"/>
    <w:rsid w:val="1FDBBF84"/>
    <w:rsid w:val="20F57F95"/>
    <w:rsid w:val="240371BF"/>
    <w:rsid w:val="25711CC6"/>
    <w:rsid w:val="25C741E6"/>
    <w:rsid w:val="276F80C0"/>
    <w:rsid w:val="27842671"/>
    <w:rsid w:val="29FD04D3"/>
    <w:rsid w:val="2ABE7A3E"/>
    <w:rsid w:val="2AFF09B6"/>
    <w:rsid w:val="2C9C7C22"/>
    <w:rsid w:val="2CA234A8"/>
    <w:rsid w:val="2EFA178C"/>
    <w:rsid w:val="2EFDF86C"/>
    <w:rsid w:val="2F9D17E1"/>
    <w:rsid w:val="30B46D73"/>
    <w:rsid w:val="319F7F4E"/>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8BF60AB"/>
    <w:rsid w:val="493C27E9"/>
    <w:rsid w:val="496F39ED"/>
    <w:rsid w:val="49FF41D3"/>
    <w:rsid w:val="4BE068DB"/>
    <w:rsid w:val="4BF6002B"/>
    <w:rsid w:val="4BFFC6BE"/>
    <w:rsid w:val="4ECE2238"/>
    <w:rsid w:val="51DB4B86"/>
    <w:rsid w:val="51F64DB0"/>
    <w:rsid w:val="55333C3E"/>
    <w:rsid w:val="59EF3692"/>
    <w:rsid w:val="5F50697F"/>
    <w:rsid w:val="5F67802D"/>
    <w:rsid w:val="5F7DC4F2"/>
    <w:rsid w:val="5FB36814"/>
    <w:rsid w:val="5FBB8E56"/>
    <w:rsid w:val="5FFB5535"/>
    <w:rsid w:val="64004C57"/>
    <w:rsid w:val="64CA39A1"/>
    <w:rsid w:val="69630ADE"/>
    <w:rsid w:val="69BD5F13"/>
    <w:rsid w:val="69FB0B4B"/>
    <w:rsid w:val="6BFFE1FB"/>
    <w:rsid w:val="6C4A05C8"/>
    <w:rsid w:val="6D3B1A89"/>
    <w:rsid w:val="6DB7D8A3"/>
    <w:rsid w:val="6EC78701"/>
    <w:rsid w:val="6F7A5481"/>
    <w:rsid w:val="6FFE07A9"/>
    <w:rsid w:val="71BF4EC2"/>
    <w:rsid w:val="72734D90"/>
    <w:rsid w:val="73811F90"/>
    <w:rsid w:val="73E75B71"/>
    <w:rsid w:val="7412278C"/>
    <w:rsid w:val="75DDCDA9"/>
    <w:rsid w:val="75FF44B1"/>
    <w:rsid w:val="77670518"/>
    <w:rsid w:val="777FA627"/>
    <w:rsid w:val="77DF1B5F"/>
    <w:rsid w:val="77EF2D9D"/>
    <w:rsid w:val="787342CA"/>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2023&#24180;&#20915;&#31639;&#20844;&#24320;&#22270;&#34920;&#27169;&#26495;.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2023&#24180;&#20915;&#31639;&#20844;&#24320;&#22270;&#34920;&#27169;&#26495;.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2023&#24180;&#20915;&#31639;&#20844;&#24320;&#22270;&#34920;&#27169;&#26495;.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esktop\2023&#24180;&#20915;&#31639;&#20844;&#24320;&#22270;&#34920;&#27169;&#26495;.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esktop\2023&#24180;&#20915;&#31639;&#20844;&#24320;&#22270;&#34920;&#27169;&#26495;.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esktop\2023&#24180;&#20915;&#31639;&#20844;&#24320;&#22270;&#34920;&#27169;&#26495;.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Desktop\2023&#24180;&#20915;&#31639;&#20844;&#24320;&#22270;&#34920;&#27169;&#2649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收、支决算总计变动情况图（单位：万元）</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[2023年决算公开图表模板.xls]决算公开图!$A$3</c:f>
              <c:strCache>
                <c:ptCount val="1"/>
                <c:pt idx="0">
                  <c:v>2022年</c:v>
                </c:pt>
              </c:strCache>
            </c:strRef>
          </c:tx>
          <c:spPr>
            <a:solidFill>
              <a:schemeClr val="accent4">
                <a:lumMod val="60000"/>
                <a:lumOff val="40000"/>
              </a:schemeClr>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[2023年决算公开图表模板.xls]决算公开图!$B$2:$C$2</c:f>
              <c:strCache>
                <c:ptCount val="2"/>
                <c:pt idx="0">
                  <c:v>收入总计</c:v>
                </c:pt>
                <c:pt idx="1">
                  <c:v>支出总计</c:v>
                </c:pt>
              </c:strCache>
            </c:strRef>
          </c:cat>
          <c:val>
            <c:numRef>
              <c:f>[2023年决算公开图表模板.xls]决算公开图!$B$3:$C$3</c:f>
              <c:numCache>
                <c:formatCode>General</c:formatCode>
                <c:ptCount val="2"/>
                <c:pt idx="0">
                  <c:v>182.73</c:v>
                </c:pt>
                <c:pt idx="1">
                  <c:v>182.73</c:v>
                </c:pt>
              </c:numCache>
            </c:numRef>
          </c:val>
        </c:ser>
        <c:ser>
          <c:idx val="1"/>
          <c:order val="1"/>
          <c:tx>
            <c:strRef>
              <c:f>[2023年决算公开图表模板.xls]决算公开图!$A$4</c:f>
              <c:strCache>
                <c:ptCount val="1"/>
                <c:pt idx="0">
                  <c:v>2023年</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[2023年决算公开图表模板.xls]决算公开图!$B$2:$C$2</c:f>
              <c:strCache>
                <c:ptCount val="2"/>
                <c:pt idx="0">
                  <c:v>收入总计</c:v>
                </c:pt>
                <c:pt idx="1">
                  <c:v>支出总计</c:v>
                </c:pt>
              </c:strCache>
            </c:strRef>
          </c:cat>
          <c:val>
            <c:numRef>
              <c:f>[2023年决算公开图表模板.xls]决算公开图!$B$4:$C$4</c:f>
              <c:numCache>
                <c:formatCode>General</c:formatCode>
                <c:ptCount val="2"/>
                <c:pt idx="0">
                  <c:v>329.74</c:v>
                </c:pt>
                <c:pt idx="1">
                  <c:v>329.74</c:v>
                </c:pt>
              </c:numCache>
            </c:numRef>
          </c:val>
        </c:ser>
        <c:dLbls>
          <c:showLegendKey val="0"/>
          <c:showVal val="0"/>
          <c:showCatName val="0"/>
          <c:showSerName val="0"/>
          <c:showPercent val="0"/>
          <c:showBubbleSize val="0"/>
        </c:dLbls>
        <c:gapWidth val="219"/>
        <c:overlap val="-27"/>
        <c:axId val="486410281"/>
        <c:axId val="619400172"/>
      </c:barChart>
      <c:catAx>
        <c:axId val="486410281"/>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9400172"/>
        <c:crosses val="autoZero"/>
        <c:auto val="1"/>
        <c:lblAlgn val="ctr"/>
        <c:lblOffset val="100"/>
        <c:noMultiLvlLbl val="0"/>
      </c:catAx>
      <c:valAx>
        <c:axId val="6194001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6410281"/>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extLst>
      <c:ext uri="{0b15fc19-7d7d-44ad-8c2d-2c3a37ce22c3}">
        <chartProps xmlns="https://web.wps.cn/et/2018/main" chartId="{d2cc2518-5fa6-4171-89e3-f719c66742c4}"/>
      </c:ext>
    </c:extLst>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0"/>
    </a:gra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收入决算结构图（单位：万元）</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explosion val="0"/>
          <c:dPt>
            <c:idx val="0"/>
            <c:bubble3D val="0"/>
            <c:explosion val="0"/>
            <c:spPr>
              <a:solidFill>
                <a:schemeClr val="accent2"/>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Pt>
            <c:idx val="4"/>
            <c:bubble3D val="0"/>
            <c:explosion val="0"/>
            <c:spPr>
              <a:solidFill>
                <a:schemeClr val="accent5"/>
              </a:solidFill>
              <a:ln w="19050">
                <a:solidFill>
                  <a:schemeClr val="lt1"/>
                </a:solidFill>
              </a:ln>
              <a:effectLst/>
            </c:spPr>
          </c:dPt>
          <c:dPt>
            <c:idx val="5"/>
            <c:bubble3D val="0"/>
            <c:explosion val="0"/>
            <c:spPr>
              <a:solidFill>
                <a:schemeClr val="accent6"/>
              </a:solidFill>
              <a:ln w="19050">
                <a:solidFill>
                  <a:schemeClr val="lt1"/>
                </a:solidFill>
              </a:ln>
              <a:effectLst/>
            </c:spPr>
          </c:dPt>
          <c:dPt>
            <c:idx val="6"/>
            <c:bubble3D val="0"/>
            <c:explosion val="0"/>
            <c:spPr>
              <a:solidFill>
                <a:schemeClr val="accent4">
                  <a:lumMod val="60000"/>
                  <a:lumOff val="40000"/>
                </a:schemeClr>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[2023年决算公开图表模板.xls]决算公开图!$A$25:$A$31</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其他收入</c:v>
                </c:pt>
              </c:strCache>
            </c:strRef>
          </c:cat>
          <c:val>
            <c:numRef>
              <c:f>[2023年决算公开图表模板.xls]决算公开图!$B$25:$B$31</c:f>
              <c:numCache>
                <c:formatCode>0%</c:formatCode>
                <c:ptCount val="7"/>
                <c:pt idx="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455"/>
          <c:y val="0.1775"/>
          <c:w val="0.333"/>
          <c:h val="0.7637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ce0cf2a-006c-48df-9900-0885c43d164c}"/>
      </c:ext>
    </c:extLst>
  </c:chart>
  <c:spPr>
    <a:solidFill>
      <a:schemeClr val="accent2">
        <a:lumMod val="40000"/>
        <a:lumOff val="60000"/>
      </a:schemeClr>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支出决算结构图（单位：万元）</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explosion val="0"/>
          <c:dPt>
            <c:idx val="0"/>
            <c:bubble3D val="0"/>
            <c:explosion val="0"/>
            <c:spPr>
              <a:solidFill>
                <a:schemeClr val="accent4">
                  <a:lumMod val="60000"/>
                  <a:lumOff val="40000"/>
                </a:schemeClr>
              </a:solidFill>
              <a:ln w="19050">
                <a:solidFill>
                  <a:schemeClr val="lt1"/>
                </a:solidFill>
              </a:ln>
              <a:effectLst/>
            </c:spPr>
          </c:dPt>
          <c:dPt>
            <c:idx val="1"/>
            <c:bubble3D val="0"/>
            <c:explosion val="0"/>
            <c:spPr>
              <a:solidFill>
                <a:schemeClr val="accent2">
                  <a:lumMod val="60000"/>
                  <a:lumOff val="40000"/>
                </a:schemeClr>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Pt>
            <c:idx val="4"/>
            <c:bubble3D val="0"/>
            <c:explosion val="0"/>
            <c:spPr>
              <a:solidFill>
                <a:schemeClr val="accent5"/>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[2023年决算公开图表模板.xls]决算公开图!$A$38:$A$42</c:f>
              <c:strCache>
                <c:ptCount val="5"/>
                <c:pt idx="0">
                  <c:v>基本支出</c:v>
                </c:pt>
                <c:pt idx="1">
                  <c:v>项目支出</c:v>
                </c:pt>
                <c:pt idx="2">
                  <c:v>上缴上级支出</c:v>
                </c:pt>
                <c:pt idx="3">
                  <c:v>经营支出</c:v>
                </c:pt>
                <c:pt idx="4">
                  <c:v>对附属单位补助支出</c:v>
                </c:pt>
              </c:strCache>
            </c:strRef>
          </c:cat>
          <c:val>
            <c:numRef>
              <c:f>[2023年决算公开图表模板.xls]决算公开图!$B$38:$B$42</c:f>
              <c:numCache>
                <c:formatCode>0%</c:formatCode>
                <c:ptCount val="5"/>
                <c:pt idx="0">
                  <c:v>0.7276</c:v>
                </c:pt>
                <c:pt idx="1">
                  <c:v>0.2723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755"/>
          <c:y val="0.36275"/>
          <c:w val="0.305"/>
          <c:h val="0.377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bc0dd84-0c63-4574-93a0-0c1ec92b5be6}"/>
      </c:ext>
    </c:extLst>
  </c:chart>
  <c:spPr>
    <a:solidFill>
      <a:schemeClr val="accent4">
        <a:lumMod val="20000"/>
        <a:lumOff val="80000"/>
      </a:schemeClr>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财政拨款收、支决算总计变动情况    </a:t>
            </a:r>
            <a:endParaRPr sz="1400" b="0" i="0" u="none" strike="noStrike" baseline="0">
              <a:solidFill>
                <a:srgbClr val="333333"/>
              </a:solidFill>
              <a:latin typeface="宋体" panose="02010600030101010101" charset="-122"/>
              <a:ea typeface="宋体" panose="02010600030101010101" charset="-122"/>
              <a:cs typeface="宋体" panose="0201060003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（单位：万元）</a:t>
            </a:r>
            <a:endParaRPr sz="1000" b="0" i="0" u="none" strike="noStrike" baseline="0">
              <a:solidFill>
                <a:srgbClr val="000000"/>
              </a:solidFill>
              <a:latin typeface="Arial" panose="020B0604020202020204" pitchFamily="7" charset="0"/>
              <a:ea typeface="Arial" panose="020B0604020202020204" pitchFamily="7" charset="0"/>
              <a:cs typeface="Arial" panose="020B0604020202020204" pitchFamily="7" charset="0"/>
            </a:endParaRPr>
          </a:p>
        </c:rich>
      </c:tx>
      <c:layout/>
      <c:overlay val="0"/>
      <c:spPr>
        <a:noFill/>
        <a:ln>
          <a:noFill/>
        </a:ln>
        <a:effectLst/>
      </c:spPr>
    </c:title>
    <c:autoTitleDeleted val="0"/>
    <c:plotArea>
      <c:layout/>
      <c:barChart>
        <c:barDir val="col"/>
        <c:grouping val="clustered"/>
        <c:varyColors val="0"/>
        <c:ser>
          <c:idx val="0"/>
          <c:order val="0"/>
          <c:tx>
            <c:strRef>
              <c:f>[2023年决算公开图表模板.xls]决算公开图!$A$53</c:f>
              <c:strCache>
                <c:ptCount val="1"/>
                <c:pt idx="0">
                  <c:v>财政拨款收入</c:v>
                </c:pt>
              </c:strCache>
            </c:strRef>
          </c:tx>
          <c:spPr>
            <a:solidFill>
              <a:schemeClr val="accent4">
                <a:lumMod val="40000"/>
                <a:lumOff val="60000"/>
              </a:schemeClr>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[2023年决算公开图表模板.xls]决算公开图!$B$52:$C$52</c:f>
              <c:strCache>
                <c:ptCount val="2"/>
                <c:pt idx="0">
                  <c:v>2022年</c:v>
                </c:pt>
                <c:pt idx="1">
                  <c:v>2023年</c:v>
                </c:pt>
              </c:strCache>
            </c:strRef>
          </c:cat>
          <c:val>
            <c:numRef>
              <c:f>[2023年决算公开图表模板.xls]决算公开图!$B$53:$C$53</c:f>
              <c:numCache>
                <c:formatCode>0.00_ </c:formatCode>
                <c:ptCount val="2"/>
                <c:pt idx="0">
                  <c:v>158.25</c:v>
                </c:pt>
                <c:pt idx="1">
                  <c:v>287.65</c:v>
                </c:pt>
              </c:numCache>
            </c:numRef>
          </c:val>
        </c:ser>
        <c:ser>
          <c:idx val="1"/>
          <c:order val="1"/>
          <c:tx>
            <c:strRef>
              <c:f>[2023年决算公开图表模板.xls]决算公开图!$A$54</c:f>
              <c:strCache>
                <c:ptCount val="1"/>
                <c:pt idx="0">
                  <c:v>财政拨款支出</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[2023年决算公开图表模板.xls]决算公开图!$B$52:$C$52</c:f>
              <c:strCache>
                <c:ptCount val="2"/>
                <c:pt idx="0">
                  <c:v>2022年</c:v>
                </c:pt>
                <c:pt idx="1">
                  <c:v>2023年</c:v>
                </c:pt>
              </c:strCache>
            </c:strRef>
          </c:cat>
          <c:val>
            <c:numRef>
              <c:f>[2023年决算公开图表模板.xls]决算公开图!$B$54:$C$54</c:f>
              <c:numCache>
                <c:formatCode>0.00_ </c:formatCode>
                <c:ptCount val="2"/>
                <c:pt idx="0">
                  <c:v>158.25</c:v>
                </c:pt>
                <c:pt idx="1">
                  <c:v>287.65</c:v>
                </c:pt>
              </c:numCache>
            </c:numRef>
          </c:val>
        </c:ser>
        <c:dLbls>
          <c:showLegendKey val="0"/>
          <c:showVal val="0"/>
          <c:showCatName val="0"/>
          <c:showSerName val="0"/>
          <c:showPercent val="0"/>
          <c:showBubbleSize val="0"/>
        </c:dLbls>
        <c:gapWidth val="219"/>
        <c:overlap val="-27"/>
        <c:axId val="809125186"/>
        <c:axId val="892761762"/>
      </c:barChart>
      <c:catAx>
        <c:axId val="80912518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2761762"/>
        <c:crosses val="autoZero"/>
        <c:auto val="1"/>
        <c:lblAlgn val="ctr"/>
        <c:lblOffset val="100"/>
        <c:noMultiLvlLbl val="0"/>
      </c:catAx>
      <c:valAx>
        <c:axId val="89276176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_ "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9125186"/>
        <c:crosses val="autoZero"/>
        <c:crossBetween val="between"/>
      </c:valAx>
      <c:spPr>
        <a:noFill/>
        <a:ln>
          <a:noFill/>
        </a:ln>
        <a:effectLst/>
      </c:spPr>
    </c:plotArea>
    <c:legend>
      <c:legendPos val="b"/>
      <c:layout>
        <c:manualLayout>
          <c:xMode val="edge"/>
          <c:yMode val="edge"/>
          <c:x val="0.31325"/>
          <c:y val="0.895"/>
          <c:w val="0.37325"/>
          <c:h val="0.07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6ebdae3-891a-44af-887c-8370a6247398}"/>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一般公共预算财政拨款支出决算变动情况</a:t>
            </a:r>
            <a:endParaRPr sz="1400" b="0" i="0" u="none" strike="noStrike" baseline="0">
              <a:solidFill>
                <a:srgbClr val="333333"/>
              </a:solidFill>
              <a:latin typeface="宋体" panose="02010600030101010101" charset="-122"/>
              <a:ea typeface="宋体" panose="02010600030101010101" charset="-122"/>
              <a:cs typeface="宋体" panose="0201060003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（单位：万元）</a:t>
            </a:r>
            <a:endParaRPr sz="1000" b="0" i="0" u="none" strike="noStrike" baseline="0">
              <a:solidFill>
                <a:srgbClr val="000000"/>
              </a:solidFill>
              <a:latin typeface="Arial" panose="020B0604020202020204" pitchFamily="7" charset="0"/>
              <a:ea typeface="Arial" panose="020B0604020202020204" pitchFamily="7" charset="0"/>
              <a:cs typeface="Arial" panose="020B0604020202020204" pitchFamily="7" charset="0"/>
            </a:endParaRPr>
          </a:p>
        </c:rich>
      </c:tx>
      <c:layout>
        <c:manualLayout>
          <c:xMode val="edge"/>
          <c:yMode val="edge"/>
          <c:x val="0.148472222222222"/>
          <c:y val="0.0138888888888889"/>
        </c:manualLayout>
      </c:layout>
      <c:overlay val="0"/>
      <c:spPr>
        <a:noFill/>
        <a:ln>
          <a:noFill/>
        </a:ln>
        <a:effectLst/>
      </c:spPr>
    </c:title>
    <c:autoTitleDeleted val="0"/>
    <c:plotArea>
      <c:layout>
        <c:manualLayout>
          <c:layoutTarget val="inner"/>
          <c:xMode val="edge"/>
          <c:yMode val="edge"/>
          <c:x val="0.128006567245861"/>
          <c:y val="0.278175092478422"/>
          <c:w val="0.734081269667533"/>
          <c:h val="0.609963008631319"/>
        </c:manualLayout>
      </c:layout>
      <c:barChart>
        <c:barDir val="col"/>
        <c:grouping val="clustered"/>
        <c:varyColors val="0"/>
        <c:ser>
          <c:idx val="0"/>
          <c:order val="0"/>
          <c:spPr>
            <a:solidFill>
              <a:schemeClr val="accent1">
                <a:lumMod val="60000"/>
                <a:lumOff val="40000"/>
              </a:schemeClr>
            </a:solidFill>
            <a:ln>
              <a:noFill/>
            </a:ln>
            <a:effectLst/>
          </c:spPr>
          <c:invertIfNegative val="0"/>
          <c:dPt>
            <c:idx val="0"/>
            <c:invertIfNegative val="0"/>
            <c:bubble3D val="0"/>
            <c:explosion val="0"/>
            <c:spPr>
              <a:solidFill>
                <a:schemeClr val="accent2">
                  <a:lumMod val="60000"/>
                  <a:lumOff val="40000"/>
                </a:schemeClr>
              </a:solidFill>
              <a:ln>
                <a:noFill/>
              </a:ln>
              <a:effectLst/>
            </c:spPr>
          </c:dPt>
          <c:dPt>
            <c:idx val="1"/>
            <c:invertIfNegative val="0"/>
            <c:bubble3D val="0"/>
            <c:explosion val="0"/>
            <c:spPr>
              <a:solidFill>
                <a:schemeClr val="accent4">
                  <a:lumMod val="60000"/>
                  <a:lumOff val="40000"/>
                </a:schemeClr>
              </a:solidFill>
              <a:ln>
                <a:no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[2023年决算公开图表模板.xls]决算公开图!$A$74:$A$75</c:f>
              <c:strCache>
                <c:ptCount val="2"/>
                <c:pt idx="0">
                  <c:v>2022年</c:v>
                </c:pt>
                <c:pt idx="1">
                  <c:v>2023年</c:v>
                </c:pt>
              </c:strCache>
            </c:strRef>
          </c:cat>
          <c:val>
            <c:numRef>
              <c:f>[2023年决算公开图表模板.xls]决算公开图!$B$74:$B$75</c:f>
              <c:numCache>
                <c:formatCode>0.00_ </c:formatCode>
                <c:ptCount val="2"/>
                <c:pt idx="0">
                  <c:v>181.3</c:v>
                </c:pt>
                <c:pt idx="1">
                  <c:v>328.51</c:v>
                </c:pt>
              </c:numCache>
            </c:numRef>
          </c:val>
        </c:ser>
        <c:dLbls>
          <c:showLegendKey val="0"/>
          <c:showVal val="0"/>
          <c:showCatName val="0"/>
          <c:showSerName val="0"/>
          <c:showPercent val="0"/>
          <c:showBubbleSize val="0"/>
        </c:dLbls>
        <c:gapWidth val="150"/>
        <c:overlap val="0"/>
        <c:axId val="63960495"/>
        <c:axId val="342424596"/>
      </c:barChart>
      <c:catAx>
        <c:axId val="63960495"/>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2424596"/>
        <c:crosses val="autoZero"/>
        <c:auto val="1"/>
        <c:lblAlgn val="ctr"/>
        <c:lblOffset val="100"/>
        <c:noMultiLvlLbl val="0"/>
      </c:catAx>
      <c:valAx>
        <c:axId val="34242459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_ "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960495"/>
        <c:crosses val="autoZero"/>
        <c:crossBetween val="between"/>
      </c:valAx>
      <c:spPr>
        <a:noFill/>
        <a:ln>
          <a:noFill/>
        </a:ln>
        <a:effectLst/>
      </c:spPr>
    </c:plotArea>
    <c:legend>
      <c:legendPos val="r"/>
      <c:layout>
        <c:manualLayout>
          <c:xMode val="edge"/>
          <c:yMode val="edge"/>
          <c:x val="0.86675"/>
          <c:y val="0.51325"/>
          <c:w val="0.11625"/>
          <c:h val="0.141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2f40524-ba06-4bc8-a8d6-d4f0cd3df945}"/>
      </c:ext>
    </c:extLst>
  </c:chart>
  <c:spPr>
    <a:no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一般公共预算财政拨款支出决算结构</a:t>
            </a:r>
            <a:endParaRPr sz="1400" b="0" i="0" u="none" strike="noStrike" baseline="0">
              <a:solidFill>
                <a:srgbClr val="333333"/>
              </a:solidFill>
              <a:latin typeface="宋体" panose="02010600030101010101" charset="-122"/>
              <a:ea typeface="宋体" panose="02010600030101010101" charset="-122"/>
              <a:cs typeface="宋体" panose="0201060003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a:t>
            </a:r>
            <a:r>
              <a:rPr altLang="en-US" sz="1400" b="0" i="0" u="none" strike="noStrike" baseline="0">
                <a:solidFill>
                  <a:srgbClr val="333333"/>
                </a:solidFill>
                <a:latin typeface="宋体" panose="02010600030101010101" charset="-122"/>
                <a:ea typeface="宋体" panose="02010600030101010101" charset="-122"/>
                <a:cs typeface="宋体" panose="02010600030101010101" charset="-122"/>
              </a:rPr>
              <a:t>单位：万元</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a:t>
            </a:r>
            <a:endParaRPr lang="en-US" altLang="zh-CN" sz="1000" b="0" i="0" u="none" strike="noStrike" baseline="0">
              <a:solidFill>
                <a:srgbClr val="000000"/>
              </a:solidFill>
              <a:latin typeface="Arial" panose="020B0604020202020204" pitchFamily="7" charset="0"/>
              <a:ea typeface="Arial" panose="020B0604020202020204" pitchFamily="7" charset="0"/>
              <a:cs typeface="Arial" panose="020B0604020202020204" pitchFamily="7" charset="0"/>
            </a:endParaRPr>
          </a:p>
        </c:rich>
      </c:tx>
      <c:layout>
        <c:manualLayout>
          <c:xMode val="edge"/>
          <c:yMode val="edge"/>
          <c:x val="0.174861111111111"/>
          <c:y val="0.0486111111111111"/>
        </c:manualLayout>
      </c:layout>
      <c:overlay val="0"/>
      <c:spPr>
        <a:noFill/>
        <a:ln>
          <a:noFill/>
        </a:ln>
        <a:effectLst/>
      </c:spPr>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[2023年决算公开图表模板.xls]决算公开图!$A$88:$A$91</c:f>
              <c:strCache>
                <c:ptCount val="4"/>
                <c:pt idx="0">
                  <c:v>农林水支出</c:v>
                </c:pt>
                <c:pt idx="1">
                  <c:v>社会保障和就业支出</c:v>
                </c:pt>
                <c:pt idx="2">
                  <c:v>卫生健康支出</c:v>
                </c:pt>
                <c:pt idx="3">
                  <c:v>住房保障支出</c:v>
                </c:pt>
              </c:strCache>
            </c:strRef>
          </c:cat>
          <c:val>
            <c:numRef>
              <c:f>[2023年决算公开图表模板.xls]决算公开图!$B$88:$B$91</c:f>
              <c:numCache>
                <c:formatCode>0.00%</c:formatCode>
                <c:ptCount val="4"/>
                <c:pt idx="0">
                  <c:v>0.866</c:v>
                </c:pt>
                <c:pt idx="1">
                  <c:v>0.0693</c:v>
                </c:pt>
                <c:pt idx="2">
                  <c:v>0.0198</c:v>
                </c:pt>
                <c:pt idx="3">
                  <c:v>0.0449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175"/>
          <c:y val="0.45"/>
          <c:w val="0.26575"/>
          <c:h val="0.26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f351508-6bc7-4bc9-a1c1-9de934eb6141}"/>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a:t>
            </a:r>
            <a:r>
              <a:rPr altLang="en-US" sz="1400" b="0" i="0" u="none" strike="noStrike" baseline="0">
                <a:solidFill>
                  <a:srgbClr val="333333"/>
                </a:solidFill>
                <a:latin typeface="宋体" panose="02010600030101010101" charset="-122"/>
                <a:ea typeface="宋体" panose="02010600030101010101" charset="-122"/>
                <a:cs typeface="宋体" panose="02010600030101010101" charset="-122"/>
              </a:rPr>
              <a:t>三公</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a:t>
            </a:r>
            <a:r>
              <a:rPr altLang="en-US" sz="1400" b="0" i="0" u="none" strike="noStrike" baseline="0">
                <a:solidFill>
                  <a:srgbClr val="333333"/>
                </a:solidFill>
                <a:latin typeface="宋体" panose="02010600030101010101" charset="-122"/>
                <a:ea typeface="宋体" panose="02010600030101010101" charset="-122"/>
                <a:cs typeface="宋体" panose="02010600030101010101" charset="-122"/>
              </a:rPr>
              <a:t>经费财政拨款支出结构</a:t>
            </a:r>
            <a:endParaRPr altLang="en-US" sz="1000" b="0" i="0" u="none" strike="noStrike" baseline="0">
              <a:solidFill>
                <a:srgbClr val="000000"/>
              </a:solidFill>
              <a:latin typeface="Arial" panose="020B0604020202020204" pitchFamily="7" charset="0"/>
              <a:ea typeface="Arial" panose="020B0604020202020204" pitchFamily="7" charset="0"/>
              <a:cs typeface="Arial" panose="020B0604020202020204" pitchFamily="7" charset="0"/>
            </a:endParaRPr>
          </a:p>
        </c:rich>
      </c:tx>
      <c:layout/>
      <c:overlay val="0"/>
      <c:spPr>
        <a:noFill/>
        <a:ln>
          <a:noFill/>
        </a:ln>
        <a:effectLst/>
      </c:spPr>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2"/>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[2023年决算公开图表模板.xls]决算公开图!$A$105:$A$107</c:f>
              <c:strCache>
                <c:ptCount val="3"/>
                <c:pt idx="0">
                  <c:v>因公出国（境）费</c:v>
                </c:pt>
                <c:pt idx="1">
                  <c:v>公务用车购置及运行维护费</c:v>
                </c:pt>
                <c:pt idx="2">
                  <c:v>公务接待费</c:v>
                </c:pt>
              </c:strCache>
            </c:strRef>
          </c:cat>
          <c:val>
            <c:numRef>
              <c:f>[2023年决算公开图表模板.xls]决算公开图!$B$105:$B$107</c:f>
              <c:numCache>
                <c:formatCode>0%</c:formatCode>
                <c:ptCount val="3"/>
                <c:pt idx="0">
                  <c:v>0</c:v>
                </c:pt>
                <c:pt idx="1">
                  <c:v>0</c:v>
                </c:pt>
                <c:pt idx="2">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5"/>
          <c:y val="0.4435"/>
          <c:w val="0.33325"/>
          <c:h val="0.2042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e14d761-deb6-444f-9644-5ddcd3bbfb2b}"/>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6308</Words>
  <Characters>7029</Characters>
  <Lines>54</Lines>
  <Paragraphs>15</Paragraphs>
  <TotalTime>93</TotalTime>
  <ScaleCrop>false</ScaleCrop>
  <LinksUpToDate>false</LinksUpToDate>
  <CharactersWithSpaces>7051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如枫1396072656</cp:lastModifiedBy>
  <cp:lastPrinted>2023-08-03T02:35:00Z</cp:lastPrinted>
  <dcterms:modified xsi:type="dcterms:W3CDTF">2024-10-23T06:55:18Z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D4EAE22120CE4EA9BAC8DAEA12BBB4EB_12</vt:lpwstr>
  </property>
</Properties>
</file>