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drawings/drawing6.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E2535">
      <w:pPr>
        <w:spacing w:line="600" w:lineRule="exact"/>
        <w:jc w:val="left"/>
        <w:outlineLvl w:val="9"/>
        <w:rPr>
          <w:rFonts w:ascii="方正小标宋简体" w:hAnsi="宋体" w:eastAsia="方正小标宋简体"/>
          <w:szCs w:val="21"/>
        </w:rPr>
      </w:pPr>
      <w:bookmarkStart w:id="0" w:name="_Toc15306267"/>
    </w:p>
    <w:p w14:paraId="3125776F">
      <w:pPr>
        <w:pStyle w:val="5"/>
        <w:spacing w:before="93"/>
      </w:pPr>
    </w:p>
    <w:p w14:paraId="35542672">
      <w:pPr>
        <w:spacing w:line="600" w:lineRule="exact"/>
        <w:jc w:val="center"/>
        <w:outlineLvl w:val="9"/>
        <w:rPr>
          <w:rFonts w:ascii="方正小标宋简体" w:hAnsi="宋体" w:eastAsia="方正小标宋简体"/>
          <w:sz w:val="72"/>
          <w:szCs w:val="72"/>
        </w:rPr>
      </w:pPr>
    </w:p>
    <w:p w14:paraId="46F11ECD">
      <w:pPr>
        <w:spacing w:line="600" w:lineRule="exact"/>
        <w:jc w:val="center"/>
        <w:outlineLvl w:val="9"/>
        <w:rPr>
          <w:rFonts w:ascii="方正小标宋简体" w:hAnsi="宋体" w:eastAsia="方正小标宋简体"/>
          <w:sz w:val="72"/>
          <w:szCs w:val="72"/>
        </w:rPr>
      </w:pPr>
    </w:p>
    <w:bookmarkEnd w:id="0"/>
    <w:p w14:paraId="057B8973">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8303"/>
      <w:bookmarkStart w:id="3" w:name="_Toc15396597"/>
      <w:bookmarkStart w:id="4" w:name="_Toc15377193"/>
      <w:bookmarkStart w:id="5" w:name="_Toc15396475"/>
      <w:bookmarkStart w:id="6" w:name="_Toc17864"/>
      <w:bookmarkStart w:id="7" w:name="_Toc15378441"/>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3</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bookmarkEnd w:id="6"/>
      <w:bookmarkEnd w:id="7"/>
    </w:p>
    <w:p w14:paraId="1A0C4747">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8" w:name="_Toc11115"/>
      <w:bookmarkStart w:id="9" w:name="_Toc15377194"/>
      <w:bookmarkStart w:id="10" w:name="_Toc15306268"/>
      <w:bookmarkStart w:id="11" w:name="_Toc15396476"/>
      <w:bookmarkStart w:id="12" w:name="_Toc8338"/>
      <w:bookmarkStart w:id="13" w:name="_Toc15396598"/>
      <w:bookmarkStart w:id="14" w:name="_Toc15378442"/>
      <w:bookmarkStart w:id="15" w:name="_Toc15377426"/>
      <w:r>
        <w:rPr>
          <w:rFonts w:hint="eastAsia" w:ascii="方正小标宋简体" w:hAnsi="方正小标宋简体" w:eastAsia="方正小标宋简体" w:cs="方正小标宋简体"/>
          <w:sz w:val="72"/>
          <w:szCs w:val="72"/>
        </w:rPr>
        <w:t>大竹县中华乡中心小学</w:t>
      </w:r>
    </w:p>
    <w:p w14:paraId="2D12E8F1">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8"/>
      <w:bookmarkEnd w:id="9"/>
      <w:bookmarkEnd w:id="10"/>
      <w:bookmarkEnd w:id="11"/>
      <w:bookmarkEnd w:id="12"/>
      <w:bookmarkEnd w:id="13"/>
      <w:bookmarkEnd w:id="14"/>
      <w:bookmarkEnd w:id="15"/>
    </w:p>
    <w:p w14:paraId="35D3FC7F">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5C775531">
      <w:pPr>
        <w:widowControl/>
        <w:jc w:val="center"/>
        <w:rPr>
          <w:rFonts w:ascii="黑体" w:hAnsi="黑体" w:eastAsia="黑体"/>
          <w:sz w:val="48"/>
          <w:szCs w:val="48"/>
        </w:rPr>
      </w:pPr>
      <w:r>
        <w:rPr>
          <w:rFonts w:hint="eastAsia" w:ascii="黑体" w:hAnsi="黑体" w:eastAsia="黑体"/>
          <w:sz w:val="48"/>
          <w:szCs w:val="48"/>
        </w:rPr>
        <w:t>目录</w:t>
      </w:r>
    </w:p>
    <w:p w14:paraId="1F9CA60D">
      <w:pPr>
        <w:widowControl/>
        <w:jc w:val="center"/>
        <w:rPr>
          <w:rFonts w:ascii="黑体" w:hAnsi="黑体" w:eastAsia="黑体" w:cstheme="minorBidi"/>
          <w:sz w:val="28"/>
          <w:szCs w:val="28"/>
        </w:rPr>
      </w:pPr>
    </w:p>
    <w:p w14:paraId="5EECD75E">
      <w:pPr>
        <w:pStyle w:val="11"/>
      </w:pPr>
      <w:r>
        <w:rPr>
          <w:rFonts w:hint="eastAsia"/>
        </w:rPr>
        <w:t>公开时间：202</w:t>
      </w:r>
      <w:r>
        <w:rPr>
          <w:rFonts w:hint="eastAsia"/>
          <w:lang w:val="en-US" w:eastAsia="zh-CN"/>
        </w:rPr>
        <w:t>4</w:t>
      </w:r>
      <w:r>
        <w:rPr>
          <w:rFonts w:hint="eastAsia"/>
        </w:rPr>
        <w:t>年10 月</w:t>
      </w:r>
      <w:r>
        <w:rPr>
          <w:rFonts w:hint="eastAsia"/>
          <w:lang w:val="en-US" w:eastAsia="zh-CN"/>
        </w:rPr>
        <w:t>18</w:t>
      </w:r>
      <w:r>
        <w:rPr>
          <w:rFonts w:hint="eastAsia"/>
        </w:rPr>
        <w:t xml:space="preserve"> 日</w:t>
      </w:r>
    </w:p>
    <w:p w14:paraId="3F1A0775"/>
    <w:p w14:paraId="5C5AC7BD">
      <w:pPr>
        <w:pStyle w:val="12"/>
        <w:adjustRightInd w:val="0"/>
        <w:snapToGrid w:val="0"/>
        <w:spacing w:line="440" w:lineRule="exact"/>
        <w:jc w:val="left"/>
        <w:rPr>
          <w:rFonts w:hint="eastAsia"/>
          <w:sz w:val="24"/>
        </w:rPr>
      </w:pPr>
    </w:p>
    <w:sdt>
      <w:sdtPr>
        <w:rPr>
          <w:rFonts w:ascii="宋体" w:hAnsi="宋体" w:eastAsia="宋体" w:cs="Times New Roman"/>
          <w:kern w:val="2"/>
          <w:sz w:val="21"/>
          <w:szCs w:val="24"/>
          <w:lang w:val="en-US" w:eastAsia="zh-CN" w:bidi="ar-SA"/>
        </w:rPr>
        <w:id w:val="147483332"/>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5A4A574A">
          <w:pPr>
            <w:spacing w:before="0" w:beforeLines="0" w:after="0" w:afterLines="0" w:line="240" w:lineRule="auto"/>
            <w:ind w:left="0" w:leftChars="0" w:right="0" w:rightChars="0" w:firstLine="0" w:firstLineChars="0"/>
            <w:jc w:val="center"/>
            <w:rPr>
              <w:b/>
            </w:rPr>
          </w:pPr>
          <w:bookmarkStart w:id="16" w:name="_Toc15396599"/>
          <w:bookmarkStart w:id="17" w:name="_Toc15377196"/>
          <w:r>
            <w:fldChar w:fldCharType="begin"/>
          </w:r>
          <w:r>
            <w:instrText xml:space="preserve">TOC \o "1-2" \h \u </w:instrText>
          </w:r>
          <w:r>
            <w:fldChar w:fldCharType="separate"/>
          </w:r>
        </w:p>
        <w:p w14:paraId="3633A541">
          <w:pPr>
            <w:pStyle w:val="33"/>
            <w:tabs>
              <w:tab w:val="right" w:leader="dot" w:pos="8306"/>
            </w:tabs>
            <w:rPr>
              <w:b/>
            </w:rPr>
          </w:pPr>
          <w:r>
            <w:rPr>
              <w:b/>
            </w:rPr>
            <w:fldChar w:fldCharType="begin"/>
          </w:r>
          <w:r>
            <w:rPr>
              <w:b/>
            </w:rPr>
            <w:instrText xml:space="preserve"> HYPERLINK \l _Toc31885 </w:instrText>
          </w:r>
          <w:r>
            <w:rPr>
              <w:b/>
            </w:rPr>
            <w:fldChar w:fldCharType="separate"/>
          </w:r>
          <w:r>
            <w:rPr>
              <w:rFonts w:hint="eastAsia" w:ascii="黑体" w:hAnsi="黑体" w:eastAsia="黑体"/>
              <w:b/>
            </w:rPr>
            <w:t>第一部分 单位</w:t>
          </w:r>
          <w:r>
            <w:rPr>
              <w:rFonts w:hint="eastAsia" w:ascii="黑体" w:hAnsi="黑体" w:eastAsia="黑体"/>
              <w:b/>
              <w:bCs w:val="0"/>
            </w:rPr>
            <w:t>概况</w:t>
          </w:r>
          <w:r>
            <w:rPr>
              <w:b/>
            </w:rPr>
            <w:tab/>
          </w:r>
          <w:r>
            <w:rPr>
              <w:b/>
            </w:rPr>
            <w:fldChar w:fldCharType="begin"/>
          </w:r>
          <w:r>
            <w:rPr>
              <w:b/>
            </w:rPr>
            <w:instrText xml:space="preserve"> PAGEREF _Toc31885 \h </w:instrText>
          </w:r>
          <w:r>
            <w:rPr>
              <w:b/>
            </w:rPr>
            <w:fldChar w:fldCharType="separate"/>
          </w:r>
          <w:r>
            <w:rPr>
              <w:b/>
            </w:rPr>
            <w:t>3</w:t>
          </w:r>
          <w:r>
            <w:rPr>
              <w:b/>
            </w:rPr>
            <w:fldChar w:fldCharType="end"/>
          </w:r>
          <w:r>
            <w:rPr>
              <w:b/>
            </w:rPr>
            <w:fldChar w:fldCharType="end"/>
          </w:r>
        </w:p>
        <w:p w14:paraId="66D49ED9">
          <w:pPr>
            <w:pStyle w:val="34"/>
            <w:tabs>
              <w:tab w:val="right" w:leader="dot" w:pos="8306"/>
            </w:tabs>
          </w:pPr>
          <w:r>
            <w:fldChar w:fldCharType="begin"/>
          </w:r>
          <w:r>
            <w:instrText xml:space="preserve"> HYPERLINK \l _Toc21748 </w:instrText>
          </w:r>
          <w:r>
            <w:fldChar w:fldCharType="separate"/>
          </w:r>
          <w:r>
            <w:rPr>
              <w:rFonts w:hint="eastAsia" w:ascii="黑体" w:hAnsi="黑体" w:eastAsia="黑体"/>
              <w:bCs w:val="0"/>
            </w:rPr>
            <w:t>一、 主要职责</w:t>
          </w:r>
          <w:r>
            <w:tab/>
          </w:r>
          <w:r>
            <w:fldChar w:fldCharType="begin"/>
          </w:r>
          <w:r>
            <w:instrText xml:space="preserve"> PAGEREF _Toc21748 \h </w:instrText>
          </w:r>
          <w:r>
            <w:fldChar w:fldCharType="separate"/>
          </w:r>
          <w:r>
            <w:t>3</w:t>
          </w:r>
          <w:r>
            <w:fldChar w:fldCharType="end"/>
          </w:r>
          <w:r>
            <w:fldChar w:fldCharType="end"/>
          </w:r>
        </w:p>
        <w:p w14:paraId="54D1687A">
          <w:pPr>
            <w:pStyle w:val="34"/>
            <w:tabs>
              <w:tab w:val="right" w:leader="dot" w:pos="8306"/>
            </w:tabs>
          </w:pPr>
          <w:r>
            <w:fldChar w:fldCharType="begin"/>
          </w:r>
          <w:r>
            <w:instrText xml:space="preserve"> HYPERLINK \l _Toc12938 </w:instrText>
          </w:r>
          <w:r>
            <w:fldChar w:fldCharType="separate"/>
          </w:r>
          <w:r>
            <w:rPr>
              <w:rFonts w:hint="eastAsia" w:ascii="黑体" w:hAnsi="黑体" w:eastAsia="黑体"/>
            </w:rPr>
            <w:t>二、机构设置</w:t>
          </w:r>
          <w:r>
            <w:tab/>
          </w:r>
          <w:r>
            <w:fldChar w:fldCharType="begin"/>
          </w:r>
          <w:r>
            <w:instrText xml:space="preserve"> PAGEREF _Toc12938 \h </w:instrText>
          </w:r>
          <w:r>
            <w:fldChar w:fldCharType="separate"/>
          </w:r>
          <w:r>
            <w:t>3</w:t>
          </w:r>
          <w:r>
            <w:fldChar w:fldCharType="end"/>
          </w:r>
          <w:r>
            <w:fldChar w:fldCharType="end"/>
          </w:r>
        </w:p>
        <w:p w14:paraId="1DA22C61">
          <w:pPr>
            <w:pStyle w:val="33"/>
            <w:tabs>
              <w:tab w:val="right" w:leader="dot" w:pos="8306"/>
            </w:tabs>
            <w:rPr>
              <w:b/>
            </w:rPr>
          </w:pPr>
          <w:r>
            <w:rPr>
              <w:b/>
            </w:rPr>
            <w:fldChar w:fldCharType="begin"/>
          </w:r>
          <w:r>
            <w:rPr>
              <w:b/>
            </w:rPr>
            <w:instrText xml:space="preserve"> HYPERLINK \l _Toc18139 </w:instrText>
          </w:r>
          <w:r>
            <w:rPr>
              <w:b/>
            </w:rPr>
            <w:fldChar w:fldCharType="separate"/>
          </w:r>
          <w:r>
            <w:rPr>
              <w:rFonts w:hint="eastAsia" w:ascii="黑体" w:hAnsi="黑体" w:eastAsia="黑体"/>
              <w:b/>
            </w:rPr>
            <w:t>第二部分 2023年度</w:t>
          </w:r>
          <w:r>
            <w:rPr>
              <w:rFonts w:hint="eastAsia" w:ascii="黑体" w:hAnsi="黑体" w:eastAsia="黑体"/>
              <w:b/>
              <w:bCs/>
            </w:rPr>
            <w:t>单位决算情况说明</w:t>
          </w:r>
          <w:r>
            <w:rPr>
              <w:b/>
            </w:rPr>
            <w:tab/>
          </w:r>
          <w:r>
            <w:rPr>
              <w:b/>
            </w:rPr>
            <w:fldChar w:fldCharType="begin"/>
          </w:r>
          <w:r>
            <w:rPr>
              <w:b/>
            </w:rPr>
            <w:instrText xml:space="preserve"> PAGEREF _Toc18139 \h </w:instrText>
          </w:r>
          <w:r>
            <w:rPr>
              <w:b/>
            </w:rPr>
            <w:fldChar w:fldCharType="separate"/>
          </w:r>
          <w:r>
            <w:rPr>
              <w:b/>
            </w:rPr>
            <w:t>4</w:t>
          </w:r>
          <w:r>
            <w:rPr>
              <w:b/>
            </w:rPr>
            <w:fldChar w:fldCharType="end"/>
          </w:r>
          <w:r>
            <w:rPr>
              <w:b/>
            </w:rPr>
            <w:fldChar w:fldCharType="end"/>
          </w:r>
        </w:p>
        <w:p w14:paraId="60C6474C">
          <w:pPr>
            <w:pStyle w:val="34"/>
            <w:tabs>
              <w:tab w:val="right" w:leader="dot" w:pos="8306"/>
            </w:tabs>
          </w:pPr>
          <w:r>
            <w:fldChar w:fldCharType="begin"/>
          </w:r>
          <w:r>
            <w:instrText xml:space="preserve"> HYPERLINK \l _Toc7774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_Toc7774 \h </w:instrText>
          </w:r>
          <w:r>
            <w:fldChar w:fldCharType="separate"/>
          </w:r>
          <w:r>
            <w:t>4</w:t>
          </w:r>
          <w:r>
            <w:fldChar w:fldCharType="end"/>
          </w:r>
          <w:r>
            <w:fldChar w:fldCharType="end"/>
          </w:r>
        </w:p>
        <w:p w14:paraId="5C18BA0C">
          <w:pPr>
            <w:pStyle w:val="34"/>
            <w:tabs>
              <w:tab w:val="right" w:leader="dot" w:pos="8306"/>
            </w:tabs>
          </w:pPr>
          <w:r>
            <w:fldChar w:fldCharType="begin"/>
          </w:r>
          <w:r>
            <w:instrText xml:space="preserve"> HYPERLINK \l _Toc18275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_Toc18275 \h </w:instrText>
          </w:r>
          <w:r>
            <w:fldChar w:fldCharType="separate"/>
          </w:r>
          <w:r>
            <w:t>4</w:t>
          </w:r>
          <w:r>
            <w:fldChar w:fldCharType="end"/>
          </w:r>
          <w:r>
            <w:fldChar w:fldCharType="end"/>
          </w:r>
        </w:p>
        <w:p w14:paraId="43ECD639">
          <w:pPr>
            <w:pStyle w:val="34"/>
            <w:tabs>
              <w:tab w:val="right" w:leader="dot" w:pos="8306"/>
            </w:tabs>
          </w:pPr>
          <w:r>
            <w:fldChar w:fldCharType="begin"/>
          </w:r>
          <w:r>
            <w:instrText xml:space="preserve"> HYPERLINK \l _Toc32061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_Toc32061 \h </w:instrText>
          </w:r>
          <w:r>
            <w:fldChar w:fldCharType="separate"/>
          </w:r>
          <w:r>
            <w:t>5</w:t>
          </w:r>
          <w:r>
            <w:fldChar w:fldCharType="end"/>
          </w:r>
          <w:r>
            <w:fldChar w:fldCharType="end"/>
          </w:r>
        </w:p>
        <w:p w14:paraId="2D608DEC">
          <w:pPr>
            <w:pStyle w:val="34"/>
            <w:tabs>
              <w:tab w:val="right" w:leader="dot" w:pos="8306"/>
            </w:tabs>
          </w:pPr>
          <w:r>
            <w:fldChar w:fldCharType="begin"/>
          </w:r>
          <w:r>
            <w:instrText xml:space="preserve"> HYPERLINK \l _Toc1589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_Toc1589 \h </w:instrText>
          </w:r>
          <w:r>
            <w:fldChar w:fldCharType="separate"/>
          </w:r>
          <w:r>
            <w:t>6</w:t>
          </w:r>
          <w:r>
            <w:fldChar w:fldCharType="end"/>
          </w:r>
          <w:r>
            <w:fldChar w:fldCharType="end"/>
          </w:r>
        </w:p>
        <w:p w14:paraId="6ADFC31B">
          <w:pPr>
            <w:pStyle w:val="34"/>
            <w:tabs>
              <w:tab w:val="right" w:leader="dot" w:pos="8306"/>
            </w:tabs>
          </w:pPr>
          <w:r>
            <w:fldChar w:fldCharType="begin"/>
          </w:r>
          <w:r>
            <w:instrText xml:space="preserve"> HYPERLINK \l _Toc5427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_Toc5427 \h </w:instrText>
          </w:r>
          <w:r>
            <w:fldChar w:fldCharType="separate"/>
          </w:r>
          <w:r>
            <w:t>6</w:t>
          </w:r>
          <w:r>
            <w:fldChar w:fldCharType="end"/>
          </w:r>
          <w:r>
            <w:fldChar w:fldCharType="end"/>
          </w:r>
        </w:p>
        <w:p w14:paraId="7A195970">
          <w:pPr>
            <w:pStyle w:val="34"/>
            <w:tabs>
              <w:tab w:val="right" w:leader="dot" w:pos="8306"/>
            </w:tabs>
          </w:pPr>
          <w:r>
            <w:fldChar w:fldCharType="begin"/>
          </w:r>
          <w:r>
            <w:instrText xml:space="preserve"> HYPERLINK \l _Toc17810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_Toc17810 \h </w:instrText>
          </w:r>
          <w:r>
            <w:fldChar w:fldCharType="separate"/>
          </w:r>
          <w:r>
            <w:t>9</w:t>
          </w:r>
          <w:r>
            <w:fldChar w:fldCharType="end"/>
          </w:r>
          <w:r>
            <w:fldChar w:fldCharType="end"/>
          </w:r>
        </w:p>
        <w:p w14:paraId="657A5AAB">
          <w:pPr>
            <w:pStyle w:val="34"/>
            <w:tabs>
              <w:tab w:val="right" w:leader="dot" w:pos="8306"/>
            </w:tabs>
          </w:pPr>
          <w:r>
            <w:fldChar w:fldCharType="begin"/>
          </w:r>
          <w:r>
            <w:instrText xml:space="preserve"> HYPERLINK \l _Toc16808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_Toc16808 \h </w:instrText>
          </w:r>
          <w:r>
            <w:fldChar w:fldCharType="separate"/>
          </w:r>
          <w:r>
            <w:t>10</w:t>
          </w:r>
          <w:r>
            <w:fldChar w:fldCharType="end"/>
          </w:r>
          <w:r>
            <w:fldChar w:fldCharType="end"/>
          </w:r>
        </w:p>
        <w:p w14:paraId="6038CFB3">
          <w:pPr>
            <w:pStyle w:val="34"/>
            <w:tabs>
              <w:tab w:val="right" w:leader="dot" w:pos="8306"/>
            </w:tabs>
          </w:pPr>
          <w:r>
            <w:fldChar w:fldCharType="begin"/>
          </w:r>
          <w:r>
            <w:instrText xml:space="preserve"> HYPERLINK \l _Toc2789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_Toc2789 \h </w:instrText>
          </w:r>
          <w:r>
            <w:fldChar w:fldCharType="separate"/>
          </w:r>
          <w:r>
            <w:t>12</w:t>
          </w:r>
          <w:r>
            <w:fldChar w:fldCharType="end"/>
          </w:r>
          <w:r>
            <w:fldChar w:fldCharType="end"/>
          </w:r>
        </w:p>
        <w:p w14:paraId="129E43CC">
          <w:pPr>
            <w:pStyle w:val="34"/>
            <w:tabs>
              <w:tab w:val="right" w:leader="dot" w:pos="8306"/>
            </w:tabs>
          </w:pPr>
          <w:r>
            <w:fldChar w:fldCharType="begin"/>
          </w:r>
          <w:r>
            <w:instrText xml:space="preserve"> HYPERLINK \l _Toc287 </w:instrText>
          </w:r>
          <w:r>
            <w:fldChar w:fldCharType="separate"/>
          </w:r>
          <w:r>
            <w:rPr>
              <w:rFonts w:hint="eastAsia" w:ascii="黑体" w:hAnsi="黑体" w:eastAsia="黑体"/>
            </w:rPr>
            <w:t>九、 国有资本经营预算支出决算情况说明</w:t>
          </w:r>
          <w:r>
            <w:tab/>
          </w:r>
          <w:r>
            <w:fldChar w:fldCharType="begin"/>
          </w:r>
          <w:r>
            <w:instrText xml:space="preserve"> PAGEREF _Toc287 \h </w:instrText>
          </w:r>
          <w:r>
            <w:fldChar w:fldCharType="separate"/>
          </w:r>
          <w:r>
            <w:t>12</w:t>
          </w:r>
          <w:r>
            <w:fldChar w:fldCharType="end"/>
          </w:r>
          <w:r>
            <w:fldChar w:fldCharType="end"/>
          </w:r>
        </w:p>
        <w:p w14:paraId="0C6F779C">
          <w:pPr>
            <w:pStyle w:val="34"/>
            <w:tabs>
              <w:tab w:val="right" w:leader="dot" w:pos="8306"/>
            </w:tabs>
          </w:pPr>
          <w:r>
            <w:fldChar w:fldCharType="begin"/>
          </w:r>
          <w:r>
            <w:instrText xml:space="preserve"> HYPERLINK \l _Toc18769 </w:instrText>
          </w:r>
          <w:r>
            <w:fldChar w:fldCharType="separate"/>
          </w:r>
          <w:r>
            <w:rPr>
              <w:rFonts w:hint="eastAsia" w:ascii="黑体" w:hAnsi="黑体" w:eastAsia="黑体"/>
            </w:rPr>
            <w:t>十、 其他重要事项的情况说明</w:t>
          </w:r>
          <w:r>
            <w:tab/>
          </w:r>
          <w:r>
            <w:fldChar w:fldCharType="begin"/>
          </w:r>
          <w:r>
            <w:instrText xml:space="preserve"> PAGEREF _Toc18769 \h </w:instrText>
          </w:r>
          <w:r>
            <w:fldChar w:fldCharType="separate"/>
          </w:r>
          <w:r>
            <w:t>12</w:t>
          </w:r>
          <w:r>
            <w:fldChar w:fldCharType="end"/>
          </w:r>
          <w:r>
            <w:fldChar w:fldCharType="end"/>
          </w:r>
        </w:p>
        <w:p w14:paraId="142CFB8D">
          <w:pPr>
            <w:pStyle w:val="33"/>
            <w:tabs>
              <w:tab w:val="right" w:leader="dot" w:pos="8306"/>
            </w:tabs>
            <w:rPr>
              <w:b/>
            </w:rPr>
          </w:pPr>
          <w:r>
            <w:rPr>
              <w:b/>
            </w:rPr>
            <w:fldChar w:fldCharType="begin"/>
          </w:r>
          <w:r>
            <w:rPr>
              <w:b/>
            </w:rPr>
            <w:instrText xml:space="preserve"> HYPERLINK \l _Toc19981 </w:instrText>
          </w:r>
          <w:r>
            <w:rPr>
              <w:b/>
            </w:rPr>
            <w:fldChar w:fldCharType="separate"/>
          </w:r>
          <w:r>
            <w:rPr>
              <w:rFonts w:hint="eastAsia" w:ascii="黑体" w:hAnsi="黑体" w:eastAsia="黑体" w:cs="黑体"/>
              <w:b/>
              <w:szCs w:val="44"/>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_Toc19981 \h </w:instrText>
          </w:r>
          <w:r>
            <w:rPr>
              <w:b/>
            </w:rPr>
            <w:fldChar w:fldCharType="separate"/>
          </w:r>
          <w:r>
            <w:rPr>
              <w:b/>
            </w:rPr>
            <w:t>13</w:t>
          </w:r>
          <w:r>
            <w:rPr>
              <w:b/>
            </w:rPr>
            <w:fldChar w:fldCharType="end"/>
          </w:r>
          <w:r>
            <w:rPr>
              <w:b/>
            </w:rPr>
            <w:fldChar w:fldCharType="end"/>
          </w:r>
        </w:p>
        <w:p w14:paraId="513C58DC">
          <w:pPr>
            <w:pStyle w:val="33"/>
            <w:tabs>
              <w:tab w:val="right" w:leader="dot" w:pos="8306"/>
            </w:tabs>
            <w:rPr>
              <w:b/>
            </w:rPr>
          </w:pPr>
          <w:r>
            <w:rPr>
              <w:b/>
            </w:rPr>
            <w:fldChar w:fldCharType="begin"/>
          </w:r>
          <w:r>
            <w:rPr>
              <w:b/>
            </w:rPr>
            <w:instrText xml:space="preserve"> HYPERLINK \l _Toc28890 </w:instrText>
          </w:r>
          <w:r>
            <w:rPr>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_Toc28890 \h </w:instrText>
          </w:r>
          <w:r>
            <w:rPr>
              <w:b/>
            </w:rPr>
            <w:fldChar w:fldCharType="separate"/>
          </w:r>
          <w:r>
            <w:rPr>
              <w:b/>
            </w:rPr>
            <w:t>16</w:t>
          </w:r>
          <w:r>
            <w:rPr>
              <w:b/>
            </w:rPr>
            <w:fldChar w:fldCharType="end"/>
          </w:r>
          <w:r>
            <w:rPr>
              <w:b/>
            </w:rPr>
            <w:fldChar w:fldCharType="end"/>
          </w:r>
        </w:p>
        <w:p w14:paraId="677FCFB4">
          <w:pPr>
            <w:pStyle w:val="33"/>
            <w:tabs>
              <w:tab w:val="right" w:leader="dot" w:pos="8306"/>
            </w:tabs>
            <w:rPr>
              <w:b/>
            </w:rPr>
          </w:pPr>
          <w:r>
            <w:rPr>
              <w:b/>
            </w:rPr>
            <w:fldChar w:fldCharType="begin"/>
          </w:r>
          <w:r>
            <w:rPr>
              <w:b/>
            </w:rPr>
            <w:instrText xml:space="preserve"> HYPERLINK \l _Toc20078 </w:instrText>
          </w:r>
          <w:r>
            <w:rPr>
              <w:b/>
            </w:rPr>
            <w:fldChar w:fldCharType="separate"/>
          </w:r>
          <w:r>
            <w:rPr>
              <w:rFonts w:hint="eastAsia" w:ascii="黑体" w:hAnsi="黑体" w:eastAsia="黑体"/>
              <w:b/>
            </w:rPr>
            <w:t>五部分 附表</w:t>
          </w:r>
          <w:r>
            <w:rPr>
              <w:b/>
            </w:rPr>
            <w:tab/>
          </w:r>
          <w:r>
            <w:rPr>
              <w:b/>
            </w:rPr>
            <w:fldChar w:fldCharType="begin"/>
          </w:r>
          <w:r>
            <w:rPr>
              <w:b/>
            </w:rPr>
            <w:instrText xml:space="preserve"> PAGEREF _Toc20078 \h </w:instrText>
          </w:r>
          <w:r>
            <w:rPr>
              <w:b/>
            </w:rPr>
            <w:fldChar w:fldCharType="separate"/>
          </w:r>
          <w:r>
            <w:rPr>
              <w:b/>
            </w:rPr>
            <w:t>26</w:t>
          </w:r>
          <w:r>
            <w:rPr>
              <w:b/>
            </w:rPr>
            <w:fldChar w:fldCharType="end"/>
          </w:r>
          <w:r>
            <w:rPr>
              <w:b/>
            </w:rPr>
            <w:fldChar w:fldCharType="end"/>
          </w:r>
        </w:p>
        <w:p w14:paraId="217122D3">
          <w:pPr>
            <w:pStyle w:val="34"/>
            <w:tabs>
              <w:tab w:val="right" w:leader="dot" w:pos="8306"/>
            </w:tabs>
          </w:pPr>
          <w:r>
            <w:fldChar w:fldCharType="begin"/>
          </w:r>
          <w:r>
            <w:instrText xml:space="preserve"> HYPERLINK \l _Toc7585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_Toc7585 \h </w:instrText>
          </w:r>
          <w:r>
            <w:fldChar w:fldCharType="separate"/>
          </w:r>
          <w:r>
            <w:t>26</w:t>
          </w:r>
          <w:r>
            <w:fldChar w:fldCharType="end"/>
          </w:r>
          <w:r>
            <w:fldChar w:fldCharType="end"/>
          </w:r>
        </w:p>
        <w:p w14:paraId="5C53A720">
          <w:pPr>
            <w:pStyle w:val="34"/>
            <w:tabs>
              <w:tab w:val="right" w:leader="dot" w:pos="8306"/>
            </w:tabs>
          </w:pPr>
          <w:r>
            <w:fldChar w:fldCharType="begin"/>
          </w:r>
          <w:r>
            <w:instrText xml:space="preserve"> HYPERLINK \l _Toc13896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_Toc13896 \h </w:instrText>
          </w:r>
          <w:r>
            <w:fldChar w:fldCharType="separate"/>
          </w:r>
          <w:r>
            <w:t>26</w:t>
          </w:r>
          <w:r>
            <w:fldChar w:fldCharType="end"/>
          </w:r>
          <w:r>
            <w:fldChar w:fldCharType="end"/>
          </w:r>
        </w:p>
        <w:p w14:paraId="49FB626C">
          <w:pPr>
            <w:pStyle w:val="34"/>
            <w:tabs>
              <w:tab w:val="right" w:leader="dot" w:pos="8306"/>
            </w:tabs>
          </w:pPr>
          <w:r>
            <w:fldChar w:fldCharType="begin"/>
          </w:r>
          <w:r>
            <w:instrText xml:space="preserve"> HYPERLINK \l _Toc6210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_Toc6210 \h </w:instrText>
          </w:r>
          <w:r>
            <w:fldChar w:fldCharType="separate"/>
          </w:r>
          <w:r>
            <w:t>26</w:t>
          </w:r>
          <w:r>
            <w:fldChar w:fldCharType="end"/>
          </w:r>
          <w:r>
            <w:fldChar w:fldCharType="end"/>
          </w:r>
        </w:p>
        <w:p w14:paraId="2FBB8E27">
          <w:pPr>
            <w:pStyle w:val="34"/>
            <w:tabs>
              <w:tab w:val="right" w:leader="dot" w:pos="8306"/>
            </w:tabs>
          </w:pPr>
          <w:r>
            <w:fldChar w:fldCharType="begin"/>
          </w:r>
          <w:r>
            <w:instrText xml:space="preserve"> HYPERLINK \l _Toc29299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_Toc29299 \h </w:instrText>
          </w:r>
          <w:r>
            <w:fldChar w:fldCharType="separate"/>
          </w:r>
          <w:r>
            <w:t>26</w:t>
          </w:r>
          <w:r>
            <w:fldChar w:fldCharType="end"/>
          </w:r>
          <w:r>
            <w:fldChar w:fldCharType="end"/>
          </w:r>
        </w:p>
        <w:p w14:paraId="355D97B2">
          <w:pPr>
            <w:pStyle w:val="34"/>
            <w:tabs>
              <w:tab w:val="right" w:leader="dot" w:pos="8306"/>
            </w:tabs>
          </w:pPr>
          <w:r>
            <w:fldChar w:fldCharType="begin"/>
          </w:r>
          <w:r>
            <w:instrText xml:space="preserve"> HYPERLINK \l _Toc6066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_Toc6066 \h </w:instrText>
          </w:r>
          <w:r>
            <w:fldChar w:fldCharType="separate"/>
          </w:r>
          <w:r>
            <w:t>26</w:t>
          </w:r>
          <w:r>
            <w:fldChar w:fldCharType="end"/>
          </w:r>
          <w:r>
            <w:fldChar w:fldCharType="end"/>
          </w:r>
        </w:p>
        <w:p w14:paraId="15873865">
          <w:pPr>
            <w:pStyle w:val="34"/>
            <w:tabs>
              <w:tab w:val="right" w:leader="dot" w:pos="8306"/>
            </w:tabs>
          </w:pPr>
          <w:r>
            <w:fldChar w:fldCharType="begin"/>
          </w:r>
          <w:r>
            <w:instrText xml:space="preserve"> HYPERLINK \l _Toc12272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_Toc12272 \h </w:instrText>
          </w:r>
          <w:r>
            <w:fldChar w:fldCharType="separate"/>
          </w:r>
          <w:r>
            <w:t>26</w:t>
          </w:r>
          <w:r>
            <w:fldChar w:fldCharType="end"/>
          </w:r>
          <w:r>
            <w:fldChar w:fldCharType="end"/>
          </w:r>
        </w:p>
        <w:p w14:paraId="093FA4D1">
          <w:pPr>
            <w:pStyle w:val="34"/>
            <w:tabs>
              <w:tab w:val="right" w:leader="dot" w:pos="8306"/>
            </w:tabs>
          </w:pPr>
          <w:r>
            <w:fldChar w:fldCharType="begin"/>
          </w:r>
          <w:r>
            <w:instrText xml:space="preserve"> HYPERLINK \l _Toc9464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_Toc9464 \h </w:instrText>
          </w:r>
          <w:r>
            <w:fldChar w:fldCharType="separate"/>
          </w:r>
          <w:r>
            <w:t>26</w:t>
          </w:r>
          <w:r>
            <w:fldChar w:fldCharType="end"/>
          </w:r>
          <w:r>
            <w:fldChar w:fldCharType="end"/>
          </w:r>
        </w:p>
        <w:p w14:paraId="2D21A3E3">
          <w:pPr>
            <w:pStyle w:val="34"/>
            <w:tabs>
              <w:tab w:val="right" w:leader="dot" w:pos="8306"/>
            </w:tabs>
          </w:pPr>
          <w:r>
            <w:fldChar w:fldCharType="begin"/>
          </w:r>
          <w:r>
            <w:instrText xml:space="preserve"> HYPERLINK \l _Toc19334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_Toc19334 \h </w:instrText>
          </w:r>
          <w:r>
            <w:fldChar w:fldCharType="separate"/>
          </w:r>
          <w:r>
            <w:t>26</w:t>
          </w:r>
          <w:r>
            <w:fldChar w:fldCharType="end"/>
          </w:r>
          <w:r>
            <w:fldChar w:fldCharType="end"/>
          </w:r>
        </w:p>
        <w:p w14:paraId="19914954">
          <w:pPr>
            <w:pStyle w:val="34"/>
            <w:tabs>
              <w:tab w:val="right" w:leader="dot" w:pos="8306"/>
            </w:tabs>
          </w:pPr>
          <w:r>
            <w:fldChar w:fldCharType="begin"/>
          </w:r>
          <w:r>
            <w:instrText xml:space="preserve"> HYPERLINK \l _Toc18967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_Toc18967 \h </w:instrText>
          </w:r>
          <w:r>
            <w:fldChar w:fldCharType="separate"/>
          </w:r>
          <w:r>
            <w:t>26</w:t>
          </w:r>
          <w:r>
            <w:fldChar w:fldCharType="end"/>
          </w:r>
          <w:r>
            <w:fldChar w:fldCharType="end"/>
          </w:r>
        </w:p>
        <w:p w14:paraId="4E31E5A3">
          <w:pPr>
            <w:pStyle w:val="34"/>
            <w:tabs>
              <w:tab w:val="right" w:leader="dot" w:pos="8306"/>
            </w:tabs>
          </w:pPr>
          <w:r>
            <w:fldChar w:fldCharType="begin"/>
          </w:r>
          <w:r>
            <w:instrText xml:space="preserve"> HYPERLINK \l _Toc11813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_Toc11813 \h </w:instrText>
          </w:r>
          <w:r>
            <w:fldChar w:fldCharType="separate"/>
          </w:r>
          <w:r>
            <w:t>26</w:t>
          </w:r>
          <w:r>
            <w:fldChar w:fldCharType="end"/>
          </w:r>
          <w:r>
            <w:fldChar w:fldCharType="end"/>
          </w:r>
        </w:p>
        <w:p w14:paraId="0B4FC6CE">
          <w:pPr>
            <w:pStyle w:val="34"/>
            <w:tabs>
              <w:tab w:val="right" w:leader="dot" w:pos="8306"/>
            </w:tabs>
          </w:pPr>
          <w:r>
            <w:fldChar w:fldCharType="begin"/>
          </w:r>
          <w:r>
            <w:instrText xml:space="preserve"> HYPERLINK \l _Toc32619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_Toc32619 \h </w:instrText>
          </w:r>
          <w:r>
            <w:fldChar w:fldCharType="separate"/>
          </w:r>
          <w:r>
            <w:t>26</w:t>
          </w:r>
          <w:r>
            <w:fldChar w:fldCharType="end"/>
          </w:r>
          <w:r>
            <w:fldChar w:fldCharType="end"/>
          </w:r>
        </w:p>
        <w:p w14:paraId="0115910C">
          <w:pPr>
            <w:pStyle w:val="34"/>
            <w:tabs>
              <w:tab w:val="right" w:leader="dot" w:pos="8306"/>
            </w:tabs>
          </w:pPr>
          <w:r>
            <w:fldChar w:fldCharType="begin"/>
          </w:r>
          <w:r>
            <w:instrText xml:space="preserve"> HYPERLINK \l _Toc32054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_Toc32054 \h </w:instrText>
          </w:r>
          <w:r>
            <w:fldChar w:fldCharType="separate"/>
          </w:r>
          <w:r>
            <w:t>26</w:t>
          </w:r>
          <w:r>
            <w:fldChar w:fldCharType="end"/>
          </w:r>
          <w:r>
            <w:fldChar w:fldCharType="end"/>
          </w:r>
        </w:p>
        <w:p w14:paraId="24BC8D76">
          <w:pPr>
            <w:pStyle w:val="34"/>
            <w:tabs>
              <w:tab w:val="right" w:leader="dot" w:pos="8306"/>
            </w:tabs>
          </w:pPr>
          <w:r>
            <w:fldChar w:fldCharType="begin"/>
          </w:r>
          <w:r>
            <w:instrText xml:space="preserve"> HYPERLINK \l _Toc12596 </w:instrText>
          </w:r>
          <w:r>
            <w:fldChar w:fldCharType="separate"/>
          </w:r>
          <w:r>
            <w:rPr>
              <w:rFonts w:hint="eastAsia" w:ascii="仿宋" w:hAnsi="仿宋" w:eastAsia="仿宋"/>
              <w:bCs w:val="0"/>
            </w:rPr>
            <w:t>十三、财政拨款“三公”经费支出决算表</w:t>
          </w:r>
          <w:r>
            <w:tab/>
          </w:r>
          <w:r>
            <w:fldChar w:fldCharType="begin"/>
          </w:r>
          <w:r>
            <w:instrText xml:space="preserve"> PAGEREF _Toc12596 \h </w:instrText>
          </w:r>
          <w:r>
            <w:fldChar w:fldCharType="separate"/>
          </w:r>
          <w:r>
            <w:t>26</w:t>
          </w:r>
          <w:r>
            <w:fldChar w:fldCharType="end"/>
          </w:r>
          <w:r>
            <w:fldChar w:fldCharType="end"/>
          </w:r>
        </w:p>
        <w:p w14:paraId="0A974417">
          <w:pPr>
            <w:rPr>
              <w:b/>
            </w:rPr>
          </w:pPr>
          <w:r>
            <w:rPr>
              <w:b/>
            </w:rPr>
            <w:fldChar w:fldCharType="end"/>
          </w:r>
        </w:p>
      </w:sdtContent>
    </w:sdt>
    <w:p w14:paraId="5DEEF4EC">
      <w:pPr>
        <w:rPr>
          <w:b/>
        </w:rPr>
      </w:pPr>
    </w:p>
    <w:p w14:paraId="0D473784">
      <w:pPr>
        <w:widowControl/>
        <w:spacing w:line="440" w:lineRule="exact"/>
        <w:jc w:val="left"/>
        <w:rPr>
          <w:rFonts w:ascii="仿宋" w:hAnsi="仿宋" w:eastAsia="仿宋"/>
          <w:bCs/>
          <w:kern w:val="44"/>
          <w:sz w:val="24"/>
        </w:rPr>
      </w:pPr>
      <w:r>
        <w:rPr>
          <w:rFonts w:ascii="仿宋" w:hAnsi="仿宋" w:eastAsia="仿宋"/>
          <w:b/>
          <w:sz w:val="24"/>
        </w:rPr>
        <w:br w:type="page"/>
      </w:r>
    </w:p>
    <w:p w14:paraId="3B5CFC7A">
      <w:pPr>
        <w:pStyle w:val="2"/>
        <w:jc w:val="center"/>
        <w:rPr>
          <w:rStyle w:val="27"/>
          <w:rFonts w:ascii="黑体" w:hAnsi="黑体" w:eastAsia="黑体"/>
          <w:b/>
          <w:bCs w:val="0"/>
        </w:rPr>
      </w:pPr>
      <w:bookmarkStart w:id="18" w:name="_Toc31885"/>
      <w:r>
        <w:rPr>
          <w:rFonts w:hint="eastAsia" w:ascii="黑体" w:hAnsi="黑体" w:eastAsia="黑体"/>
          <w:b w:val="0"/>
        </w:rPr>
        <w:t>第一部分 单位</w:t>
      </w:r>
      <w:r>
        <w:rPr>
          <w:rStyle w:val="27"/>
          <w:rFonts w:hint="eastAsia" w:ascii="黑体" w:hAnsi="黑体" w:eastAsia="黑体"/>
          <w:b w:val="0"/>
          <w:bCs w:val="0"/>
        </w:rPr>
        <w:t>概况</w:t>
      </w:r>
      <w:bookmarkEnd w:id="16"/>
      <w:bookmarkEnd w:id="17"/>
      <w:bookmarkEnd w:id="18"/>
    </w:p>
    <w:p w14:paraId="3927352C">
      <w:pPr>
        <w:widowControl/>
        <w:jc w:val="left"/>
        <w:rPr>
          <w:rFonts w:ascii="黑体" w:eastAsia="黑体"/>
          <w:sz w:val="32"/>
          <w:szCs w:val="32"/>
        </w:rPr>
      </w:pPr>
    </w:p>
    <w:p w14:paraId="33C5C879">
      <w:pPr>
        <w:pStyle w:val="3"/>
        <w:numPr>
          <w:ilvl w:val="0"/>
          <w:numId w:val="1"/>
        </w:numPr>
        <w:rPr>
          <w:rStyle w:val="28"/>
          <w:rFonts w:ascii="黑体" w:hAnsi="黑体" w:eastAsia="黑体"/>
          <w:b w:val="0"/>
          <w:bCs w:val="0"/>
        </w:rPr>
      </w:pPr>
      <w:bookmarkStart w:id="19" w:name="_Toc21748"/>
      <w:bookmarkStart w:id="20" w:name="_Toc15396600"/>
      <w:bookmarkStart w:id="21" w:name="_Toc15377197"/>
      <w:r>
        <w:rPr>
          <w:rStyle w:val="28"/>
          <w:rFonts w:hint="eastAsia" w:ascii="黑体" w:hAnsi="黑体" w:eastAsia="黑体"/>
          <w:b w:val="0"/>
          <w:bCs w:val="0"/>
        </w:rPr>
        <w:t>主要职责</w:t>
      </w:r>
      <w:bookmarkEnd w:id="19"/>
    </w:p>
    <w:p w14:paraId="48AD0887">
      <w:pPr>
        <w:ind w:firstLine="640" w:firstLineChars="200"/>
      </w:pPr>
      <w:r>
        <w:rPr>
          <w:rFonts w:hint="eastAsia" w:ascii="仿宋" w:hAnsi="仿宋" w:eastAsia="仿宋"/>
          <w:bCs/>
          <w:sz w:val="32"/>
          <w:szCs w:val="32"/>
        </w:rPr>
        <w:t>大竹县中华乡中心小学的基本职能和主要工作是</w:t>
      </w:r>
      <w:r>
        <w:rPr>
          <w:rFonts w:hint="eastAsia" w:ascii="仿宋" w:hAnsi="仿宋" w:eastAsia="仿宋"/>
          <w:sz w:val="32"/>
          <w:szCs w:val="32"/>
        </w:rPr>
        <w:t>宣传贯彻执行党和国家的教育方针、教育政策、教育法律和教育法规，贯彻执行上级教育行政部门的行政规章。根据县委、县政府制定的教育事业发展规划，结合实际制定并组织实施本校的教育事业发展规划。</w:t>
      </w:r>
      <w:r>
        <w:rPr>
          <w:rFonts w:hint="eastAsia" w:ascii="仿宋" w:hAnsi="仿宋" w:eastAsia="仿宋"/>
          <w:bCs/>
          <w:sz w:val="32"/>
          <w:szCs w:val="32"/>
        </w:rPr>
        <w:t>实施义务教育，促进基础教育发展，</w:t>
      </w:r>
      <w:r>
        <w:rPr>
          <w:rFonts w:hint="eastAsia" w:ascii="仿宋" w:hAnsi="仿宋" w:eastAsia="仿宋"/>
          <w:sz w:val="32"/>
          <w:szCs w:val="32"/>
        </w:rPr>
        <w:t>全面推进素质教育，全面提高教育教学质量,并</w:t>
      </w:r>
      <w:r>
        <w:rPr>
          <w:rFonts w:hint="eastAsia" w:ascii="仿宋" w:hAnsi="仿宋" w:eastAsia="仿宋"/>
          <w:bCs/>
          <w:sz w:val="32"/>
          <w:szCs w:val="32"/>
        </w:rPr>
        <w:t>进行中小学学历教育及相关的社会活动。</w:t>
      </w:r>
    </w:p>
    <w:p w14:paraId="40C10518">
      <w:pPr>
        <w:pStyle w:val="3"/>
        <w:rPr>
          <w:rFonts w:ascii="黑体" w:hAnsi="黑体" w:eastAsia="黑体"/>
          <w:b w:val="0"/>
        </w:rPr>
      </w:pPr>
      <w:bookmarkStart w:id="22" w:name="_Toc12938"/>
      <w:r>
        <w:rPr>
          <w:rFonts w:hint="eastAsia" w:ascii="黑体" w:hAnsi="黑体" w:eastAsia="黑体"/>
          <w:b w:val="0"/>
        </w:rPr>
        <w:t>二、机构设置</w:t>
      </w:r>
      <w:bookmarkEnd w:id="22"/>
    </w:p>
    <w:bookmarkEnd w:id="20"/>
    <w:bookmarkEnd w:id="21"/>
    <w:p w14:paraId="4BDA7935">
      <w:pPr>
        <w:pStyle w:val="34"/>
        <w:tabs>
          <w:tab w:val="right" w:leader="dot" w:pos="8306"/>
        </w:tabs>
        <w:ind w:left="0" w:leftChars="0" w:firstLine="640" w:firstLineChars="200"/>
        <w:rPr>
          <w:rFonts w:ascii="仿宋_GB2312" w:hAnsi="Times New Roman" w:eastAsia="仿宋_GB2312"/>
          <w:bCs/>
          <w:color w:val="000000"/>
          <w:sz w:val="32"/>
          <w:szCs w:val="32"/>
        </w:rPr>
      </w:pPr>
      <w:r>
        <w:rPr>
          <w:rFonts w:hint="eastAsia" w:ascii="仿宋" w:hAnsi="仿宋" w:eastAsia="仿宋"/>
          <w:sz w:val="32"/>
          <w:szCs w:val="32"/>
          <w:lang w:val="en-US" w:eastAsia="zh-CN"/>
        </w:rPr>
        <w:t xml:space="preserve">  </w:t>
      </w:r>
      <w:r>
        <w:rPr>
          <w:rFonts w:hint="eastAsia" w:ascii="仿宋_GB2312" w:hAnsi="Times New Roman" w:eastAsia="仿宋_GB2312"/>
          <w:bCs/>
          <w:color w:val="000000"/>
          <w:sz w:val="32"/>
          <w:szCs w:val="32"/>
        </w:rPr>
        <w:t>大竹县中华乡中心小学下属二级预算单位0个，其中行政单位0个，参照公务员法管理的事业单位0个，其他事业单位0个。</w:t>
      </w:r>
    </w:p>
    <w:p w14:paraId="00D427D2">
      <w:pPr>
        <w:widowControl/>
        <w:jc w:val="left"/>
        <w:rPr>
          <w:rFonts w:ascii="仿宋" w:hAnsi="仿宋" w:eastAsia="仿宋"/>
          <w:kern w:val="0"/>
          <w:sz w:val="32"/>
          <w:szCs w:val="32"/>
        </w:rPr>
      </w:pPr>
      <w:r>
        <w:rPr>
          <w:rFonts w:hint="eastAsia" w:ascii="仿宋_GB2312" w:eastAsia="仿宋_GB2312"/>
          <w:bCs/>
          <w:color w:val="000000"/>
          <w:kern w:val="0"/>
          <w:sz w:val="32"/>
          <w:szCs w:val="32"/>
        </w:rPr>
        <w:t>纳入大竹县中华乡中心小学202</w:t>
      </w:r>
      <w:r>
        <w:rPr>
          <w:rFonts w:hint="eastAsia" w:ascii="仿宋_GB2312" w:eastAsia="仿宋_GB2312"/>
          <w:bCs/>
          <w:color w:val="000000"/>
          <w:kern w:val="0"/>
          <w:sz w:val="32"/>
          <w:szCs w:val="32"/>
          <w:lang w:val="en-US" w:eastAsia="zh-CN"/>
        </w:rPr>
        <w:t>3</w:t>
      </w:r>
      <w:r>
        <w:rPr>
          <w:rFonts w:hint="eastAsia" w:ascii="仿宋_GB2312" w:eastAsia="仿宋_GB2312"/>
          <w:bCs/>
          <w:color w:val="000000"/>
          <w:kern w:val="0"/>
          <w:sz w:val="32"/>
          <w:szCs w:val="32"/>
        </w:rPr>
        <w:t>年度部门决算编制范围的二级预算单位：无。</w:t>
      </w:r>
      <w:r>
        <w:rPr>
          <w:rFonts w:ascii="仿宋" w:hAnsi="仿宋" w:eastAsia="仿宋"/>
          <w:sz w:val="32"/>
          <w:szCs w:val="32"/>
        </w:rPr>
        <w:br w:type="page"/>
      </w:r>
    </w:p>
    <w:p w14:paraId="701D2892">
      <w:pPr>
        <w:pStyle w:val="2"/>
        <w:ind w:right="440"/>
        <w:jc w:val="center"/>
        <w:rPr>
          <w:rStyle w:val="27"/>
          <w:rFonts w:ascii="黑体" w:hAnsi="黑体" w:eastAsia="黑体"/>
          <w:b w:val="0"/>
          <w:bCs/>
        </w:rPr>
      </w:pPr>
      <w:bookmarkStart w:id="23" w:name="_Toc15377204"/>
      <w:bookmarkStart w:id="24" w:name="_Toc18139"/>
      <w:bookmarkStart w:id="25"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23"/>
      <w:bookmarkEnd w:id="24"/>
      <w:bookmarkEnd w:id="25"/>
    </w:p>
    <w:p w14:paraId="5EA59038"/>
    <w:p w14:paraId="05875786">
      <w:pPr>
        <w:pStyle w:val="26"/>
        <w:numPr>
          <w:ilvl w:val="0"/>
          <w:numId w:val="2"/>
        </w:numPr>
        <w:spacing w:line="600" w:lineRule="exact"/>
        <w:ind w:firstLineChars="0"/>
        <w:outlineLvl w:val="1"/>
        <w:rPr>
          <w:rStyle w:val="28"/>
          <w:rFonts w:ascii="黑体" w:hAnsi="黑体" w:eastAsia="黑体"/>
          <w:b w:val="0"/>
        </w:rPr>
      </w:pPr>
      <w:bookmarkStart w:id="26" w:name="_Toc7774"/>
      <w:bookmarkStart w:id="27" w:name="_Toc15377205"/>
      <w:bookmarkStart w:id="28"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26"/>
      <w:bookmarkEnd w:id="27"/>
      <w:bookmarkEnd w:id="28"/>
    </w:p>
    <w:p w14:paraId="496BB602">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1270.51</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98.59</w:t>
      </w:r>
      <w:r>
        <w:rPr>
          <w:rFonts w:hint="eastAsia" w:ascii="仿宋" w:hAnsi="仿宋" w:eastAsia="仿宋"/>
          <w:sz w:val="32"/>
          <w:szCs w:val="32"/>
        </w:rPr>
        <w:t>万元，增长</w:t>
      </w:r>
      <w:r>
        <w:rPr>
          <w:rFonts w:hint="eastAsia" w:ascii="仿宋" w:hAnsi="仿宋" w:eastAsia="仿宋"/>
          <w:sz w:val="32"/>
          <w:szCs w:val="32"/>
          <w:lang w:val="en-US" w:eastAsia="zh-CN"/>
        </w:rPr>
        <w:t>8.41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人员经费增加</w:t>
      </w:r>
      <w:r>
        <w:rPr>
          <w:rFonts w:hint="eastAsia" w:ascii="仿宋" w:hAnsi="仿宋" w:eastAsia="仿宋"/>
          <w:sz w:val="32"/>
          <w:szCs w:val="32"/>
        </w:rPr>
        <w:t>。</w:t>
      </w:r>
    </w:p>
    <w:p w14:paraId="45DD2C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sz w:val="32"/>
          <w:szCs w:val="32"/>
        </w:rPr>
      </w:pPr>
      <w:r>
        <w:drawing>
          <wp:inline distT="0" distB="0" distL="114300" distR="114300">
            <wp:extent cx="4740910" cy="3185795"/>
            <wp:effectExtent l="4445" t="4445" r="9525" b="10160"/>
            <wp:docPr id="102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6A4EE7C">
      <w:pPr>
        <w:spacing w:line="600" w:lineRule="exact"/>
        <w:rPr>
          <w:rFonts w:hint="eastAsia" w:ascii="仿宋" w:hAnsi="仿宋" w:eastAsia="仿宋"/>
          <w:sz w:val="32"/>
          <w:szCs w:val="32"/>
        </w:rPr>
      </w:pPr>
    </w:p>
    <w:p w14:paraId="620003AF">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2B3C72E3">
      <w:pPr>
        <w:spacing w:line="600" w:lineRule="exact"/>
        <w:ind w:firstLine="640" w:firstLineChars="200"/>
        <w:jc w:val="left"/>
        <w:rPr>
          <w:rFonts w:ascii="仿宋_GB2312" w:eastAsia="仿宋_GB2312"/>
          <w:sz w:val="32"/>
          <w:szCs w:val="32"/>
        </w:rPr>
      </w:pPr>
    </w:p>
    <w:p w14:paraId="44B9318D">
      <w:pPr>
        <w:pStyle w:val="26"/>
        <w:numPr>
          <w:ilvl w:val="0"/>
          <w:numId w:val="2"/>
        </w:numPr>
        <w:spacing w:line="600" w:lineRule="exact"/>
        <w:ind w:firstLineChars="0"/>
        <w:outlineLvl w:val="1"/>
        <w:rPr>
          <w:rStyle w:val="28"/>
          <w:rFonts w:ascii="黑体" w:hAnsi="黑体" w:eastAsia="黑体"/>
          <w:b w:val="0"/>
        </w:rPr>
      </w:pPr>
      <w:bookmarkStart w:id="29" w:name="_Toc18275"/>
      <w:bookmarkStart w:id="30" w:name="_Toc15396604"/>
      <w:bookmarkStart w:id="31" w:name="_Toc15377206"/>
      <w:r>
        <w:rPr>
          <w:rFonts w:hint="eastAsia" w:ascii="黑体" w:hAnsi="黑体" w:eastAsia="黑体"/>
          <w:sz w:val="32"/>
          <w:szCs w:val="32"/>
        </w:rPr>
        <w:t>收</w:t>
      </w:r>
      <w:r>
        <w:rPr>
          <w:rStyle w:val="28"/>
          <w:rFonts w:hint="eastAsia" w:ascii="黑体" w:hAnsi="黑体" w:eastAsia="黑体"/>
          <w:b w:val="0"/>
        </w:rPr>
        <w:t>入决算情况说明</w:t>
      </w:r>
      <w:bookmarkEnd w:id="29"/>
      <w:bookmarkEnd w:id="30"/>
      <w:bookmarkEnd w:id="31"/>
    </w:p>
    <w:p w14:paraId="42485A9F">
      <w:pPr>
        <w:spacing w:line="600" w:lineRule="exact"/>
        <w:ind w:firstLine="640" w:firstLineChars="200"/>
        <w:outlineLvl w:val="1"/>
        <w:rPr>
          <w:rFonts w:ascii="仿宋" w:hAnsi="仿宋" w:eastAsia="仿宋"/>
          <w:b/>
          <w:sz w:val="32"/>
          <w:szCs w:val="32"/>
        </w:rPr>
      </w:pPr>
      <w:bookmarkStart w:id="32" w:name="_Toc14046"/>
      <w:r>
        <w:rPr>
          <w:rFonts w:hint="eastAsia" w:ascii="仿宋" w:hAnsi="仿宋" w:eastAsia="仿宋"/>
          <w:sz w:val="32"/>
          <w:szCs w:val="32"/>
        </w:rPr>
        <w:t>2023年度本年收入合计</w:t>
      </w:r>
      <w:r>
        <w:rPr>
          <w:rFonts w:ascii="仿宋" w:hAnsi="仿宋" w:eastAsia="仿宋"/>
          <w:b/>
          <w:sz w:val="32"/>
          <w:szCs w:val="32"/>
        </w:rPr>
        <w:t>1232.72</w:t>
      </w:r>
      <w:r>
        <w:rPr>
          <w:rFonts w:hint="eastAsia" w:ascii="仿宋" w:hAnsi="仿宋" w:eastAsia="仿宋"/>
          <w:sz w:val="32"/>
          <w:szCs w:val="32"/>
        </w:rPr>
        <w:t>万元，其中：一般公共预算财政拨款收入</w:t>
      </w:r>
      <w:r>
        <w:rPr>
          <w:rFonts w:ascii="仿宋" w:hAnsi="仿宋" w:eastAsia="仿宋"/>
          <w:b/>
          <w:sz w:val="32"/>
          <w:szCs w:val="32"/>
        </w:rPr>
        <w:t>1232.72</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b/>
          <w:sz w:val="32"/>
          <w:szCs w:val="32"/>
          <w:lang w:eastAsia="zh-CN"/>
        </w:rPr>
        <w:t>。</w:t>
      </w:r>
      <w:bookmarkEnd w:id="32"/>
    </w:p>
    <w:p w14:paraId="403F1F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ascii="仿宋" w:hAnsi="仿宋" w:eastAsia="仿宋"/>
          <w:sz w:val="32"/>
          <w:szCs w:val="32"/>
        </w:rPr>
      </w:pPr>
      <w:r>
        <w:drawing>
          <wp:inline distT="0" distB="0" distL="114300" distR="114300">
            <wp:extent cx="5205730" cy="3352165"/>
            <wp:effectExtent l="4445" t="4445" r="17145" b="1143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E1D8F2">
      <w:pPr>
        <w:spacing w:line="600" w:lineRule="exact"/>
        <w:ind w:firstLine="640" w:firstLineChars="200"/>
        <w:outlineLvl w:val="9"/>
        <w:rPr>
          <w:rFonts w:ascii="仿宋" w:hAnsi="仿宋" w:eastAsia="仿宋"/>
          <w:sz w:val="32"/>
          <w:szCs w:val="32"/>
        </w:rPr>
      </w:pPr>
    </w:p>
    <w:p w14:paraId="1061BD00">
      <w:pPr>
        <w:spacing w:line="600" w:lineRule="exact"/>
        <w:ind w:firstLine="1920" w:firstLineChars="600"/>
        <w:jc w:val="center"/>
        <w:rPr>
          <w:rFonts w:ascii="仿宋_GB2312" w:eastAsia="仿宋_GB2312"/>
          <w:sz w:val="32"/>
          <w:szCs w:val="32"/>
        </w:rPr>
      </w:pPr>
      <w:r>
        <w:rPr>
          <w:rFonts w:hint="eastAsia" w:ascii="仿宋" w:hAnsi="仿宋" w:eastAsia="仿宋"/>
          <w:sz w:val="32"/>
          <w:szCs w:val="32"/>
        </w:rPr>
        <w:t>（图2：收入决算结构图）</w:t>
      </w:r>
    </w:p>
    <w:p w14:paraId="3BF64756">
      <w:pPr>
        <w:pStyle w:val="26"/>
        <w:numPr>
          <w:ilvl w:val="0"/>
          <w:numId w:val="2"/>
        </w:numPr>
        <w:spacing w:line="600" w:lineRule="exact"/>
        <w:ind w:firstLineChars="0"/>
        <w:outlineLvl w:val="1"/>
        <w:rPr>
          <w:rStyle w:val="28"/>
          <w:rFonts w:ascii="黑体" w:hAnsi="黑体" w:eastAsia="黑体"/>
          <w:b w:val="0"/>
        </w:rPr>
      </w:pPr>
      <w:bookmarkStart w:id="33" w:name="_Toc15377207"/>
      <w:bookmarkStart w:id="34" w:name="_Toc15396605"/>
      <w:bookmarkStart w:id="35" w:name="_Toc32061"/>
      <w:r>
        <w:rPr>
          <w:rFonts w:hint="eastAsia" w:ascii="黑体" w:hAnsi="黑体" w:eastAsia="黑体"/>
          <w:sz w:val="32"/>
          <w:szCs w:val="32"/>
        </w:rPr>
        <w:t>支</w:t>
      </w:r>
      <w:r>
        <w:rPr>
          <w:rStyle w:val="28"/>
          <w:rFonts w:hint="eastAsia" w:ascii="黑体" w:hAnsi="黑体" w:eastAsia="黑体"/>
          <w:b w:val="0"/>
        </w:rPr>
        <w:t>出决算情况说明</w:t>
      </w:r>
      <w:bookmarkEnd w:id="33"/>
      <w:bookmarkEnd w:id="34"/>
      <w:bookmarkEnd w:id="35"/>
    </w:p>
    <w:p w14:paraId="16BB1DBD">
      <w:pPr>
        <w:spacing w:line="600" w:lineRule="exact"/>
        <w:ind w:firstLine="640" w:firstLineChars="200"/>
        <w:outlineLvl w:val="1"/>
        <w:rPr>
          <w:rFonts w:hint="eastAsia" w:ascii="仿宋" w:hAnsi="仿宋" w:eastAsia="仿宋"/>
          <w:sz w:val="32"/>
          <w:szCs w:val="32"/>
          <w:lang w:eastAsia="zh-CN"/>
        </w:rPr>
      </w:pPr>
      <w:bookmarkStart w:id="36" w:name="_Toc11869"/>
      <w:r>
        <w:rPr>
          <w:rFonts w:hint="eastAsia" w:ascii="仿宋" w:hAnsi="仿宋" w:eastAsia="仿宋"/>
          <w:sz w:val="32"/>
          <w:szCs w:val="32"/>
        </w:rPr>
        <w:t>2023年度本年支出合计</w:t>
      </w:r>
      <w:r>
        <w:rPr>
          <w:rFonts w:ascii="仿宋" w:hAnsi="仿宋" w:eastAsia="仿宋"/>
          <w:b/>
          <w:sz w:val="32"/>
          <w:szCs w:val="32"/>
        </w:rPr>
        <w:t>1270.51</w:t>
      </w:r>
      <w:r>
        <w:rPr>
          <w:rFonts w:hint="eastAsia" w:ascii="仿宋" w:hAnsi="仿宋" w:eastAsia="仿宋"/>
          <w:sz w:val="32"/>
          <w:szCs w:val="32"/>
        </w:rPr>
        <w:t>万元，其中：基本支出</w:t>
      </w:r>
      <w:r>
        <w:rPr>
          <w:rFonts w:ascii="仿宋" w:hAnsi="仿宋" w:eastAsia="仿宋"/>
          <w:b/>
          <w:sz w:val="32"/>
          <w:szCs w:val="32"/>
        </w:rPr>
        <w:t>1196.03</w:t>
      </w:r>
      <w:r>
        <w:rPr>
          <w:rFonts w:hint="eastAsia" w:ascii="仿宋" w:hAnsi="仿宋" w:eastAsia="仿宋"/>
          <w:sz w:val="32"/>
          <w:szCs w:val="32"/>
        </w:rPr>
        <w:t>万元，占</w:t>
      </w:r>
      <w:r>
        <w:rPr>
          <w:rFonts w:ascii="仿宋" w:hAnsi="仿宋" w:eastAsia="仿宋"/>
          <w:b/>
          <w:sz w:val="32"/>
          <w:szCs w:val="32"/>
        </w:rPr>
        <w:t>94.13</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74.48</w:t>
      </w:r>
      <w:r>
        <w:rPr>
          <w:rFonts w:hint="eastAsia" w:ascii="仿宋" w:hAnsi="仿宋" w:eastAsia="仿宋"/>
          <w:sz w:val="32"/>
          <w:szCs w:val="32"/>
        </w:rPr>
        <w:t>万元，占</w:t>
      </w:r>
      <w:r>
        <w:rPr>
          <w:rFonts w:ascii="仿宋" w:hAnsi="仿宋" w:eastAsia="仿宋"/>
          <w:b/>
          <w:sz w:val="32"/>
          <w:szCs w:val="32"/>
        </w:rPr>
        <w:t>5.86</w:t>
      </w:r>
      <w:r>
        <w:rPr>
          <w:rFonts w:ascii="仿宋" w:hAnsi="仿宋" w:eastAsia="仿宋"/>
          <w:sz w:val="32"/>
          <w:szCs w:val="32"/>
        </w:rPr>
        <w:t>%</w:t>
      </w:r>
      <w:r>
        <w:rPr>
          <w:rFonts w:hint="eastAsia" w:ascii="仿宋" w:hAnsi="仿宋" w:eastAsia="仿宋"/>
          <w:sz w:val="32"/>
          <w:szCs w:val="32"/>
          <w:lang w:eastAsia="zh-CN"/>
        </w:rPr>
        <w:t>。</w:t>
      </w:r>
      <w:bookmarkEnd w:id="36"/>
    </w:p>
    <w:p w14:paraId="5A239320">
      <w:pPr>
        <w:spacing w:line="600" w:lineRule="exact"/>
        <w:ind w:firstLine="640"/>
        <w:rPr>
          <w:rFonts w:ascii="仿宋" w:hAnsi="仿宋" w:eastAsia="仿宋"/>
          <w:sz w:val="32"/>
          <w:szCs w:val="32"/>
          <w:shd w:val="pct10" w:color="auto" w:fill="FFFFFF"/>
        </w:rPr>
      </w:pPr>
    </w:p>
    <w:p w14:paraId="1E6319B2">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ascii="仿宋" w:hAnsi="仿宋" w:eastAsia="仿宋"/>
          <w:sz w:val="32"/>
          <w:szCs w:val="32"/>
          <w:shd w:val="pct10" w:color="auto" w:fill="FFFFFF"/>
        </w:rPr>
      </w:pPr>
      <w:r>
        <w:drawing>
          <wp:inline distT="0" distB="0" distL="114300" distR="114300">
            <wp:extent cx="4826000" cy="2743200"/>
            <wp:effectExtent l="4445" t="4445" r="15875" b="1079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1D136A">
      <w:pPr>
        <w:spacing w:line="600" w:lineRule="exact"/>
        <w:jc w:val="center"/>
        <w:rPr>
          <w:rFonts w:ascii="仿宋_GB2312" w:eastAsia="仿宋_GB2312"/>
          <w:sz w:val="32"/>
          <w:szCs w:val="32"/>
        </w:rPr>
      </w:pPr>
      <w:r>
        <w:rPr>
          <w:rFonts w:hint="eastAsia" w:ascii="仿宋" w:hAnsi="仿宋" w:eastAsia="仿宋"/>
          <w:sz w:val="32"/>
          <w:szCs w:val="32"/>
        </w:rPr>
        <w:t>（图3：支出决算结构图）</w:t>
      </w:r>
    </w:p>
    <w:p w14:paraId="68B086FC">
      <w:pPr>
        <w:spacing w:line="600" w:lineRule="exact"/>
        <w:ind w:firstLine="640" w:firstLineChars="200"/>
        <w:outlineLvl w:val="1"/>
        <w:rPr>
          <w:rStyle w:val="28"/>
          <w:rFonts w:ascii="黑体" w:hAnsi="黑体" w:eastAsia="黑体"/>
          <w:b w:val="0"/>
        </w:rPr>
      </w:pPr>
      <w:bookmarkStart w:id="37" w:name="_Toc15396606"/>
      <w:bookmarkStart w:id="38" w:name="_Toc1589"/>
      <w:bookmarkStart w:id="39"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7"/>
      <w:bookmarkEnd w:id="38"/>
      <w:bookmarkEnd w:id="39"/>
    </w:p>
    <w:p w14:paraId="3FB98AD6">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1270.51</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98.59</w:t>
      </w:r>
      <w:r>
        <w:rPr>
          <w:rFonts w:hint="eastAsia" w:ascii="仿宋" w:hAnsi="仿宋" w:eastAsia="仿宋"/>
          <w:sz w:val="32"/>
          <w:szCs w:val="32"/>
        </w:rPr>
        <w:t>万元，增长</w:t>
      </w:r>
      <w:r>
        <w:rPr>
          <w:rFonts w:hint="eastAsia" w:ascii="仿宋" w:hAnsi="仿宋" w:eastAsia="仿宋"/>
          <w:sz w:val="32"/>
          <w:szCs w:val="32"/>
          <w:lang w:val="en-US" w:eastAsia="zh-CN"/>
        </w:rPr>
        <w:t>8.41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人员经费增加</w:t>
      </w:r>
      <w:r>
        <w:rPr>
          <w:rFonts w:hint="eastAsia" w:ascii="仿宋" w:hAnsi="仿宋" w:eastAsia="仿宋"/>
          <w:sz w:val="32"/>
          <w:szCs w:val="32"/>
        </w:rPr>
        <w:t>。</w:t>
      </w:r>
    </w:p>
    <w:p w14:paraId="7FF785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sz w:val="32"/>
          <w:szCs w:val="32"/>
        </w:rPr>
      </w:pPr>
      <w:r>
        <w:drawing>
          <wp:inline distT="0" distB="0" distL="114300" distR="114300">
            <wp:extent cx="4826000" cy="2743200"/>
            <wp:effectExtent l="4445" t="4445" r="1587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45CFD7B">
      <w:pPr>
        <w:spacing w:line="600" w:lineRule="exact"/>
        <w:rPr>
          <w:rFonts w:ascii="仿宋" w:hAnsi="仿宋" w:eastAsia="仿宋"/>
          <w:sz w:val="32"/>
          <w:szCs w:val="32"/>
        </w:rPr>
      </w:pPr>
    </w:p>
    <w:p w14:paraId="11740247">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（图4：财政拨款收、支决算总计变动情况）</w:t>
      </w:r>
    </w:p>
    <w:p w14:paraId="07D2C286">
      <w:pPr>
        <w:spacing w:line="600" w:lineRule="exact"/>
        <w:ind w:firstLine="640"/>
        <w:rPr>
          <w:rFonts w:ascii="仿宋" w:hAnsi="仿宋" w:eastAsia="仿宋"/>
          <w:b/>
          <w:sz w:val="32"/>
          <w:szCs w:val="32"/>
        </w:rPr>
      </w:pPr>
    </w:p>
    <w:p w14:paraId="3F1F3D04">
      <w:pPr>
        <w:spacing w:line="600" w:lineRule="exact"/>
        <w:ind w:firstLine="640" w:firstLineChars="200"/>
        <w:outlineLvl w:val="1"/>
        <w:rPr>
          <w:rStyle w:val="28"/>
          <w:rFonts w:ascii="黑体" w:hAnsi="黑体" w:eastAsia="黑体"/>
          <w:b w:val="0"/>
        </w:rPr>
      </w:pPr>
      <w:bookmarkStart w:id="40" w:name="_Toc15396607"/>
      <w:bookmarkStart w:id="41" w:name="_Toc5427"/>
      <w:bookmarkStart w:id="42"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40"/>
      <w:bookmarkEnd w:id="41"/>
      <w:bookmarkEnd w:id="42"/>
    </w:p>
    <w:p w14:paraId="69CE35E8">
      <w:pPr>
        <w:spacing w:line="600" w:lineRule="exact"/>
        <w:ind w:firstLine="643" w:firstLineChars="200"/>
        <w:outlineLvl w:val="2"/>
        <w:rPr>
          <w:rFonts w:ascii="仿宋" w:hAnsi="仿宋" w:eastAsia="仿宋"/>
          <w:b/>
          <w:sz w:val="32"/>
          <w:szCs w:val="32"/>
        </w:rPr>
      </w:pPr>
      <w:bookmarkStart w:id="43" w:name="_Toc15377210"/>
      <w:r>
        <w:rPr>
          <w:rFonts w:hint="eastAsia" w:ascii="仿宋" w:hAnsi="仿宋" w:eastAsia="仿宋"/>
          <w:b/>
          <w:sz w:val="32"/>
          <w:szCs w:val="32"/>
        </w:rPr>
        <w:t>（一）一般公共预算财政拨款支出决算总体情况</w:t>
      </w:r>
      <w:bookmarkEnd w:id="43"/>
    </w:p>
    <w:p w14:paraId="388E13AC">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1270.51</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98.59</w:t>
      </w:r>
      <w:r>
        <w:rPr>
          <w:rFonts w:hint="eastAsia" w:ascii="仿宋" w:hAnsi="仿宋" w:eastAsia="仿宋"/>
          <w:sz w:val="32"/>
          <w:szCs w:val="32"/>
        </w:rPr>
        <w:t>万元，增长</w:t>
      </w:r>
      <w:r>
        <w:rPr>
          <w:rFonts w:hint="eastAsia" w:ascii="仿宋" w:hAnsi="仿宋" w:eastAsia="仿宋"/>
          <w:sz w:val="32"/>
          <w:szCs w:val="32"/>
          <w:lang w:val="en-US" w:eastAsia="zh-CN"/>
        </w:rPr>
        <w:t>8.41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人员经费增加</w:t>
      </w:r>
      <w:r>
        <w:rPr>
          <w:rFonts w:hint="eastAsia" w:ascii="仿宋" w:hAnsi="仿宋" w:eastAsia="仿宋"/>
          <w:sz w:val="32"/>
          <w:szCs w:val="32"/>
        </w:rPr>
        <w:t>。</w:t>
      </w:r>
    </w:p>
    <w:p w14:paraId="1EF5EA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sz w:val="32"/>
          <w:szCs w:val="32"/>
        </w:rPr>
      </w:pPr>
      <w:r>
        <w:drawing>
          <wp:inline distT="0" distB="0" distL="114300" distR="114300">
            <wp:extent cx="4826000" cy="2743200"/>
            <wp:effectExtent l="4445" t="4445" r="15875" b="1079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D1D70F">
      <w:pPr>
        <w:spacing w:line="600" w:lineRule="exact"/>
        <w:ind w:firstLine="640" w:firstLineChars="200"/>
        <w:rPr>
          <w:rFonts w:hint="eastAsia" w:ascii="仿宋" w:hAnsi="仿宋" w:eastAsia="仿宋"/>
          <w:sz w:val="32"/>
          <w:szCs w:val="32"/>
        </w:rPr>
      </w:pPr>
    </w:p>
    <w:p w14:paraId="39564D78">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2E5C6252">
      <w:pPr>
        <w:spacing w:line="600" w:lineRule="exact"/>
        <w:ind w:firstLine="643" w:firstLineChars="200"/>
        <w:outlineLvl w:val="2"/>
        <w:rPr>
          <w:rFonts w:ascii="仿宋" w:hAnsi="仿宋" w:eastAsia="仿宋"/>
          <w:b/>
          <w:sz w:val="32"/>
          <w:szCs w:val="32"/>
        </w:rPr>
      </w:pPr>
      <w:bookmarkStart w:id="44" w:name="_Toc15377211"/>
      <w:r>
        <w:rPr>
          <w:rFonts w:hint="eastAsia" w:ascii="仿宋" w:hAnsi="仿宋" w:eastAsia="仿宋"/>
          <w:b/>
          <w:sz w:val="32"/>
          <w:szCs w:val="32"/>
        </w:rPr>
        <w:t>（二）一般公共预算财政拨款支出决算结构情况</w:t>
      </w:r>
      <w:bookmarkEnd w:id="44"/>
    </w:p>
    <w:p w14:paraId="2CFED58F">
      <w:pPr>
        <w:spacing w:line="600" w:lineRule="exact"/>
        <w:ind w:firstLine="640"/>
        <w:rPr>
          <w:rFonts w:hint="eastAsia"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1270.51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881.25</w:t>
      </w:r>
      <w:r>
        <w:rPr>
          <w:rFonts w:hint="eastAsia" w:ascii="仿宋" w:hAnsi="仿宋" w:eastAsia="仿宋"/>
          <w:sz w:val="32"/>
          <w:szCs w:val="32"/>
        </w:rPr>
        <w:t>万元，占</w:t>
      </w:r>
      <w:r>
        <w:rPr>
          <w:rFonts w:hint="eastAsia" w:ascii="仿宋" w:hAnsi="仿宋" w:eastAsia="仿宋"/>
          <w:sz w:val="32"/>
          <w:szCs w:val="32"/>
          <w:lang w:val="en-US" w:eastAsia="zh-CN"/>
        </w:rPr>
        <w:t>69.36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2.5</w:t>
      </w:r>
      <w:r>
        <w:rPr>
          <w:rFonts w:hint="eastAsia" w:ascii="仿宋" w:hAnsi="仿宋" w:eastAsia="仿宋"/>
          <w:b/>
          <w:bCs/>
          <w:sz w:val="32"/>
          <w:szCs w:val="32"/>
        </w:rPr>
        <w:t>万元，占</w:t>
      </w:r>
      <w:r>
        <w:rPr>
          <w:rFonts w:hint="eastAsia" w:ascii="仿宋" w:hAnsi="仿宋" w:eastAsia="仿宋"/>
          <w:b/>
          <w:bCs/>
          <w:sz w:val="32"/>
          <w:szCs w:val="32"/>
          <w:lang w:val="en-US" w:eastAsia="zh-CN"/>
        </w:rPr>
        <w:t>0.2</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275.53</w:t>
      </w:r>
      <w:r>
        <w:rPr>
          <w:rFonts w:hint="eastAsia" w:ascii="仿宋" w:hAnsi="仿宋" w:eastAsia="仿宋"/>
          <w:sz w:val="32"/>
          <w:szCs w:val="32"/>
        </w:rPr>
        <w:t>万元，占</w:t>
      </w:r>
      <w:r>
        <w:rPr>
          <w:rFonts w:hint="eastAsia" w:ascii="仿宋" w:hAnsi="仿宋" w:eastAsia="仿宋"/>
          <w:sz w:val="32"/>
          <w:szCs w:val="32"/>
          <w:lang w:val="en-US" w:eastAsia="zh-CN"/>
        </w:rPr>
        <w:t>21.69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39.32</w:t>
      </w:r>
      <w:r>
        <w:rPr>
          <w:rFonts w:hint="eastAsia" w:ascii="仿宋" w:hAnsi="仿宋" w:eastAsia="仿宋"/>
          <w:sz w:val="32"/>
          <w:szCs w:val="32"/>
        </w:rPr>
        <w:t>万元，占</w:t>
      </w:r>
      <w:r>
        <w:rPr>
          <w:rFonts w:hint="eastAsia" w:ascii="仿宋" w:hAnsi="仿宋" w:eastAsia="仿宋"/>
          <w:sz w:val="32"/>
          <w:szCs w:val="32"/>
          <w:lang w:val="en-US" w:eastAsia="zh-CN"/>
        </w:rPr>
        <w:t>3.1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71.91</w:t>
      </w:r>
      <w:r>
        <w:rPr>
          <w:rFonts w:hint="eastAsia" w:ascii="仿宋" w:hAnsi="仿宋" w:eastAsia="仿宋"/>
          <w:sz w:val="32"/>
          <w:szCs w:val="32"/>
        </w:rPr>
        <w:t>万元，占</w:t>
      </w:r>
      <w:r>
        <w:rPr>
          <w:rFonts w:hint="eastAsia" w:ascii="仿宋" w:hAnsi="仿宋" w:eastAsia="仿宋"/>
          <w:sz w:val="32"/>
          <w:szCs w:val="32"/>
          <w:lang w:val="en-US" w:eastAsia="zh-CN"/>
        </w:rPr>
        <w:t>5.65</w:t>
      </w:r>
      <w:r>
        <w:rPr>
          <w:rFonts w:ascii="仿宋" w:hAnsi="仿宋" w:eastAsia="仿宋"/>
          <w:sz w:val="32"/>
          <w:szCs w:val="32"/>
        </w:rPr>
        <w:t>%</w:t>
      </w:r>
      <w:r>
        <w:rPr>
          <w:rFonts w:hint="eastAsia" w:ascii="仿宋" w:hAnsi="仿宋" w:eastAsia="仿宋"/>
          <w:sz w:val="32"/>
          <w:szCs w:val="32"/>
        </w:rPr>
        <w:t>。</w:t>
      </w:r>
    </w:p>
    <w:p w14:paraId="595ECE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sz w:val="32"/>
          <w:szCs w:val="32"/>
        </w:rPr>
      </w:pPr>
      <w:r>
        <w:drawing>
          <wp:inline distT="0" distB="0" distL="114300" distR="114300">
            <wp:extent cx="4826000" cy="2743200"/>
            <wp:effectExtent l="4445" t="4445" r="15875" b="1079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5B20EB">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033E6282">
      <w:pPr>
        <w:spacing w:line="600" w:lineRule="exact"/>
        <w:ind w:firstLine="643" w:firstLineChars="200"/>
        <w:outlineLvl w:val="2"/>
        <w:rPr>
          <w:rFonts w:ascii="仿宋" w:hAnsi="仿宋" w:eastAsia="仿宋"/>
          <w:b/>
          <w:sz w:val="32"/>
          <w:szCs w:val="32"/>
        </w:rPr>
      </w:pPr>
      <w:bookmarkStart w:id="45" w:name="_Toc15377212"/>
      <w:r>
        <w:rPr>
          <w:rFonts w:hint="eastAsia" w:ascii="仿宋" w:hAnsi="仿宋" w:eastAsia="仿宋"/>
          <w:b/>
          <w:sz w:val="32"/>
          <w:szCs w:val="32"/>
        </w:rPr>
        <w:t>（三）一般公共预算财政拨款支出决算具体情况</w:t>
      </w:r>
      <w:bookmarkEnd w:id="45"/>
    </w:p>
    <w:p w14:paraId="149672F7">
      <w:pPr>
        <w:spacing w:line="600" w:lineRule="exact"/>
        <w:ind w:firstLine="643" w:firstLineChars="200"/>
        <w:outlineLvl w:val="1"/>
        <w:rPr>
          <w:rFonts w:ascii="仿宋" w:hAnsi="仿宋" w:eastAsia="仿宋"/>
          <w:sz w:val="32"/>
          <w:szCs w:val="32"/>
        </w:rPr>
      </w:pPr>
      <w:bookmarkStart w:id="46" w:name="_Toc15378460"/>
      <w:bookmarkStart w:id="47" w:name="_Toc15377213"/>
      <w:bookmarkStart w:id="48" w:name="_Toc23572"/>
      <w:bookmarkStart w:id="49" w:name="_Toc15377444"/>
      <w:r>
        <w:rPr>
          <w:rFonts w:hint="eastAsia" w:ascii="仿宋" w:hAnsi="仿宋" w:eastAsia="仿宋"/>
          <w:b/>
          <w:sz w:val="32"/>
          <w:szCs w:val="32"/>
        </w:rPr>
        <w:t>2023年度一般公共预算支出决算数为</w:t>
      </w:r>
      <w:r>
        <w:rPr>
          <w:rFonts w:ascii="仿宋" w:hAnsi="仿宋" w:eastAsia="仿宋"/>
          <w:b/>
          <w:sz w:val="32"/>
          <w:szCs w:val="32"/>
        </w:rPr>
        <w:t>1270.51</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46"/>
      <w:bookmarkEnd w:id="47"/>
      <w:bookmarkEnd w:id="48"/>
      <w:bookmarkEnd w:id="49"/>
    </w:p>
    <w:p w14:paraId="394A6BB2">
      <w:pPr>
        <w:numPr>
          <w:ilvl w:val="0"/>
          <w:numId w:val="3"/>
        </w:numPr>
        <w:spacing w:line="600" w:lineRule="exact"/>
        <w:ind w:firstLine="643" w:firstLineChars="200"/>
        <w:rPr>
          <w:rStyle w:val="16"/>
          <w:rFonts w:ascii="仿宋" w:hAnsi="仿宋" w:eastAsia="仿宋"/>
          <w:b w:val="0"/>
          <w:bCs/>
          <w:sz w:val="32"/>
          <w:szCs w:val="32"/>
        </w:rPr>
      </w:pPr>
      <w:r>
        <w:rPr>
          <w:rStyle w:val="16"/>
          <w:rFonts w:hint="eastAsia" w:ascii="仿宋" w:hAnsi="仿宋" w:eastAsia="仿宋"/>
          <w:bCs/>
          <w:sz w:val="32"/>
          <w:szCs w:val="32"/>
        </w:rPr>
        <w:t>教育（205）普通教育（02）学前教育（01）</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16.69</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0C01CBE7">
      <w:pPr>
        <w:numPr>
          <w:ilvl w:val="0"/>
          <w:numId w:val="3"/>
        </w:numPr>
        <w:spacing w:line="600" w:lineRule="exact"/>
        <w:ind w:firstLine="643" w:firstLineChars="200"/>
        <w:rPr>
          <w:rStyle w:val="16"/>
          <w:rFonts w:ascii="仿宋" w:hAnsi="仿宋" w:eastAsia="仿宋"/>
          <w:b w:val="0"/>
          <w:bCs/>
          <w:sz w:val="32"/>
          <w:szCs w:val="32"/>
        </w:rPr>
      </w:pPr>
      <w:r>
        <w:rPr>
          <w:rStyle w:val="16"/>
          <w:rFonts w:hint="eastAsia" w:ascii="仿宋" w:hAnsi="仿宋" w:eastAsia="仿宋"/>
          <w:bCs/>
          <w:sz w:val="32"/>
          <w:szCs w:val="32"/>
        </w:rPr>
        <w:t>教育（205）普通教育（02）小学教育（02）</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543.14</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290C4865">
      <w:pPr>
        <w:numPr>
          <w:ilvl w:val="0"/>
          <w:numId w:val="3"/>
        </w:numPr>
        <w:spacing w:line="600" w:lineRule="exact"/>
        <w:ind w:left="0" w:leftChars="0" w:firstLine="643" w:firstLineChars="200"/>
        <w:rPr>
          <w:rStyle w:val="16"/>
          <w:rFonts w:hint="eastAsia" w:ascii="仿宋" w:hAnsi="仿宋" w:eastAsia="仿宋"/>
          <w:b w:val="0"/>
          <w:bCs/>
          <w:sz w:val="32"/>
          <w:szCs w:val="32"/>
        </w:rPr>
      </w:pPr>
      <w:r>
        <w:rPr>
          <w:rStyle w:val="16"/>
          <w:rFonts w:hint="eastAsia" w:ascii="仿宋" w:hAnsi="仿宋" w:eastAsia="仿宋"/>
          <w:bCs/>
          <w:sz w:val="32"/>
          <w:szCs w:val="32"/>
        </w:rPr>
        <w:t>教育（205）普通教育（02）初中教育（03）</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321.42</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1E4CE7F0">
      <w:pPr>
        <w:numPr>
          <w:ilvl w:val="0"/>
          <w:numId w:val="0"/>
        </w:numPr>
        <w:spacing w:line="600" w:lineRule="exact"/>
        <w:ind w:firstLine="643" w:firstLineChars="200"/>
        <w:rPr>
          <w:rStyle w:val="16"/>
          <w:rFonts w:hint="default" w:ascii="仿宋" w:hAnsi="仿宋" w:eastAsia="仿宋"/>
          <w:b w:val="0"/>
          <w:bCs/>
          <w:sz w:val="32"/>
          <w:szCs w:val="32"/>
          <w:lang w:val="en-US" w:eastAsia="zh-CN"/>
        </w:rPr>
      </w:pPr>
      <w:r>
        <w:rPr>
          <w:rStyle w:val="16"/>
          <w:rFonts w:hint="eastAsia" w:ascii="仿宋" w:hAnsi="仿宋" w:eastAsia="仿宋"/>
          <w:bCs/>
          <w:sz w:val="32"/>
          <w:szCs w:val="32"/>
          <w:lang w:val="en-US" w:eastAsia="zh-CN"/>
        </w:rPr>
        <w:t>4.文化旅游体育与传媒支出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207</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其他文化旅游体育与传媒支出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宣传文化发展专项支出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2.5</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758DC61E">
      <w:pPr>
        <w:ind w:firstLine="630" w:firstLineChars="196"/>
        <w:rPr>
          <w:rStyle w:val="16"/>
          <w:rFonts w:ascii="仿宋" w:hAnsi="仿宋" w:eastAsia="仿宋"/>
          <w:b w:val="0"/>
          <w:bCs/>
          <w:sz w:val="32"/>
          <w:szCs w:val="32"/>
        </w:rPr>
      </w:pPr>
      <w:r>
        <w:rPr>
          <w:rStyle w:val="16"/>
          <w:rFonts w:hint="eastAsia" w:ascii="仿宋" w:hAnsi="仿宋" w:eastAsia="仿宋"/>
          <w:bCs/>
          <w:sz w:val="32"/>
          <w:szCs w:val="32"/>
          <w:lang w:val="en-US" w:eastAsia="zh-CN"/>
        </w:rPr>
        <w:t>5</w:t>
      </w:r>
      <w:r>
        <w:rPr>
          <w:rStyle w:val="16"/>
          <w:rFonts w:ascii="仿宋" w:hAnsi="仿宋" w:eastAsia="仿宋"/>
          <w:bCs/>
          <w:sz w:val="32"/>
          <w:szCs w:val="32"/>
        </w:rPr>
        <w:t>.</w:t>
      </w:r>
      <w:r>
        <w:rPr>
          <w:rStyle w:val="16"/>
          <w:rFonts w:hint="eastAsia" w:ascii="仿宋" w:hAnsi="仿宋" w:eastAsia="仿宋"/>
          <w:bCs/>
          <w:sz w:val="32"/>
          <w:szCs w:val="32"/>
        </w:rPr>
        <w:t>社会保障和就业（208）行政事业单位养老支出（05）事业单位离退休（02）</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43.88</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5D2B0D7A">
      <w:pPr>
        <w:ind w:firstLine="630" w:firstLineChars="196"/>
      </w:pPr>
      <w:r>
        <w:rPr>
          <w:rStyle w:val="16"/>
          <w:rFonts w:hint="eastAsia" w:ascii="仿宋" w:hAnsi="仿宋" w:eastAsia="仿宋"/>
          <w:bCs/>
          <w:sz w:val="32"/>
          <w:szCs w:val="32"/>
          <w:lang w:val="en-US" w:eastAsia="zh-CN"/>
        </w:rPr>
        <w:t>6</w:t>
      </w:r>
      <w:r>
        <w:rPr>
          <w:rStyle w:val="16"/>
          <w:rFonts w:hint="eastAsia" w:ascii="仿宋" w:hAnsi="仿宋" w:eastAsia="仿宋"/>
          <w:bCs/>
          <w:sz w:val="32"/>
          <w:szCs w:val="32"/>
        </w:rPr>
        <w:t>.社会保障和就业（208）行政事业单位养老支出（05）机关事业单位基本养老保险缴费支出（05）：</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42.97</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5B08874A">
      <w:pPr>
        <w:ind w:firstLine="630" w:firstLineChars="196"/>
        <w:rPr>
          <w:rStyle w:val="16"/>
          <w:rFonts w:ascii="仿宋" w:hAnsi="仿宋" w:eastAsia="仿宋"/>
          <w:bCs/>
          <w:sz w:val="32"/>
          <w:szCs w:val="32"/>
        </w:rPr>
      </w:pPr>
      <w:r>
        <w:rPr>
          <w:rStyle w:val="16"/>
          <w:rFonts w:hint="eastAsia" w:ascii="仿宋" w:hAnsi="仿宋" w:eastAsia="仿宋"/>
          <w:bCs/>
          <w:sz w:val="32"/>
          <w:szCs w:val="32"/>
          <w:lang w:val="en-US" w:eastAsia="zh-CN"/>
        </w:rPr>
        <w:t>7</w:t>
      </w:r>
      <w:r>
        <w:rPr>
          <w:rStyle w:val="16"/>
          <w:rFonts w:hint="eastAsia" w:ascii="仿宋" w:hAnsi="仿宋" w:eastAsia="仿宋"/>
          <w:bCs/>
          <w:sz w:val="32"/>
          <w:szCs w:val="32"/>
        </w:rPr>
        <w:t>.社会保障和就业（208）行政事业单位养老支出（05）机关事业单位职业年金缴费支出（06）</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18.24</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5733DDAE">
      <w:pPr>
        <w:spacing w:line="600" w:lineRule="exact"/>
        <w:ind w:firstLine="643" w:firstLineChars="200"/>
        <w:rPr>
          <w:rStyle w:val="16"/>
          <w:rFonts w:hint="eastAsia" w:ascii="仿宋" w:hAnsi="仿宋" w:eastAsia="仿宋"/>
          <w:bCs/>
          <w:sz w:val="32"/>
          <w:szCs w:val="32"/>
          <w:lang w:val="en-US" w:eastAsia="zh-CN"/>
        </w:rPr>
      </w:pPr>
      <w:r>
        <w:rPr>
          <w:rStyle w:val="16"/>
          <w:rFonts w:hint="eastAsia" w:ascii="仿宋" w:hAnsi="仿宋" w:eastAsia="仿宋"/>
          <w:bCs/>
          <w:sz w:val="32"/>
          <w:szCs w:val="32"/>
          <w:lang w:val="en-US" w:eastAsia="zh-CN"/>
        </w:rPr>
        <w:t>8.</w:t>
      </w:r>
      <w:r>
        <w:rPr>
          <w:rStyle w:val="16"/>
          <w:rFonts w:hint="eastAsia" w:ascii="仿宋" w:hAnsi="仿宋" w:eastAsia="仿宋"/>
          <w:bCs/>
          <w:sz w:val="32"/>
          <w:szCs w:val="32"/>
        </w:rPr>
        <w:t>社会保障和就业（208）行政事业单位养老支出（05）</w:t>
      </w:r>
      <w:r>
        <w:rPr>
          <w:rStyle w:val="16"/>
          <w:rFonts w:hint="eastAsia" w:ascii="仿宋" w:hAnsi="仿宋" w:eastAsia="仿宋"/>
          <w:bCs/>
          <w:sz w:val="32"/>
          <w:szCs w:val="32"/>
          <w:lang w:val="en-US" w:eastAsia="zh-CN"/>
        </w:rPr>
        <w:t>其他</w:t>
      </w:r>
      <w:r>
        <w:rPr>
          <w:rStyle w:val="16"/>
          <w:rFonts w:hint="eastAsia" w:ascii="仿宋" w:hAnsi="仿宋" w:eastAsia="仿宋"/>
          <w:bCs/>
          <w:sz w:val="32"/>
          <w:szCs w:val="32"/>
        </w:rPr>
        <w:t>行政事业单位养老支出（</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153.26</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1D319077">
      <w:pPr>
        <w:spacing w:line="600" w:lineRule="exact"/>
        <w:ind w:firstLine="643" w:firstLineChars="200"/>
        <w:rPr>
          <w:rStyle w:val="16"/>
          <w:rFonts w:ascii="仿宋" w:hAnsi="仿宋" w:eastAsia="仿宋"/>
          <w:bCs/>
          <w:sz w:val="32"/>
          <w:szCs w:val="32"/>
        </w:rPr>
      </w:pPr>
      <w:r>
        <w:rPr>
          <w:rStyle w:val="16"/>
          <w:rFonts w:hint="eastAsia" w:ascii="仿宋" w:hAnsi="仿宋" w:eastAsia="仿宋"/>
          <w:bCs/>
          <w:sz w:val="32"/>
          <w:szCs w:val="32"/>
          <w:lang w:val="en-US" w:eastAsia="zh-CN"/>
        </w:rPr>
        <w:t>9</w:t>
      </w:r>
      <w:r>
        <w:rPr>
          <w:rStyle w:val="16"/>
          <w:rFonts w:hint="eastAsia" w:ascii="仿宋" w:hAnsi="仿宋" w:eastAsia="仿宋"/>
          <w:bCs/>
          <w:sz w:val="32"/>
          <w:szCs w:val="32"/>
        </w:rPr>
        <w:t>.社会保障和就业（208）抚恤（08）死亡抚恤（01）：</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17.18</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1A3B1FE6">
      <w:pPr>
        <w:ind w:firstLine="630" w:firstLineChars="196"/>
        <w:rPr>
          <w:rFonts w:ascii="仿宋" w:hAnsi="仿宋" w:eastAsia="仿宋"/>
          <w:b/>
          <w:bCs/>
          <w:sz w:val="32"/>
          <w:szCs w:val="32"/>
        </w:rPr>
      </w:pPr>
      <w:r>
        <w:rPr>
          <w:rFonts w:hint="eastAsia" w:ascii="仿宋" w:hAnsi="仿宋" w:eastAsia="仿宋"/>
          <w:b/>
          <w:bCs/>
          <w:sz w:val="32"/>
          <w:szCs w:val="32"/>
          <w:lang w:val="en-US" w:eastAsia="zh-CN"/>
        </w:rPr>
        <w:t>10</w:t>
      </w:r>
      <w:r>
        <w:rPr>
          <w:rFonts w:hint="eastAsia" w:ascii="仿宋" w:hAnsi="仿宋" w:eastAsia="仿宋"/>
          <w:b/>
          <w:bCs/>
          <w:sz w:val="32"/>
          <w:szCs w:val="32"/>
        </w:rPr>
        <w:t>.卫生健康</w:t>
      </w:r>
      <w:r>
        <w:rPr>
          <w:rStyle w:val="16"/>
          <w:rFonts w:hint="eastAsia" w:ascii="仿宋" w:hAnsi="仿宋" w:eastAsia="仿宋"/>
          <w:bCs/>
          <w:sz w:val="32"/>
          <w:szCs w:val="32"/>
        </w:rPr>
        <w:t>（210）</w:t>
      </w:r>
      <w:r>
        <w:rPr>
          <w:rFonts w:hint="eastAsia" w:ascii="仿宋" w:hAnsi="仿宋" w:eastAsia="仿宋"/>
          <w:b/>
          <w:bCs/>
          <w:sz w:val="32"/>
          <w:szCs w:val="32"/>
        </w:rPr>
        <w:t>行政事业单位医疗</w:t>
      </w:r>
      <w:r>
        <w:rPr>
          <w:rStyle w:val="16"/>
          <w:rFonts w:hint="eastAsia" w:ascii="仿宋" w:hAnsi="仿宋" w:eastAsia="仿宋"/>
          <w:bCs/>
          <w:sz w:val="32"/>
          <w:szCs w:val="32"/>
        </w:rPr>
        <w:t>（11）</w:t>
      </w:r>
      <w:r>
        <w:rPr>
          <w:rFonts w:hint="eastAsia" w:ascii="仿宋" w:hAnsi="仿宋" w:eastAsia="仿宋"/>
          <w:b/>
          <w:bCs/>
          <w:sz w:val="32"/>
          <w:szCs w:val="32"/>
        </w:rPr>
        <w:t>事业单位医疗</w:t>
      </w:r>
      <w:r>
        <w:rPr>
          <w:rStyle w:val="16"/>
          <w:rFonts w:hint="eastAsia" w:ascii="仿宋" w:hAnsi="仿宋" w:eastAsia="仿宋"/>
          <w:bCs/>
          <w:sz w:val="32"/>
          <w:szCs w:val="32"/>
        </w:rPr>
        <w:t>（02）</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39.32</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6A75E6EF">
      <w:pPr>
        <w:spacing w:line="600" w:lineRule="exact"/>
        <w:ind w:firstLine="643" w:firstLineChars="200"/>
        <w:rPr>
          <w:rFonts w:hint="eastAsia" w:ascii="仿宋" w:hAnsi="仿宋" w:eastAsia="仿宋"/>
          <w:b/>
          <w:sz w:val="32"/>
          <w:szCs w:val="32"/>
        </w:rPr>
      </w:pPr>
      <w:r>
        <w:rPr>
          <w:rStyle w:val="16"/>
          <w:rFonts w:hint="eastAsia" w:ascii="仿宋" w:hAnsi="仿宋" w:eastAsia="仿宋"/>
          <w:bCs/>
          <w:sz w:val="32"/>
          <w:szCs w:val="32"/>
          <w:lang w:val="en-US" w:eastAsia="zh-CN"/>
        </w:rPr>
        <w:t>11</w:t>
      </w:r>
      <w:r>
        <w:rPr>
          <w:rStyle w:val="16"/>
          <w:rFonts w:ascii="仿宋" w:hAnsi="仿宋" w:eastAsia="仿宋"/>
          <w:bCs/>
          <w:sz w:val="32"/>
          <w:szCs w:val="32"/>
        </w:rPr>
        <w:t>.</w:t>
      </w:r>
      <w:r>
        <w:rPr>
          <w:rFonts w:hint="eastAsia" w:ascii="仿宋" w:hAnsi="仿宋" w:eastAsia="仿宋"/>
          <w:b/>
          <w:bCs/>
          <w:sz w:val="32"/>
          <w:szCs w:val="32"/>
        </w:rPr>
        <w:t>住房保障支出（221）住房改革支出（02）住房公积金</w:t>
      </w:r>
      <w:r>
        <w:rPr>
          <w:rStyle w:val="16"/>
          <w:rFonts w:hint="eastAsia"/>
          <w:sz w:val="32"/>
          <w:szCs w:val="32"/>
        </w:rPr>
        <w:t>（01</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71.91</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14:paraId="0066EE76">
      <w:pPr>
        <w:tabs>
          <w:tab w:val="right" w:pos="8306"/>
        </w:tabs>
        <w:spacing w:line="600" w:lineRule="exact"/>
        <w:ind w:firstLine="640"/>
        <w:outlineLvl w:val="1"/>
        <w:rPr>
          <w:rStyle w:val="28"/>
        </w:rPr>
      </w:pPr>
      <w:bookmarkStart w:id="50" w:name="_Toc15396608"/>
      <w:bookmarkStart w:id="51" w:name="_Toc15377214"/>
      <w:bookmarkStart w:id="52" w:name="_Toc17810"/>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50"/>
      <w:bookmarkEnd w:id="51"/>
      <w:bookmarkEnd w:id="52"/>
      <w:r>
        <w:rPr>
          <w:rStyle w:val="28"/>
          <w:rFonts w:ascii="黑体" w:hAnsi="黑体" w:eastAsia="黑体"/>
          <w:b w:val="0"/>
        </w:rPr>
        <w:tab/>
      </w:r>
    </w:p>
    <w:p w14:paraId="6C967EBA">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1196.03</w:t>
      </w:r>
      <w:r>
        <w:rPr>
          <w:rFonts w:hint="eastAsia" w:ascii="仿宋" w:hAnsi="仿宋" w:eastAsia="仿宋"/>
          <w:sz w:val="32"/>
          <w:szCs w:val="32"/>
        </w:rPr>
        <w:t>万元，其中：</w:t>
      </w:r>
    </w:p>
    <w:p w14:paraId="3B3581E1">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ascii="仿宋" w:hAnsi="仿宋" w:eastAsia="仿宋"/>
          <w:b/>
          <w:sz w:val="32"/>
          <w:szCs w:val="32"/>
        </w:rPr>
        <w:t>1101.88</w:t>
      </w:r>
      <w:r>
        <w:rPr>
          <w:rFonts w:hint="eastAsia" w:ascii="仿宋" w:hAnsi="仿宋" w:eastAsia="仿宋"/>
          <w:sz w:val="32"/>
          <w:szCs w:val="32"/>
        </w:rPr>
        <w:t>万元，主要包括：基本工资</w:t>
      </w:r>
      <w:r>
        <w:rPr>
          <w:rFonts w:hint="eastAsia" w:ascii="仿宋" w:hAnsi="仿宋" w:eastAsia="仿宋"/>
          <w:sz w:val="32"/>
          <w:szCs w:val="32"/>
          <w:lang w:val="en-US" w:eastAsia="zh-CN"/>
        </w:rPr>
        <w:t>293.33万元</w:t>
      </w:r>
      <w:r>
        <w:rPr>
          <w:rFonts w:hint="eastAsia" w:ascii="仿宋" w:hAnsi="仿宋" w:eastAsia="仿宋"/>
          <w:sz w:val="32"/>
          <w:szCs w:val="32"/>
        </w:rPr>
        <w:t>、津贴补贴</w:t>
      </w:r>
      <w:r>
        <w:rPr>
          <w:rFonts w:hint="eastAsia" w:ascii="仿宋" w:hAnsi="仿宋" w:eastAsia="仿宋"/>
          <w:sz w:val="32"/>
          <w:szCs w:val="32"/>
          <w:lang w:val="en-US" w:eastAsia="zh-CN"/>
        </w:rPr>
        <w:t>48.3万元</w:t>
      </w:r>
      <w:r>
        <w:rPr>
          <w:rFonts w:hint="eastAsia" w:ascii="仿宋" w:hAnsi="仿宋" w:eastAsia="仿宋"/>
          <w:sz w:val="32"/>
          <w:szCs w:val="32"/>
        </w:rPr>
        <w:t>、绩效工资</w:t>
      </w:r>
      <w:r>
        <w:rPr>
          <w:rFonts w:hint="eastAsia" w:ascii="仿宋" w:hAnsi="仿宋" w:eastAsia="仿宋"/>
          <w:sz w:val="32"/>
          <w:szCs w:val="32"/>
          <w:lang w:val="en-US" w:eastAsia="zh-CN"/>
        </w:rPr>
        <w:t>181.25万元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42.97万元</w:t>
      </w:r>
      <w:r>
        <w:rPr>
          <w:rFonts w:hint="eastAsia" w:ascii="仿宋" w:hAnsi="仿宋" w:eastAsia="仿宋"/>
          <w:sz w:val="32"/>
          <w:szCs w:val="32"/>
        </w:rPr>
        <w:t>、职业年金缴费</w:t>
      </w:r>
      <w:r>
        <w:rPr>
          <w:rFonts w:hint="eastAsia" w:ascii="仿宋" w:hAnsi="仿宋" w:eastAsia="仿宋"/>
          <w:sz w:val="32"/>
          <w:szCs w:val="32"/>
          <w:lang w:val="en-US" w:eastAsia="zh-CN"/>
        </w:rPr>
        <w:t>18.24万元职工基本医疗保险缴费39.32万元</w:t>
      </w:r>
      <w:r>
        <w:rPr>
          <w:rFonts w:hint="eastAsia" w:ascii="仿宋" w:hAnsi="仿宋" w:eastAsia="仿宋"/>
          <w:sz w:val="32"/>
          <w:szCs w:val="32"/>
        </w:rPr>
        <w:t>、住房公积金</w:t>
      </w:r>
      <w:r>
        <w:rPr>
          <w:rFonts w:hint="eastAsia" w:ascii="仿宋" w:hAnsi="仿宋" w:eastAsia="仿宋"/>
          <w:sz w:val="32"/>
          <w:szCs w:val="32"/>
          <w:lang w:val="en-US" w:eastAsia="zh-CN"/>
        </w:rPr>
        <w:t>71.91万元、</w:t>
      </w:r>
      <w:r>
        <w:rPr>
          <w:rFonts w:hint="eastAsia" w:ascii="仿宋" w:hAnsi="仿宋" w:eastAsia="仿宋"/>
          <w:sz w:val="32"/>
          <w:szCs w:val="32"/>
        </w:rPr>
        <w:t>其他工资福利支出</w:t>
      </w:r>
      <w:r>
        <w:rPr>
          <w:rFonts w:hint="eastAsia" w:ascii="仿宋" w:hAnsi="仿宋" w:eastAsia="仿宋"/>
          <w:sz w:val="32"/>
          <w:szCs w:val="32"/>
          <w:lang w:val="en-US" w:eastAsia="zh-CN"/>
        </w:rPr>
        <w:t>191.88万元</w:t>
      </w:r>
      <w:r>
        <w:rPr>
          <w:rFonts w:hint="eastAsia" w:ascii="仿宋" w:hAnsi="仿宋" w:eastAsia="仿宋"/>
          <w:sz w:val="32"/>
          <w:szCs w:val="32"/>
        </w:rPr>
        <w:t>、退休费</w:t>
      </w:r>
      <w:r>
        <w:rPr>
          <w:rFonts w:hint="eastAsia" w:ascii="仿宋" w:hAnsi="仿宋" w:eastAsia="仿宋"/>
          <w:sz w:val="32"/>
          <w:szCs w:val="32"/>
          <w:lang w:val="en-US" w:eastAsia="zh-CN"/>
        </w:rPr>
        <w:t>43.88万元</w:t>
      </w:r>
      <w:r>
        <w:rPr>
          <w:rFonts w:hint="eastAsia" w:ascii="仿宋" w:hAnsi="仿宋" w:eastAsia="仿宋"/>
          <w:sz w:val="32"/>
          <w:szCs w:val="32"/>
        </w:rPr>
        <w:t>、抚恤金</w:t>
      </w:r>
      <w:r>
        <w:rPr>
          <w:rFonts w:hint="eastAsia" w:ascii="仿宋" w:hAnsi="仿宋" w:eastAsia="仿宋"/>
          <w:sz w:val="32"/>
          <w:szCs w:val="32"/>
          <w:lang w:val="en-US" w:eastAsia="zh-CN"/>
        </w:rPr>
        <w:t>17.18万元</w:t>
      </w:r>
      <w:r>
        <w:rPr>
          <w:rFonts w:hint="eastAsia" w:ascii="仿宋" w:hAnsi="仿宋" w:eastAsia="仿宋"/>
          <w:sz w:val="32"/>
          <w:szCs w:val="32"/>
        </w:rPr>
        <w:t>、生活补助</w:t>
      </w:r>
      <w:r>
        <w:rPr>
          <w:rFonts w:hint="eastAsia" w:ascii="仿宋" w:hAnsi="仿宋" w:eastAsia="仿宋"/>
          <w:sz w:val="32"/>
          <w:szCs w:val="32"/>
          <w:lang w:val="en-US" w:eastAsia="zh-CN"/>
        </w:rPr>
        <w:t>153.62万元</w:t>
      </w:r>
      <w:r>
        <w:rPr>
          <w:rFonts w:hint="eastAsia" w:ascii="仿宋" w:hAnsi="仿宋" w:eastAsia="仿宋"/>
          <w:sz w:val="32"/>
          <w:szCs w:val="32"/>
        </w:rPr>
        <w:t>、对个人和家庭的补助支出等。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94.15</w:t>
      </w:r>
      <w:r>
        <w:rPr>
          <w:rFonts w:hint="eastAsia" w:ascii="仿宋" w:hAnsi="仿宋" w:eastAsia="仿宋"/>
          <w:sz w:val="32"/>
          <w:szCs w:val="32"/>
        </w:rPr>
        <w:t>万元，主要包括：办公费</w:t>
      </w:r>
      <w:r>
        <w:rPr>
          <w:rFonts w:hint="eastAsia" w:ascii="仿宋" w:hAnsi="仿宋" w:eastAsia="仿宋"/>
          <w:sz w:val="32"/>
          <w:szCs w:val="32"/>
          <w:lang w:val="en-US" w:eastAsia="zh-CN"/>
        </w:rPr>
        <w:t>35.66万元</w:t>
      </w:r>
      <w:r>
        <w:rPr>
          <w:rFonts w:hint="eastAsia" w:ascii="仿宋" w:hAnsi="仿宋" w:eastAsia="仿宋"/>
          <w:sz w:val="32"/>
          <w:szCs w:val="32"/>
        </w:rPr>
        <w:t>、水费</w:t>
      </w:r>
      <w:r>
        <w:rPr>
          <w:rFonts w:hint="eastAsia" w:ascii="仿宋" w:hAnsi="仿宋" w:eastAsia="仿宋"/>
          <w:sz w:val="32"/>
          <w:szCs w:val="32"/>
          <w:lang w:val="en-US" w:eastAsia="zh-CN"/>
        </w:rPr>
        <w:t>1.0万元</w:t>
      </w:r>
      <w:r>
        <w:rPr>
          <w:rFonts w:hint="eastAsia" w:ascii="仿宋" w:hAnsi="仿宋" w:eastAsia="仿宋"/>
          <w:sz w:val="32"/>
          <w:szCs w:val="32"/>
        </w:rPr>
        <w:t>、电费</w:t>
      </w:r>
      <w:r>
        <w:rPr>
          <w:rFonts w:hint="eastAsia" w:ascii="仿宋" w:hAnsi="仿宋" w:eastAsia="仿宋"/>
          <w:sz w:val="32"/>
          <w:szCs w:val="32"/>
          <w:lang w:val="en-US" w:eastAsia="zh-CN"/>
        </w:rPr>
        <w:t>2.22万元</w:t>
      </w:r>
      <w:r>
        <w:rPr>
          <w:rFonts w:hint="eastAsia" w:ascii="仿宋" w:hAnsi="仿宋" w:eastAsia="仿宋"/>
          <w:sz w:val="32"/>
          <w:szCs w:val="32"/>
        </w:rPr>
        <w:t>、邮电费</w:t>
      </w:r>
      <w:r>
        <w:rPr>
          <w:rFonts w:hint="eastAsia" w:ascii="仿宋" w:hAnsi="仿宋" w:eastAsia="仿宋"/>
          <w:sz w:val="32"/>
          <w:szCs w:val="32"/>
          <w:lang w:val="en-US" w:eastAsia="zh-CN"/>
        </w:rPr>
        <w:t>2.18万元</w:t>
      </w:r>
      <w:r>
        <w:rPr>
          <w:rFonts w:hint="eastAsia" w:ascii="仿宋" w:hAnsi="仿宋" w:eastAsia="仿宋"/>
          <w:sz w:val="32"/>
          <w:szCs w:val="32"/>
        </w:rPr>
        <w:t>、差旅费</w:t>
      </w:r>
      <w:r>
        <w:rPr>
          <w:rFonts w:hint="eastAsia" w:ascii="仿宋" w:hAnsi="仿宋" w:eastAsia="仿宋"/>
          <w:sz w:val="32"/>
          <w:szCs w:val="32"/>
          <w:lang w:val="en-US" w:eastAsia="zh-CN"/>
        </w:rPr>
        <w:t>5.48万元</w:t>
      </w:r>
      <w:r>
        <w:rPr>
          <w:rFonts w:hint="eastAsia" w:ascii="仿宋" w:hAnsi="仿宋" w:eastAsia="仿宋"/>
          <w:sz w:val="32"/>
          <w:szCs w:val="32"/>
        </w:rPr>
        <w:t>、维修（护）费</w:t>
      </w:r>
      <w:r>
        <w:rPr>
          <w:rFonts w:hint="eastAsia" w:ascii="仿宋" w:hAnsi="仿宋" w:eastAsia="仿宋"/>
          <w:sz w:val="32"/>
          <w:szCs w:val="32"/>
          <w:lang w:val="en-US" w:eastAsia="zh-CN"/>
        </w:rPr>
        <w:t>2.92万元</w:t>
      </w:r>
      <w:r>
        <w:rPr>
          <w:rFonts w:hint="eastAsia" w:ascii="仿宋" w:hAnsi="仿宋" w:eastAsia="仿宋"/>
          <w:sz w:val="32"/>
          <w:szCs w:val="32"/>
        </w:rPr>
        <w:t>、培训费</w:t>
      </w:r>
      <w:r>
        <w:rPr>
          <w:rFonts w:hint="eastAsia" w:ascii="仿宋" w:hAnsi="仿宋" w:eastAsia="仿宋"/>
          <w:sz w:val="32"/>
          <w:szCs w:val="32"/>
          <w:lang w:val="en-US" w:eastAsia="zh-CN"/>
        </w:rPr>
        <w:t>0.03万元</w:t>
      </w:r>
      <w:r>
        <w:rPr>
          <w:rFonts w:hint="eastAsia" w:ascii="仿宋" w:hAnsi="仿宋" w:eastAsia="仿宋"/>
          <w:sz w:val="32"/>
          <w:szCs w:val="32"/>
        </w:rPr>
        <w:t>、劳务费</w:t>
      </w:r>
      <w:r>
        <w:rPr>
          <w:rFonts w:hint="eastAsia" w:ascii="仿宋" w:hAnsi="仿宋" w:eastAsia="仿宋"/>
          <w:sz w:val="32"/>
          <w:szCs w:val="32"/>
          <w:lang w:val="en-US" w:eastAsia="zh-CN"/>
        </w:rPr>
        <w:t>2.63万元</w:t>
      </w:r>
      <w:r>
        <w:rPr>
          <w:rFonts w:hint="eastAsia" w:ascii="仿宋" w:hAnsi="仿宋" w:eastAsia="仿宋"/>
          <w:sz w:val="32"/>
          <w:szCs w:val="32"/>
        </w:rPr>
        <w:t>、工会经费</w:t>
      </w:r>
      <w:r>
        <w:rPr>
          <w:rFonts w:hint="eastAsia" w:ascii="仿宋" w:hAnsi="仿宋" w:eastAsia="仿宋"/>
          <w:sz w:val="32"/>
          <w:szCs w:val="32"/>
          <w:lang w:val="en-US" w:eastAsia="zh-CN"/>
        </w:rPr>
        <w:t>16.09万元</w:t>
      </w:r>
      <w:r>
        <w:rPr>
          <w:rFonts w:hint="eastAsia" w:ascii="仿宋" w:hAnsi="仿宋" w:eastAsia="仿宋"/>
          <w:sz w:val="32"/>
          <w:szCs w:val="32"/>
        </w:rPr>
        <w:t>、福利费</w:t>
      </w:r>
      <w:r>
        <w:rPr>
          <w:rFonts w:hint="eastAsia" w:ascii="仿宋" w:hAnsi="仿宋" w:eastAsia="仿宋"/>
          <w:sz w:val="32"/>
          <w:szCs w:val="32"/>
          <w:lang w:val="en-US" w:eastAsia="zh-CN"/>
        </w:rPr>
        <w:t>22.14万元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3.81万元。</w:t>
      </w:r>
    </w:p>
    <w:p w14:paraId="3E45EE2C">
      <w:pPr>
        <w:spacing w:line="600" w:lineRule="exact"/>
        <w:ind w:firstLine="640"/>
        <w:rPr>
          <w:rFonts w:ascii="仿宋" w:hAnsi="仿宋" w:eastAsia="仿宋"/>
          <w:b/>
          <w:sz w:val="32"/>
          <w:szCs w:val="32"/>
        </w:rPr>
      </w:pPr>
    </w:p>
    <w:p w14:paraId="6B66E73F">
      <w:pPr>
        <w:spacing w:line="600" w:lineRule="exact"/>
        <w:ind w:firstLine="640"/>
        <w:outlineLvl w:val="1"/>
        <w:rPr>
          <w:rStyle w:val="28"/>
          <w:rFonts w:ascii="黑体" w:hAnsi="黑体" w:eastAsia="黑体"/>
          <w:b w:val="0"/>
        </w:rPr>
      </w:pPr>
      <w:bookmarkStart w:id="53" w:name="_Toc15377215"/>
      <w:bookmarkStart w:id="54" w:name="_Toc15396609"/>
      <w:bookmarkStart w:id="55" w:name="_Toc16808"/>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53"/>
      <w:bookmarkEnd w:id="54"/>
      <w:bookmarkEnd w:id="55"/>
    </w:p>
    <w:p w14:paraId="66CEBE16">
      <w:pPr>
        <w:spacing w:line="600" w:lineRule="exact"/>
        <w:ind w:firstLine="640"/>
        <w:outlineLvl w:val="2"/>
        <w:rPr>
          <w:rFonts w:ascii="仿宋" w:hAnsi="仿宋" w:eastAsia="仿宋"/>
          <w:b/>
          <w:sz w:val="32"/>
          <w:szCs w:val="32"/>
        </w:rPr>
      </w:pPr>
      <w:bookmarkStart w:id="56" w:name="_Toc15377216"/>
      <w:r>
        <w:rPr>
          <w:rFonts w:hint="eastAsia" w:ascii="仿宋" w:hAnsi="仿宋" w:eastAsia="仿宋"/>
          <w:b/>
          <w:sz w:val="32"/>
          <w:szCs w:val="32"/>
        </w:rPr>
        <w:t>（一）“三公”经费财政拨款支出决算总体情况说明</w:t>
      </w:r>
      <w:bookmarkEnd w:id="56"/>
    </w:p>
    <w:p w14:paraId="4E71B46E">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hint="eastAsia" w:ascii="仿宋" w:hAnsi="仿宋" w:eastAsia="仿宋"/>
          <w:sz w:val="32"/>
          <w:szCs w:val="32"/>
          <w:lang w:val="en-US" w:eastAsia="zh-CN"/>
        </w:rPr>
        <w:t>10</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4FD203BD">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6AAB7DC4">
      <w:pPr>
        <w:spacing w:line="600" w:lineRule="exact"/>
        <w:ind w:firstLine="640"/>
        <w:outlineLvl w:val="2"/>
        <w:rPr>
          <w:rFonts w:ascii="仿宋" w:hAnsi="仿宋" w:eastAsia="仿宋"/>
          <w:b/>
          <w:sz w:val="32"/>
          <w:szCs w:val="32"/>
        </w:rPr>
      </w:pPr>
      <w:bookmarkStart w:id="57" w:name="_Toc15377217"/>
      <w:r>
        <w:rPr>
          <w:rFonts w:hint="eastAsia" w:ascii="仿宋" w:hAnsi="仿宋" w:eastAsia="仿宋"/>
          <w:b/>
          <w:sz w:val="32"/>
          <w:szCs w:val="32"/>
        </w:rPr>
        <w:t>（二）“三公”经费财政拨款支出决算具体情况说明</w:t>
      </w:r>
      <w:bookmarkEnd w:id="57"/>
    </w:p>
    <w:p w14:paraId="62E8BA2B">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14:paraId="1048BD47">
      <w:pPr>
        <w:keepNext w:val="0"/>
        <w:keepLines w:val="0"/>
        <w:pageBreakBefore w:val="0"/>
        <w:widowControl w:val="0"/>
        <w:kinsoku/>
        <w:wordWrap/>
        <w:overflowPunct/>
        <w:topLinePunct w:val="0"/>
        <w:autoSpaceDE/>
        <w:autoSpaceDN/>
        <w:bidi w:val="0"/>
        <w:adjustRightInd/>
        <w:snapToGrid/>
        <w:spacing w:line="360" w:lineRule="auto"/>
        <w:ind w:firstLine="641"/>
        <w:textAlignment w:val="auto"/>
        <w:rPr>
          <w:rFonts w:hint="eastAsia" w:ascii="仿宋" w:hAnsi="仿宋" w:eastAsia="仿宋"/>
          <w:sz w:val="32"/>
          <w:szCs w:val="32"/>
        </w:rPr>
      </w:pPr>
      <w:r>
        <w:drawing>
          <wp:inline distT="0" distB="0" distL="114300" distR="114300">
            <wp:extent cx="4826000" cy="2743200"/>
            <wp:effectExtent l="4445" t="4445" r="15875" b="1079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DB01D01">
      <w:pPr>
        <w:spacing w:line="600" w:lineRule="exact"/>
        <w:ind w:firstLine="640"/>
        <w:rPr>
          <w:rFonts w:hint="eastAsia" w:ascii="仿宋" w:hAnsi="仿宋" w:eastAsia="仿宋"/>
          <w:sz w:val="32"/>
          <w:szCs w:val="32"/>
        </w:rPr>
      </w:pPr>
    </w:p>
    <w:p w14:paraId="238C503B">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14:paraId="2D8FAA72">
      <w:pPr>
        <w:spacing w:line="600" w:lineRule="exact"/>
        <w:ind w:firstLine="640"/>
        <w:rPr>
          <w:rFonts w:hint="eastAsia" w:ascii="仿宋_GB2312" w:eastAsia="仿宋_GB2312"/>
          <w:sz w:val="32"/>
          <w:szCs w:val="32"/>
          <w:lang w:val="en-US" w:eastAsia="zh-CN"/>
        </w:rPr>
      </w:pPr>
      <w:bookmarkStart w:id="58" w:name="_Toc15377218"/>
      <w:bookmarkStart w:id="59"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w:t>
      </w:r>
      <w:r>
        <w:rPr>
          <w:rFonts w:hint="eastAsia" w:ascii="仿宋_GB2312" w:eastAsia="仿宋_GB2312"/>
          <w:sz w:val="32"/>
          <w:szCs w:val="32"/>
          <w:lang w:val="en-US" w:eastAsia="zh-CN"/>
        </w:rPr>
        <w:t>持平。</w:t>
      </w:r>
    </w:p>
    <w:p w14:paraId="1509B34F">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w:t>
      </w:r>
      <w:r>
        <w:rPr>
          <w:rFonts w:hint="eastAsia" w:ascii="仿宋_GB2312" w:eastAsia="仿宋_GB2312"/>
          <w:sz w:val="32"/>
          <w:szCs w:val="32"/>
          <w:lang w:val="en-US" w:eastAsia="zh-CN"/>
        </w:rPr>
        <w:t>持平。</w:t>
      </w:r>
    </w:p>
    <w:p w14:paraId="6C37F447">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万元，主要用于…。截至2023年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07F4FC23">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（具体工作）等所需的公务用车燃料费、维修费、过路过桥费、保险费等支出。</w:t>
      </w:r>
    </w:p>
    <w:p w14:paraId="26AA34DC">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0.5</w:t>
      </w:r>
      <w:r>
        <w:rPr>
          <w:rFonts w:hint="eastAsia" w:ascii="仿宋_GB2312" w:eastAsia="仿宋_GB2312"/>
          <w:sz w:val="32"/>
          <w:szCs w:val="32"/>
        </w:rPr>
        <w:t>万元，下降</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。主要原因</w:t>
      </w:r>
      <w:r>
        <w:rPr>
          <w:rFonts w:hint="eastAsia" w:ascii="仿宋_GB2312" w:eastAsia="仿宋_GB2312"/>
          <w:sz w:val="32"/>
          <w:szCs w:val="32"/>
          <w:lang w:val="en-US" w:eastAsia="zh-CN"/>
        </w:rPr>
        <w:t>厉行节约、减少公务接待次数</w:t>
      </w:r>
      <w:r>
        <w:rPr>
          <w:rFonts w:hint="eastAsia" w:ascii="仿宋_GB2312" w:eastAsia="仿宋_GB2312"/>
          <w:sz w:val="32"/>
          <w:szCs w:val="32"/>
        </w:rPr>
        <w:t>。其中：</w:t>
      </w:r>
    </w:p>
    <w:p w14:paraId="6743E7E5">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万元，具体内容包括：…（接待具体项目、金额）。</w:t>
      </w:r>
    </w:p>
    <w:p w14:paraId="7A8630D4">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万元，主要用于接待</w:t>
      </w:r>
      <w:r>
        <w:rPr>
          <w:rFonts w:ascii="仿宋_GB2312" w:eastAsia="仿宋_GB2312"/>
          <w:sz w:val="32"/>
          <w:szCs w:val="32"/>
        </w:rPr>
        <w:t>…</w:t>
      </w:r>
      <w:r>
        <w:rPr>
          <w:rFonts w:hint="eastAsia" w:ascii="仿宋_GB2312" w:eastAsia="仿宋_GB2312"/>
          <w:sz w:val="32"/>
          <w:szCs w:val="32"/>
        </w:rPr>
        <w:t>（具体项目）。外事接待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ascii="仿宋_GB2312" w:eastAsia="仿宋_GB2312"/>
          <w:sz w:val="32"/>
          <w:szCs w:val="32"/>
        </w:rPr>
        <w:t>**</w:t>
      </w:r>
      <w:r>
        <w:rPr>
          <w:rFonts w:hint="eastAsia" w:ascii="仿宋_GB2312" w:eastAsia="仿宋_GB2312"/>
          <w:sz w:val="32"/>
          <w:szCs w:val="32"/>
        </w:rPr>
        <w:t>万元。</w:t>
      </w:r>
    </w:p>
    <w:p w14:paraId="08C6B7BF">
      <w:pPr>
        <w:spacing w:line="600" w:lineRule="exact"/>
        <w:ind w:firstLine="640"/>
        <w:outlineLvl w:val="1"/>
        <w:rPr>
          <w:rStyle w:val="28"/>
          <w:rFonts w:ascii="黑体" w:hAnsi="黑体" w:eastAsia="黑体"/>
        </w:rPr>
      </w:pPr>
      <w:bookmarkStart w:id="60" w:name="_Toc2789"/>
      <w:r>
        <w:rPr>
          <w:rFonts w:hint="eastAsia" w:ascii="黑体" w:eastAsia="黑体"/>
          <w:sz w:val="32"/>
          <w:szCs w:val="32"/>
        </w:rPr>
        <w:t>八、</w:t>
      </w:r>
      <w:r>
        <w:rPr>
          <w:rStyle w:val="28"/>
          <w:rFonts w:hint="eastAsia" w:ascii="黑体" w:hAnsi="黑体" w:eastAsia="黑体"/>
          <w:b w:val="0"/>
        </w:rPr>
        <w:t>政府性基金预算支出决算情况说明</w:t>
      </w:r>
      <w:bookmarkEnd w:id="58"/>
      <w:bookmarkEnd w:id="59"/>
      <w:bookmarkEnd w:id="60"/>
    </w:p>
    <w:p w14:paraId="0B9BC284">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46EB2D0C">
      <w:pPr>
        <w:numPr>
          <w:ilvl w:val="0"/>
          <w:numId w:val="4"/>
        </w:numPr>
        <w:spacing w:line="600" w:lineRule="exact"/>
        <w:ind w:firstLine="640"/>
        <w:outlineLvl w:val="1"/>
        <w:rPr>
          <w:rStyle w:val="28"/>
          <w:rFonts w:ascii="黑体" w:hAnsi="黑体" w:eastAsia="黑体"/>
          <w:b w:val="0"/>
        </w:rPr>
      </w:pPr>
      <w:bookmarkStart w:id="61" w:name="_Toc15377219"/>
      <w:bookmarkStart w:id="62" w:name="_Toc287"/>
      <w:bookmarkStart w:id="63" w:name="_Toc15396611"/>
      <w:r>
        <w:rPr>
          <w:rStyle w:val="28"/>
          <w:rFonts w:hint="eastAsia" w:ascii="黑体" w:hAnsi="黑体" w:eastAsia="黑体"/>
          <w:b w:val="0"/>
        </w:rPr>
        <w:t>国有资本经营预算支出决算情况说明</w:t>
      </w:r>
      <w:bookmarkEnd w:id="61"/>
      <w:bookmarkEnd w:id="62"/>
      <w:bookmarkEnd w:id="63"/>
    </w:p>
    <w:p w14:paraId="03BB7E6C">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6FDC7EF4">
      <w:pPr>
        <w:numPr>
          <w:ilvl w:val="0"/>
          <w:numId w:val="4"/>
        </w:numPr>
        <w:spacing w:line="600" w:lineRule="exact"/>
        <w:ind w:firstLine="640"/>
        <w:outlineLvl w:val="1"/>
        <w:rPr>
          <w:rStyle w:val="28"/>
          <w:rFonts w:ascii="黑体" w:hAnsi="黑体" w:eastAsia="黑体"/>
          <w:b w:val="0"/>
        </w:rPr>
      </w:pPr>
      <w:bookmarkStart w:id="64" w:name="_Toc15377221"/>
      <w:bookmarkStart w:id="65" w:name="_Toc18769"/>
      <w:bookmarkStart w:id="66" w:name="_Toc15396612"/>
      <w:r>
        <w:rPr>
          <w:rStyle w:val="28"/>
          <w:rFonts w:hint="eastAsia" w:ascii="黑体" w:hAnsi="黑体" w:eastAsia="黑体"/>
          <w:b w:val="0"/>
        </w:rPr>
        <w:t>其他重要事项的情况说明</w:t>
      </w:r>
      <w:bookmarkEnd w:id="64"/>
      <w:bookmarkEnd w:id="65"/>
      <w:bookmarkEnd w:id="66"/>
    </w:p>
    <w:p w14:paraId="1ACF1594">
      <w:pPr>
        <w:spacing w:line="600" w:lineRule="exact"/>
        <w:ind w:firstLine="643" w:firstLineChars="200"/>
        <w:outlineLvl w:val="2"/>
        <w:rPr>
          <w:rFonts w:ascii="仿宋" w:hAnsi="仿宋" w:eastAsia="仿宋"/>
          <w:sz w:val="32"/>
          <w:szCs w:val="32"/>
        </w:rPr>
      </w:pPr>
      <w:bookmarkStart w:id="67" w:name="_Toc15377222"/>
      <w:r>
        <w:rPr>
          <w:rFonts w:hint="eastAsia" w:ascii="仿宋" w:hAnsi="仿宋" w:eastAsia="仿宋"/>
          <w:b/>
          <w:sz w:val="32"/>
          <w:szCs w:val="32"/>
        </w:rPr>
        <w:t>（一）机关运行经费支出情况</w:t>
      </w:r>
      <w:bookmarkEnd w:id="67"/>
    </w:p>
    <w:p w14:paraId="304FE89D">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大竹县中华乡中心小学</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万元，我单位为事业单位（学校），执行政府会计制度，无机关运行经费。</w:t>
      </w:r>
    </w:p>
    <w:p w14:paraId="75872849">
      <w:pPr>
        <w:autoSpaceDE w:val="0"/>
        <w:autoSpaceDN w:val="0"/>
        <w:adjustRightInd w:val="0"/>
        <w:spacing w:line="600" w:lineRule="exact"/>
        <w:ind w:firstLine="643" w:firstLineChars="200"/>
        <w:jc w:val="left"/>
        <w:outlineLvl w:val="2"/>
        <w:rPr>
          <w:rFonts w:ascii="仿宋" w:hAnsi="仿宋" w:eastAsia="仿宋"/>
          <w:b/>
          <w:sz w:val="32"/>
          <w:szCs w:val="32"/>
        </w:rPr>
      </w:pPr>
      <w:bookmarkStart w:id="68" w:name="_Toc15377223"/>
      <w:r>
        <w:rPr>
          <w:rFonts w:hint="eastAsia" w:ascii="仿宋" w:hAnsi="仿宋" w:eastAsia="仿宋"/>
          <w:b/>
          <w:sz w:val="32"/>
          <w:szCs w:val="32"/>
        </w:rPr>
        <w:t>（二）政府采购支出情况</w:t>
      </w:r>
      <w:bookmarkEnd w:id="68"/>
    </w:p>
    <w:p w14:paraId="2F7756E7">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2023年度，</w:t>
      </w:r>
      <w:r>
        <w:rPr>
          <w:rFonts w:ascii="仿宋_GB2312" w:eastAsia="仿宋_GB2312"/>
          <w:b/>
          <w:sz w:val="32"/>
          <w:szCs w:val="32"/>
        </w:rPr>
        <w:t>大竹县中华乡中心小学</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p>
    <w:p w14:paraId="73CAECB7">
      <w:pPr>
        <w:autoSpaceDE w:val="0"/>
        <w:autoSpaceDN w:val="0"/>
        <w:adjustRightInd w:val="0"/>
        <w:spacing w:line="600" w:lineRule="exact"/>
        <w:ind w:firstLine="643" w:firstLineChars="200"/>
        <w:jc w:val="left"/>
        <w:outlineLvl w:val="2"/>
        <w:rPr>
          <w:rFonts w:ascii="仿宋" w:hAnsi="仿宋" w:eastAsia="仿宋"/>
          <w:b/>
          <w:sz w:val="32"/>
          <w:szCs w:val="32"/>
        </w:rPr>
      </w:pPr>
      <w:bookmarkStart w:id="69" w:name="_Toc15377224"/>
      <w:r>
        <w:rPr>
          <w:rFonts w:hint="eastAsia" w:ascii="仿宋" w:hAnsi="仿宋" w:eastAsia="仿宋"/>
          <w:b/>
          <w:sz w:val="32"/>
          <w:szCs w:val="32"/>
        </w:rPr>
        <w:t>（三）国有资产占有使用情况</w:t>
      </w:r>
      <w:bookmarkEnd w:id="69"/>
    </w:p>
    <w:p w14:paraId="3EAD05C2">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大竹县中华乡中心小学</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32BFA34E">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6CCFE7F">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6</w:t>
      </w:r>
      <w:r>
        <w:rPr>
          <w:rFonts w:hint="eastAsia" w:ascii="仿宋_GB2312" w:eastAsia="仿宋_GB2312"/>
          <w:sz w:val="32"/>
          <w:szCs w:val="32"/>
        </w:rPr>
        <w:t>项目（项目名称）等</w:t>
      </w:r>
      <w:r>
        <w:rPr>
          <w:rFonts w:hint="eastAsia" w:ascii="仿宋_GB2312" w:eastAsia="仿宋_GB2312"/>
          <w:sz w:val="32"/>
          <w:szCs w:val="32"/>
          <w:lang w:val="en-US" w:eastAsia="zh-CN"/>
        </w:rPr>
        <w:t>6</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6</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6</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6</w:t>
      </w:r>
      <w:r>
        <w:rPr>
          <w:rFonts w:hint="eastAsia" w:ascii="仿宋_GB2312" w:eastAsia="仿宋_GB2312"/>
          <w:sz w:val="32"/>
          <w:szCs w:val="32"/>
        </w:rPr>
        <w:t>个项目开展绩效自评，绩效自评表详见第四部分附件。</w:t>
      </w:r>
    </w:p>
    <w:p w14:paraId="6D5ADBD0">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5A269259">
      <w:pPr>
        <w:numPr>
          <w:ilvl w:val="0"/>
          <w:numId w:val="5"/>
        </w:numPr>
        <w:spacing w:line="600" w:lineRule="exact"/>
        <w:ind w:firstLine="660" w:firstLineChars="150"/>
        <w:jc w:val="center"/>
        <w:outlineLvl w:val="0"/>
        <w:rPr>
          <w:rStyle w:val="27"/>
          <w:rFonts w:ascii="黑体" w:hAnsi="黑体" w:eastAsia="黑体"/>
          <w:b w:val="0"/>
        </w:rPr>
      </w:pPr>
      <w:bookmarkStart w:id="70" w:name="_Toc15396613"/>
      <w:bookmarkStart w:id="71" w:name="_Toc19981"/>
      <w:bookmarkStart w:id="72" w:name="_Toc15377225"/>
      <w:r>
        <w:rPr>
          <w:rFonts w:hint="eastAsia" w:ascii="黑体" w:hAnsi="黑体" w:eastAsia="黑体"/>
          <w:sz w:val="44"/>
          <w:szCs w:val="44"/>
        </w:rPr>
        <w:t>名</w:t>
      </w:r>
      <w:r>
        <w:rPr>
          <w:rStyle w:val="27"/>
          <w:rFonts w:hint="eastAsia" w:ascii="黑体" w:hAnsi="黑体" w:eastAsia="黑体"/>
          <w:b w:val="0"/>
        </w:rPr>
        <w:t>词解释</w:t>
      </w:r>
      <w:bookmarkEnd w:id="70"/>
      <w:bookmarkEnd w:id="71"/>
      <w:bookmarkEnd w:id="72"/>
    </w:p>
    <w:p w14:paraId="3538C355">
      <w:pPr>
        <w:pStyle w:val="25"/>
        <w:spacing w:line="560" w:lineRule="exact"/>
        <w:ind w:firstLine="640" w:firstLineChars="200"/>
        <w:outlineLvl w:val="1"/>
        <w:rPr>
          <w:rFonts w:ascii="仿宋_GB2312" w:eastAsia="仿宋_GB2312"/>
          <w:color w:val="auto"/>
          <w:sz w:val="32"/>
          <w:szCs w:val="32"/>
        </w:rPr>
      </w:pPr>
      <w:bookmarkStart w:id="73" w:name="_Toc19983"/>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73"/>
    </w:p>
    <w:p w14:paraId="3F4B96EE">
      <w:pPr>
        <w:pStyle w:val="25"/>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2EDC93A5">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14:paraId="671E354D">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6716EE4D">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.年末结转和结余：指单位按有关规定结转到下年或以后年度继续使用的资金。</w:t>
      </w:r>
    </w:p>
    <w:p w14:paraId="4E130375">
      <w:pPr>
        <w:ind w:firstLine="640" w:firstLineChars="200"/>
      </w:pPr>
      <w:r>
        <w:rPr>
          <w:rFonts w:hint="eastAsia" w:ascii="仿宋_GB2312" w:hAnsi="Calibri" w:eastAsia="仿宋_GB2312" w:cs="仿宋"/>
          <w:color w:val="auto"/>
          <w:kern w:val="0"/>
          <w:sz w:val="32"/>
          <w:szCs w:val="32"/>
        </w:rPr>
        <w:t>6.教育（205）基础教育（02）</w:t>
      </w:r>
      <w:r>
        <w:rPr>
          <w:rFonts w:hint="eastAsia" w:ascii="仿宋_GB2312" w:hAnsi="Calibri" w:eastAsia="仿宋_GB2312" w:cs="仿宋"/>
          <w:color w:val="auto"/>
          <w:kern w:val="0"/>
          <w:sz w:val="32"/>
          <w:szCs w:val="32"/>
          <w:lang w:val="en-US" w:eastAsia="zh-CN"/>
        </w:rPr>
        <w:t>学前</w:t>
      </w:r>
      <w:r>
        <w:rPr>
          <w:rFonts w:hint="eastAsia" w:ascii="仿宋_GB2312" w:hAnsi="Calibri" w:eastAsia="仿宋_GB2312" w:cs="仿宋"/>
          <w:color w:val="auto"/>
          <w:kern w:val="0"/>
          <w:sz w:val="32"/>
          <w:szCs w:val="32"/>
        </w:rPr>
        <w:t>教育（0</w:t>
      </w:r>
      <w:r>
        <w:rPr>
          <w:rFonts w:hint="eastAsia" w:ascii="仿宋_GB2312" w:hAnsi="Calibri" w:eastAsia="仿宋_GB2312" w:cs="仿宋"/>
          <w:color w:val="auto"/>
          <w:kern w:val="0"/>
          <w:sz w:val="32"/>
          <w:szCs w:val="32"/>
          <w:lang w:val="en-US" w:eastAsia="zh-CN"/>
        </w:rPr>
        <w:t>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反映各部门的学前教育支出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政府各部门对社会组织等举办的幼儿园的资助，如捐赠、补贴等，也在本科目中反映。</w:t>
      </w:r>
    </w:p>
    <w:p w14:paraId="65A6FAE7">
      <w:pPr>
        <w:ind w:firstLine="640" w:firstLineChars="200"/>
        <w:rPr>
          <w:rFonts w:hint="eastAsia"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.教育（205）基础教育（02）小学教育（02）：</w:t>
      </w:r>
      <w:r>
        <w:rPr>
          <w:rFonts w:hint="eastAsia" w:ascii="仿宋_GB2312" w:hAnsi="Calibri" w:eastAsia="仿宋_GB2312" w:cs="仿宋"/>
          <w:color w:val="auto"/>
          <w:kern w:val="0"/>
          <w:sz w:val="32"/>
          <w:szCs w:val="32"/>
          <w:lang w:val="en-US" w:eastAsia="zh-CN"/>
        </w:rPr>
        <w:t>反映各部门的小学教育支出。政府各部门对社会组织等举办的小学的资助，如捐赠、补贴等，也在本科目中反映。</w:t>
      </w:r>
    </w:p>
    <w:p w14:paraId="545DD2F8">
      <w:pPr>
        <w:ind w:firstLine="640" w:firstLineChars="200"/>
        <w:rPr>
          <w:rFonts w:hint="default"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事业单位离退休</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反映事业单位的离退休经费。</w:t>
      </w:r>
    </w:p>
    <w:p w14:paraId="73C267CE">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（05）机关事业单位基本养老保险缴费支出（05）：</w:t>
      </w:r>
      <w:r>
        <w:rPr>
          <w:rFonts w:hint="eastAsia" w:ascii="仿宋_GB2312" w:hAnsi="Calibri" w:eastAsia="仿宋_GB2312" w:cs="仿宋"/>
          <w:color w:val="auto"/>
          <w:kern w:val="0"/>
          <w:sz w:val="32"/>
          <w:szCs w:val="32"/>
          <w:lang w:val="en-US" w:eastAsia="zh-CN"/>
        </w:rPr>
        <w:t>反映机关事业单位实施养老保险制度由单位缴纳的基本养老保险费</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46575EEB">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10</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w:t>
      </w:r>
      <w:r>
        <w:rPr>
          <w:rFonts w:hint="eastAsia" w:ascii="仿宋_GB2312" w:hAnsi="Calibri" w:eastAsia="仿宋_GB2312" w:cs="仿宋"/>
          <w:color w:val="auto"/>
          <w:kern w:val="0"/>
          <w:sz w:val="32"/>
          <w:szCs w:val="32"/>
          <w:lang w:val="en-US" w:eastAsia="zh-CN"/>
        </w:rPr>
        <w:t>职业年金缴费</w:t>
      </w:r>
      <w:r>
        <w:rPr>
          <w:rFonts w:hint="eastAsia" w:ascii="仿宋_GB2312" w:hAnsi="Calibri" w:eastAsia="仿宋_GB2312" w:cs="仿宋"/>
          <w:color w:val="auto"/>
          <w:kern w:val="0"/>
          <w:sz w:val="32"/>
          <w:szCs w:val="32"/>
        </w:rPr>
        <w:t>支出（0</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反映机关事业单位实施养老保险制度由单位缴纳的职业年金</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4C8513B1">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11</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其他</w:t>
      </w:r>
      <w:r>
        <w:rPr>
          <w:rFonts w:hint="eastAsia" w:ascii="仿宋_GB2312" w:hAnsi="Calibri" w:eastAsia="仿宋_GB2312" w:cs="仿宋"/>
          <w:color w:val="auto"/>
          <w:kern w:val="0"/>
          <w:sz w:val="32"/>
          <w:szCs w:val="32"/>
        </w:rPr>
        <w:t>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99</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反映除上述项目以外其他用于行政事业单位养老方面的支出</w:t>
      </w:r>
      <w:r>
        <w:rPr>
          <w:rFonts w:hint="eastAsia" w:ascii="仿宋_GB2312" w:hAnsi="Calibri" w:eastAsia="仿宋_GB2312" w:cs="仿宋"/>
          <w:color w:val="auto"/>
          <w:kern w:val="0"/>
          <w:sz w:val="32"/>
          <w:szCs w:val="32"/>
          <w:lang w:eastAsia="zh-CN"/>
        </w:rPr>
        <w:t>。</w:t>
      </w:r>
    </w:p>
    <w:p w14:paraId="42395976">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12</w:t>
      </w:r>
      <w:r>
        <w:rPr>
          <w:rFonts w:hint="eastAsia" w:ascii="仿宋_GB2312" w:hAnsi="Calibri" w:eastAsia="仿宋_GB2312" w:cs="仿宋"/>
          <w:color w:val="auto"/>
          <w:kern w:val="0"/>
          <w:sz w:val="32"/>
          <w:szCs w:val="32"/>
        </w:rPr>
        <w:t>. 社会保障和就业（208）</w:t>
      </w:r>
      <w:r>
        <w:rPr>
          <w:rFonts w:hint="eastAsia" w:ascii="仿宋_GB2312" w:hAnsi="Calibri" w:eastAsia="仿宋_GB2312" w:cs="仿宋"/>
          <w:color w:val="auto"/>
          <w:kern w:val="0"/>
          <w:sz w:val="32"/>
          <w:szCs w:val="32"/>
          <w:lang w:val="en-US" w:eastAsia="zh-CN"/>
        </w:rPr>
        <w:t>抚恤</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死亡抚恤</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01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反映用于烈士和牺牲、病故人员家属的一次性和定期抚恤金以及丧葬补助费</w:t>
      </w:r>
      <w:r>
        <w:rPr>
          <w:rFonts w:hint="eastAsia" w:ascii="仿宋_GB2312" w:hAnsi="Calibri" w:eastAsia="仿宋_GB2312" w:cs="仿宋"/>
          <w:color w:val="auto"/>
          <w:kern w:val="0"/>
          <w:sz w:val="32"/>
          <w:szCs w:val="32"/>
          <w:lang w:eastAsia="zh-CN"/>
        </w:rPr>
        <w:t>。</w:t>
      </w:r>
    </w:p>
    <w:p w14:paraId="6BF78F0E">
      <w:pPr>
        <w:ind w:firstLine="640" w:firstLineChars="200"/>
        <w:rPr>
          <w:rFonts w:hint="eastAsia"/>
          <w:lang w:val="en-US" w:eastAsia="zh-CN"/>
        </w:rPr>
      </w:pPr>
      <w:r>
        <w:rPr>
          <w:rFonts w:hint="eastAsia" w:ascii="仿宋_GB2312" w:hAnsi="Calibri" w:eastAsia="仿宋_GB2312" w:cs="仿宋"/>
          <w:color w:val="auto"/>
          <w:kern w:val="0"/>
          <w:sz w:val="32"/>
          <w:szCs w:val="32"/>
          <w:lang w:val="en-US" w:eastAsia="zh-CN"/>
        </w:rPr>
        <w:t>13</w:t>
      </w:r>
      <w:r>
        <w:rPr>
          <w:rFonts w:hint="eastAsia" w:ascii="仿宋_GB2312" w:hAnsi="Calibri" w:eastAsia="仿宋_GB2312" w:cs="仿宋"/>
          <w:color w:val="auto"/>
          <w:kern w:val="0"/>
          <w:sz w:val="32"/>
          <w:szCs w:val="32"/>
        </w:rPr>
        <w:t xml:space="preserve">. </w:t>
      </w:r>
      <w:r>
        <w:rPr>
          <w:rFonts w:hint="eastAsia" w:ascii="仿宋" w:hAnsi="仿宋" w:eastAsia="仿宋"/>
          <w:b w:val="0"/>
          <w:bCs w:val="0"/>
          <w:color w:val="auto"/>
          <w:sz w:val="32"/>
          <w:szCs w:val="32"/>
        </w:rPr>
        <w:t>卫生健康支出（210）行政事业单位医疗（11）事业单位医疗（02）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反映财政部门安排的事业单位基本医疗保险缴费经费，未参加医疗保险的事业单位的公费医疗经费，按国家规定享受离休人员待遇的医疗经费</w:t>
      </w:r>
      <w:r>
        <w:rPr>
          <w:rFonts w:hint="eastAsia" w:ascii="仿宋_GB2312" w:hAnsi="Calibri" w:eastAsia="仿宋_GB2312" w:cs="仿宋"/>
          <w:color w:val="auto"/>
          <w:kern w:val="0"/>
          <w:sz w:val="32"/>
          <w:szCs w:val="32"/>
          <w:lang w:eastAsia="zh-CN"/>
        </w:rPr>
        <w:t>。</w:t>
      </w:r>
    </w:p>
    <w:p w14:paraId="52A36C43">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14</w:t>
      </w:r>
      <w:r>
        <w:rPr>
          <w:rFonts w:hint="eastAsia" w:ascii="仿宋_GB2312" w:hAnsi="Calibri" w:eastAsia="仿宋_GB2312" w:cs="仿宋"/>
          <w:color w:val="auto"/>
          <w:kern w:val="0"/>
          <w:sz w:val="32"/>
          <w:szCs w:val="32"/>
        </w:rPr>
        <w:t>. 住房保障支出（221）住房改革支出（02）住房公积金（01）：</w:t>
      </w:r>
      <w:r>
        <w:rPr>
          <w:rFonts w:hint="eastAsia" w:ascii="仿宋_GB2312" w:hAnsi="Calibri" w:eastAsia="仿宋_GB2312" w:cs="仿宋"/>
          <w:color w:val="auto"/>
          <w:kern w:val="0"/>
          <w:sz w:val="32"/>
          <w:szCs w:val="32"/>
          <w:lang w:val="en-US" w:eastAsia="zh-CN"/>
        </w:rPr>
        <w:t>反正行政事业单位按人力资源和社会保障部、财政部的基本工资和津贴补贴以及规定比例为职工缴纳的住房公积金</w:t>
      </w:r>
      <w:r>
        <w:rPr>
          <w:rFonts w:hint="eastAsia" w:ascii="仿宋_GB2312" w:hAnsi="Calibri" w:eastAsia="仿宋_GB2312" w:cs="仿宋"/>
          <w:color w:val="auto"/>
          <w:kern w:val="0"/>
          <w:sz w:val="32"/>
          <w:szCs w:val="32"/>
        </w:rPr>
        <w:t>。</w:t>
      </w:r>
    </w:p>
    <w:p w14:paraId="64D7A580">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15</w:t>
      </w:r>
      <w:r>
        <w:rPr>
          <w:rFonts w:hint="eastAsia" w:ascii="仿宋_GB2312" w:hAnsi="Calibri" w:eastAsia="仿宋_GB2312" w:cs="仿宋"/>
          <w:color w:val="auto"/>
          <w:kern w:val="0"/>
          <w:sz w:val="32"/>
          <w:szCs w:val="32"/>
        </w:rPr>
        <w:t>.基本支出：指为保障机构正常运转、完成日常工作任务而发生的人员支出和公用支出。</w:t>
      </w:r>
    </w:p>
    <w:p w14:paraId="1A3B3BEE">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 xml:space="preserve">.项目支出：指在基本支出之外为完成特定行政任务和事业发展目标所发生的支出。 </w:t>
      </w:r>
    </w:p>
    <w:p w14:paraId="72436F36">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.经营支出：指事业单位在专业业务活动及其辅助活动之外开展非独立核算经营活动发生的支出。</w:t>
      </w:r>
    </w:p>
    <w:p w14:paraId="40AE2346">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14:paraId="38F1A0CD">
      <w:pPr>
        <w:spacing w:line="600" w:lineRule="exact"/>
        <w:ind w:firstLine="64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公务用车运行维护费以及其他费用。</w:t>
      </w:r>
    </w:p>
    <w:p w14:paraId="5AADD085">
      <w:pPr>
        <w:spacing w:line="600" w:lineRule="exact"/>
        <w:jc w:val="center"/>
        <w:outlineLvl w:val="9"/>
        <w:rPr>
          <w:rFonts w:hint="eastAsia" w:ascii="黑体" w:hAnsi="黑体" w:eastAsia="黑体"/>
          <w:sz w:val="44"/>
          <w:szCs w:val="44"/>
        </w:rPr>
      </w:pPr>
    </w:p>
    <w:p w14:paraId="01EA52F4">
      <w:pPr>
        <w:spacing w:line="600" w:lineRule="exact"/>
        <w:jc w:val="center"/>
        <w:outlineLvl w:val="9"/>
        <w:rPr>
          <w:rFonts w:hint="eastAsia" w:ascii="黑体" w:hAnsi="黑体" w:eastAsia="黑体"/>
          <w:sz w:val="44"/>
          <w:szCs w:val="44"/>
        </w:rPr>
      </w:pPr>
    </w:p>
    <w:p w14:paraId="29BE9155">
      <w:pPr>
        <w:spacing w:line="600" w:lineRule="exact"/>
        <w:jc w:val="center"/>
        <w:outlineLvl w:val="9"/>
        <w:rPr>
          <w:rFonts w:hint="eastAsia" w:ascii="黑体" w:hAnsi="黑体" w:eastAsia="黑体"/>
          <w:sz w:val="44"/>
          <w:szCs w:val="44"/>
        </w:rPr>
      </w:pPr>
    </w:p>
    <w:p w14:paraId="233917CF">
      <w:pPr>
        <w:spacing w:line="600" w:lineRule="exact"/>
        <w:jc w:val="center"/>
        <w:outlineLvl w:val="9"/>
        <w:rPr>
          <w:rFonts w:hint="eastAsia" w:ascii="黑体" w:hAnsi="黑体" w:eastAsia="黑体"/>
          <w:sz w:val="44"/>
          <w:szCs w:val="44"/>
        </w:rPr>
      </w:pPr>
    </w:p>
    <w:p w14:paraId="4AB0DCFB">
      <w:pPr>
        <w:spacing w:line="600" w:lineRule="exact"/>
        <w:jc w:val="center"/>
        <w:outlineLvl w:val="9"/>
        <w:rPr>
          <w:rFonts w:hint="eastAsia" w:ascii="黑体" w:hAnsi="黑体" w:eastAsia="黑体"/>
          <w:sz w:val="44"/>
          <w:szCs w:val="44"/>
        </w:rPr>
      </w:pPr>
    </w:p>
    <w:p w14:paraId="776E53EC">
      <w:pPr>
        <w:pStyle w:val="25"/>
        <w:spacing w:line="560" w:lineRule="exact"/>
        <w:ind w:firstLine="640" w:firstLineChars="200"/>
        <w:rPr>
          <w:rFonts w:ascii="仿宋_GB2312" w:eastAsia="仿宋_GB2312" w:cs="黑体"/>
          <w:color w:val="auto"/>
          <w:sz w:val="32"/>
          <w:szCs w:val="32"/>
        </w:rPr>
      </w:pPr>
    </w:p>
    <w:p w14:paraId="7C2EDBFD">
      <w:pPr>
        <w:spacing w:line="600" w:lineRule="exact"/>
        <w:jc w:val="center"/>
        <w:outlineLvl w:val="0"/>
        <w:rPr>
          <w:rStyle w:val="27"/>
          <w:rFonts w:ascii="黑体" w:hAnsi="黑体" w:eastAsia="黑体"/>
          <w:b w:val="0"/>
        </w:rPr>
      </w:pPr>
      <w:bookmarkStart w:id="74" w:name="_Toc15377226"/>
      <w:r>
        <w:rPr>
          <w:rFonts w:ascii="宋体"/>
          <w:b/>
          <w:sz w:val="44"/>
          <w:szCs w:val="44"/>
        </w:rPr>
        <w:br w:type="page"/>
      </w:r>
      <w:bookmarkStart w:id="75" w:name="_Toc15396614"/>
      <w:r>
        <w:rPr>
          <w:rFonts w:hint="eastAsia" w:ascii="黑体" w:hAnsi="黑体" w:eastAsia="黑体"/>
          <w:sz w:val="44"/>
          <w:szCs w:val="44"/>
        </w:rPr>
        <w:t>第</w:t>
      </w:r>
      <w:r>
        <w:rPr>
          <w:rStyle w:val="27"/>
          <w:rFonts w:hint="eastAsia" w:ascii="黑体" w:hAnsi="黑体" w:eastAsia="黑体"/>
          <w:b w:val="0"/>
        </w:rPr>
        <w:t>四部分 附件</w:t>
      </w:r>
      <w:bookmarkEnd w:id="75"/>
    </w:p>
    <w:tbl>
      <w:tblPr>
        <w:tblStyle w:val="14"/>
        <w:tblW w:w="11219" w:type="dxa"/>
        <w:tblInd w:w="-13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2"/>
        <w:gridCol w:w="1180"/>
        <w:gridCol w:w="1738"/>
        <w:gridCol w:w="2040"/>
        <w:gridCol w:w="924"/>
        <w:gridCol w:w="924"/>
        <w:gridCol w:w="1272"/>
        <w:gridCol w:w="1482"/>
        <w:gridCol w:w="617"/>
      </w:tblGrid>
      <w:tr w14:paraId="12611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trPr>
        <w:tc>
          <w:tcPr>
            <w:tcW w:w="10602" w:type="dxa"/>
            <w:gridSpan w:val="8"/>
            <w:tcBorders>
              <w:top w:val="nil"/>
              <w:left w:val="nil"/>
              <w:bottom w:val="nil"/>
              <w:right w:val="nil"/>
            </w:tcBorders>
            <w:shd w:val="clear" w:color="auto" w:fill="auto"/>
            <w:vAlign w:val="center"/>
          </w:tcPr>
          <w:p w14:paraId="4E0A1EAD">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部门整体支出绩效目标完成情况自评表</w:t>
            </w:r>
          </w:p>
        </w:tc>
        <w:tc>
          <w:tcPr>
            <w:tcW w:w="617" w:type="dxa"/>
            <w:tcBorders>
              <w:top w:val="nil"/>
              <w:left w:val="nil"/>
              <w:bottom w:val="nil"/>
              <w:right w:val="nil"/>
            </w:tcBorders>
            <w:shd w:val="clear" w:color="auto" w:fill="auto"/>
            <w:noWrap/>
            <w:vAlign w:val="center"/>
          </w:tcPr>
          <w:p w14:paraId="22966BC0">
            <w:pPr>
              <w:rPr>
                <w:rFonts w:hint="eastAsia" w:ascii="宋体" w:hAnsi="宋体" w:eastAsia="宋体" w:cs="宋体"/>
                <w:i w:val="0"/>
                <w:iCs w:val="0"/>
                <w:color w:val="000000"/>
                <w:sz w:val="22"/>
                <w:szCs w:val="22"/>
                <w:u w:val="none"/>
              </w:rPr>
            </w:pPr>
          </w:p>
        </w:tc>
      </w:tr>
      <w:tr w14:paraId="0D3ED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0602" w:type="dxa"/>
            <w:gridSpan w:val="8"/>
            <w:tcBorders>
              <w:top w:val="nil"/>
              <w:left w:val="nil"/>
              <w:bottom w:val="nil"/>
              <w:right w:val="nil"/>
            </w:tcBorders>
            <w:shd w:val="clear" w:color="auto" w:fill="auto"/>
            <w:vAlign w:val="center"/>
          </w:tcPr>
          <w:p w14:paraId="4A9C13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c>
          <w:tcPr>
            <w:tcW w:w="617" w:type="dxa"/>
            <w:tcBorders>
              <w:top w:val="nil"/>
              <w:left w:val="nil"/>
              <w:bottom w:val="nil"/>
              <w:right w:val="nil"/>
            </w:tcBorders>
            <w:shd w:val="clear" w:color="auto" w:fill="auto"/>
            <w:noWrap/>
            <w:vAlign w:val="center"/>
          </w:tcPr>
          <w:p w14:paraId="08D39800">
            <w:pPr>
              <w:rPr>
                <w:rFonts w:hint="eastAsia" w:ascii="宋体" w:hAnsi="宋体" w:eastAsia="宋体" w:cs="宋体"/>
                <w:i w:val="0"/>
                <w:iCs w:val="0"/>
                <w:color w:val="000000"/>
                <w:sz w:val="22"/>
                <w:szCs w:val="22"/>
                <w:u w:val="none"/>
              </w:rPr>
            </w:pPr>
          </w:p>
        </w:tc>
      </w:tr>
      <w:tr w14:paraId="45BC2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10602" w:type="dxa"/>
            <w:gridSpan w:val="8"/>
            <w:tcBorders>
              <w:top w:val="nil"/>
              <w:left w:val="nil"/>
              <w:bottom w:val="single" w:color="000000" w:sz="4" w:space="0"/>
              <w:right w:val="nil"/>
            </w:tcBorders>
            <w:shd w:val="clear" w:color="auto" w:fill="auto"/>
            <w:vAlign w:val="center"/>
          </w:tcPr>
          <w:p w14:paraId="0F6202B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c>
          <w:tcPr>
            <w:tcW w:w="617" w:type="dxa"/>
            <w:tcBorders>
              <w:top w:val="nil"/>
              <w:left w:val="nil"/>
              <w:bottom w:val="nil"/>
              <w:right w:val="nil"/>
            </w:tcBorders>
            <w:shd w:val="clear" w:color="auto" w:fill="auto"/>
            <w:noWrap/>
            <w:vAlign w:val="center"/>
          </w:tcPr>
          <w:p w14:paraId="241F0B32">
            <w:pPr>
              <w:rPr>
                <w:rFonts w:hint="eastAsia" w:ascii="宋体" w:hAnsi="宋体" w:eastAsia="宋体" w:cs="宋体"/>
                <w:i w:val="0"/>
                <w:iCs w:val="0"/>
                <w:color w:val="000000"/>
                <w:sz w:val="22"/>
                <w:szCs w:val="22"/>
                <w:u w:val="none"/>
              </w:rPr>
            </w:pPr>
          </w:p>
        </w:tc>
      </w:tr>
      <w:tr w14:paraId="3503B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3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896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72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078D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大竹县中华乡中心小学部门</w:t>
            </w:r>
          </w:p>
        </w:tc>
      </w:tr>
      <w:tr w14:paraId="6B53B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06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2918" w:type="dxa"/>
            <w:gridSpan w:val="2"/>
            <w:tcBorders>
              <w:top w:val="single" w:color="000000" w:sz="4" w:space="0"/>
              <w:left w:val="single" w:color="000000" w:sz="4" w:space="0"/>
              <w:bottom w:val="nil"/>
              <w:right w:val="single" w:color="000000" w:sz="4" w:space="0"/>
            </w:tcBorders>
            <w:shd w:val="clear" w:color="auto" w:fill="auto"/>
            <w:vAlign w:val="center"/>
          </w:tcPr>
          <w:p w14:paraId="037F67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2964" w:type="dxa"/>
            <w:gridSpan w:val="2"/>
            <w:tcBorders>
              <w:top w:val="nil"/>
              <w:left w:val="single" w:color="000000" w:sz="4" w:space="0"/>
              <w:bottom w:val="nil"/>
              <w:right w:val="single" w:color="000000" w:sz="4" w:space="0"/>
            </w:tcBorders>
            <w:shd w:val="clear" w:color="auto" w:fill="auto"/>
            <w:vAlign w:val="center"/>
          </w:tcPr>
          <w:p w14:paraId="0155B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4295" w:type="dxa"/>
            <w:gridSpan w:val="4"/>
            <w:tcBorders>
              <w:top w:val="nil"/>
              <w:left w:val="single" w:color="000000" w:sz="4" w:space="0"/>
              <w:bottom w:val="nil"/>
              <w:right w:val="single" w:color="000000" w:sz="4" w:space="0"/>
            </w:tcBorders>
            <w:shd w:val="clear" w:color="auto" w:fill="auto"/>
            <w:vAlign w:val="center"/>
          </w:tcPr>
          <w:p w14:paraId="52710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4A722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D2731">
            <w:pPr>
              <w:jc w:val="center"/>
              <w:rPr>
                <w:rFonts w:hint="eastAsia" w:ascii="宋体" w:hAnsi="宋体" w:eastAsia="宋体" w:cs="宋体"/>
                <w:i w:val="0"/>
                <w:iCs w:val="0"/>
                <w:color w:val="000000"/>
                <w:sz w:val="18"/>
                <w:szCs w:val="18"/>
                <w:u w:val="none"/>
              </w:rPr>
            </w:pPr>
          </w:p>
        </w:tc>
        <w:tc>
          <w:tcPr>
            <w:tcW w:w="2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A8BD8">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1270.51</w:t>
            </w:r>
          </w:p>
        </w:tc>
        <w:tc>
          <w:tcPr>
            <w:tcW w:w="2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27A71">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1270.51</w:t>
            </w:r>
          </w:p>
        </w:tc>
        <w:tc>
          <w:tcPr>
            <w:tcW w:w="4295" w:type="dxa"/>
            <w:gridSpan w:val="4"/>
            <w:tcBorders>
              <w:top w:val="nil"/>
              <w:left w:val="single" w:color="000000" w:sz="4" w:space="0"/>
              <w:bottom w:val="single" w:color="000000" w:sz="4" w:space="0"/>
              <w:right w:val="single" w:color="000000" w:sz="4" w:space="0"/>
            </w:tcBorders>
            <w:shd w:val="clear" w:color="auto" w:fill="auto"/>
            <w:vAlign w:val="center"/>
          </w:tcPr>
          <w:p w14:paraId="1A558F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58039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05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01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00967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1、保障学生平等权益；保障校园安全；2、促进学生全面发展；3、引领教师专业进步；4、提升教育教学水平；5、保障校园安全、营造和谐美丽校园。</w:t>
            </w:r>
          </w:p>
        </w:tc>
      </w:tr>
      <w:tr w14:paraId="15E5B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64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2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2E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72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226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55103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158F2">
            <w:pPr>
              <w:jc w:val="center"/>
              <w:rPr>
                <w:rFonts w:hint="eastAsia" w:ascii="宋体" w:hAnsi="宋体" w:eastAsia="宋体" w:cs="宋体"/>
                <w:i w:val="0"/>
                <w:iCs w:val="0"/>
                <w:color w:val="000000"/>
                <w:sz w:val="18"/>
                <w:szCs w:val="18"/>
                <w:u w:val="none"/>
              </w:rPr>
            </w:pPr>
          </w:p>
        </w:tc>
        <w:tc>
          <w:tcPr>
            <w:tcW w:w="2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673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学校建设</w:t>
            </w:r>
          </w:p>
        </w:tc>
        <w:tc>
          <w:tcPr>
            <w:tcW w:w="72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94CEF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全面落实党的教育方针以及省、市有关教育的政策和法律、法规、规章，履行中小学校各项教育管理职责，完成教育主管部门和同级政府部门下达的工作目标任务，确保中小学校各项工作的顺利开展。</w:t>
            </w:r>
          </w:p>
        </w:tc>
      </w:tr>
      <w:tr w14:paraId="114EF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1F47F">
            <w:pPr>
              <w:jc w:val="center"/>
              <w:rPr>
                <w:rFonts w:hint="eastAsia" w:ascii="宋体" w:hAnsi="宋体" w:eastAsia="宋体" w:cs="宋体"/>
                <w:i w:val="0"/>
                <w:iCs w:val="0"/>
                <w:color w:val="000000"/>
                <w:sz w:val="18"/>
                <w:szCs w:val="18"/>
                <w:u w:val="none"/>
              </w:rPr>
            </w:pPr>
          </w:p>
        </w:tc>
        <w:tc>
          <w:tcPr>
            <w:tcW w:w="2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B13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教师队伍建设 </w:t>
            </w:r>
          </w:p>
        </w:tc>
        <w:tc>
          <w:tcPr>
            <w:tcW w:w="72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1233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切实加强学校教师队伍建设，制定业务培训计划和教研计划，提高教学水平；不定期进行师德教育，全面提高教师形象。</w:t>
            </w:r>
          </w:p>
        </w:tc>
      </w:tr>
      <w:tr w14:paraId="4BA64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29FBE">
            <w:pPr>
              <w:jc w:val="center"/>
              <w:rPr>
                <w:rFonts w:hint="eastAsia" w:ascii="宋体" w:hAnsi="宋体" w:eastAsia="宋体" w:cs="宋体"/>
                <w:i w:val="0"/>
                <w:iCs w:val="0"/>
                <w:color w:val="000000"/>
                <w:sz w:val="18"/>
                <w:szCs w:val="18"/>
                <w:u w:val="none"/>
              </w:rPr>
            </w:pPr>
          </w:p>
        </w:tc>
        <w:tc>
          <w:tcPr>
            <w:tcW w:w="2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7FA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学生全面发展 </w:t>
            </w:r>
          </w:p>
        </w:tc>
        <w:tc>
          <w:tcPr>
            <w:tcW w:w="725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F8C8A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促进学生德、智、体、美全面健康发展。</w:t>
            </w:r>
          </w:p>
        </w:tc>
      </w:tr>
      <w:tr w14:paraId="20185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8DB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9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3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23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DB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AB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1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8B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38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实际完成指标值</w:t>
            </w:r>
          </w:p>
        </w:tc>
      </w:tr>
      <w:tr w14:paraId="5CA37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1D2DF">
            <w:pPr>
              <w:jc w:val="center"/>
              <w:rPr>
                <w:rFonts w:hint="eastAsia" w:ascii="宋体" w:hAnsi="宋体" w:eastAsia="宋体" w:cs="宋体"/>
                <w:i w:val="0"/>
                <w:iCs w:val="0"/>
                <w:color w:val="000000"/>
                <w:sz w:val="18"/>
                <w:szCs w:val="18"/>
                <w:u w:val="none"/>
              </w:rPr>
            </w:pP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72AD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DFD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B02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适龄儿童全部入学</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F0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14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E3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1E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419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r>
      <w:tr w14:paraId="32081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56BB1">
            <w:pPr>
              <w:jc w:val="center"/>
              <w:rPr>
                <w:rFonts w:hint="eastAsia" w:ascii="宋体" w:hAnsi="宋体" w:eastAsia="宋体" w:cs="宋体"/>
                <w:i w:val="0"/>
                <w:iCs w:val="0"/>
                <w:color w:val="000000"/>
                <w:sz w:val="18"/>
                <w:szCs w:val="18"/>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2CC62">
            <w:pPr>
              <w:jc w:val="left"/>
              <w:rPr>
                <w:rFonts w:hint="eastAsia" w:ascii="宋体" w:hAnsi="宋体" w:eastAsia="宋体" w:cs="宋体"/>
                <w:i w:val="0"/>
                <w:iCs w:val="0"/>
                <w:color w:val="000000"/>
                <w:sz w:val="18"/>
                <w:szCs w:val="18"/>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512B8">
            <w:pPr>
              <w:jc w:val="left"/>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0B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定期开展留守学生亲情交流及课外活动</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8A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38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07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B4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14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r>
      <w:tr w14:paraId="187F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A9B76">
            <w:pPr>
              <w:jc w:val="center"/>
              <w:rPr>
                <w:rFonts w:hint="eastAsia" w:ascii="宋体" w:hAnsi="宋体" w:eastAsia="宋体" w:cs="宋体"/>
                <w:i w:val="0"/>
                <w:iCs w:val="0"/>
                <w:color w:val="000000"/>
                <w:sz w:val="18"/>
                <w:szCs w:val="18"/>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50F15">
            <w:pPr>
              <w:jc w:val="left"/>
              <w:rPr>
                <w:rFonts w:hint="eastAsia" w:ascii="宋体" w:hAnsi="宋体" w:eastAsia="宋体" w:cs="宋体"/>
                <w:i w:val="0"/>
                <w:iCs w:val="0"/>
                <w:color w:val="000000"/>
                <w:sz w:val="18"/>
                <w:szCs w:val="18"/>
                <w:u w:val="none"/>
              </w:rPr>
            </w:pPr>
          </w:p>
        </w:tc>
        <w:tc>
          <w:tcPr>
            <w:tcW w:w="1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723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AE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教学质量稳步提升，同层次排名上升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68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F1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7C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名</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3B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03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r>
      <w:tr w14:paraId="42809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6EDDC">
            <w:pPr>
              <w:jc w:val="center"/>
              <w:rPr>
                <w:rFonts w:hint="eastAsia" w:ascii="宋体" w:hAnsi="宋体" w:eastAsia="宋体" w:cs="宋体"/>
                <w:i w:val="0"/>
                <w:iCs w:val="0"/>
                <w:color w:val="000000"/>
                <w:sz w:val="18"/>
                <w:szCs w:val="18"/>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FF0BD">
            <w:pPr>
              <w:jc w:val="left"/>
              <w:rPr>
                <w:rFonts w:hint="eastAsia" w:ascii="宋体" w:hAnsi="宋体" w:eastAsia="宋体" w:cs="宋体"/>
                <w:i w:val="0"/>
                <w:iCs w:val="0"/>
                <w:color w:val="000000"/>
                <w:sz w:val="18"/>
                <w:szCs w:val="18"/>
                <w:u w:val="none"/>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14F73">
            <w:pPr>
              <w:jc w:val="left"/>
              <w:rPr>
                <w:rFonts w:hint="eastAsia" w:ascii="宋体" w:hAnsi="宋体" w:eastAsia="宋体" w:cs="宋体"/>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1E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校园安全，无安全事故</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94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D2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F9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F4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A4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w:t>
            </w:r>
          </w:p>
        </w:tc>
      </w:tr>
      <w:tr w14:paraId="392DF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85DEB">
            <w:pPr>
              <w:jc w:val="center"/>
              <w:rPr>
                <w:rFonts w:hint="eastAsia" w:ascii="宋体" w:hAnsi="宋体" w:eastAsia="宋体" w:cs="宋体"/>
                <w:i w:val="0"/>
                <w:iCs w:val="0"/>
                <w:color w:val="000000"/>
                <w:sz w:val="18"/>
                <w:szCs w:val="18"/>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1C7DC">
            <w:pPr>
              <w:jc w:val="lef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A6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78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按时完成教学内容</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A1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F4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EA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册/期</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26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DF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r>
      <w:tr w14:paraId="60681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CEDBB">
            <w:pPr>
              <w:jc w:val="center"/>
              <w:rPr>
                <w:rFonts w:hint="eastAsia" w:ascii="宋体" w:hAnsi="宋体" w:eastAsia="宋体" w:cs="宋体"/>
                <w:i w:val="0"/>
                <w:iCs w:val="0"/>
                <w:color w:val="000000"/>
                <w:sz w:val="18"/>
                <w:szCs w:val="18"/>
                <w:u w:val="none"/>
              </w:rPr>
            </w:pPr>
          </w:p>
        </w:tc>
        <w:tc>
          <w:tcPr>
            <w:tcW w:w="1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03E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DC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E9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提高学生整体素质</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40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A5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AE487">
            <w:pPr>
              <w:jc w:val="left"/>
              <w:rPr>
                <w:rFonts w:hint="eastAsia" w:ascii="宋体" w:hAnsi="宋体" w:eastAsia="宋体" w:cs="宋体"/>
                <w:i w:val="0"/>
                <w:iCs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AB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98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r>
      <w:tr w14:paraId="102A1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CC1E5">
            <w:pPr>
              <w:jc w:val="center"/>
              <w:rPr>
                <w:rFonts w:hint="eastAsia" w:ascii="宋体" w:hAnsi="宋体" w:eastAsia="宋体" w:cs="宋体"/>
                <w:i w:val="0"/>
                <w:iCs w:val="0"/>
                <w:color w:val="000000"/>
                <w:sz w:val="18"/>
                <w:szCs w:val="18"/>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096F5">
            <w:pPr>
              <w:jc w:val="left"/>
              <w:rPr>
                <w:rFonts w:hint="eastAsia" w:ascii="宋体" w:hAnsi="宋体" w:eastAsia="宋体" w:cs="宋体"/>
                <w:i w:val="0"/>
                <w:iCs w:val="0"/>
                <w:color w:val="000000"/>
                <w:sz w:val="18"/>
                <w:szCs w:val="18"/>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93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21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对学生身心健康影响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6D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1E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B02B">
            <w:pPr>
              <w:jc w:val="left"/>
              <w:rPr>
                <w:rFonts w:hint="eastAsia" w:ascii="宋体" w:hAnsi="宋体" w:eastAsia="宋体" w:cs="宋体"/>
                <w:i w:val="0"/>
                <w:iCs w:val="0"/>
                <w:color w:val="000000"/>
                <w:sz w:val="18"/>
                <w:szCs w:val="18"/>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B3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29D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r>
      <w:tr w14:paraId="51902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998EB">
            <w:pPr>
              <w:jc w:val="center"/>
              <w:rPr>
                <w:rFonts w:hint="eastAsia" w:ascii="宋体" w:hAnsi="宋体" w:eastAsia="宋体" w:cs="宋体"/>
                <w:i w:val="0"/>
                <w:iCs w:val="0"/>
                <w:color w:val="000000"/>
                <w:sz w:val="18"/>
                <w:szCs w:val="18"/>
                <w:u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3F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40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D5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学生满意度</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D6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76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FB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20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189C">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5</w:t>
            </w:r>
          </w:p>
        </w:tc>
      </w:tr>
    </w:tbl>
    <w:tbl>
      <w:tblPr>
        <w:tblStyle w:val="14"/>
        <w:tblpPr w:leftFromText="180" w:rightFromText="180" w:vertAnchor="text" w:horzAnchor="page" w:tblpXSpec="center" w:tblpY="1384"/>
        <w:tblOverlap w:val="never"/>
        <w:tblW w:w="11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9"/>
        <w:gridCol w:w="789"/>
        <w:gridCol w:w="830"/>
        <w:gridCol w:w="835"/>
        <w:gridCol w:w="762"/>
        <w:gridCol w:w="807"/>
        <w:gridCol w:w="487"/>
        <w:gridCol w:w="1012"/>
        <w:gridCol w:w="677"/>
        <w:gridCol w:w="678"/>
        <w:gridCol w:w="3712"/>
      </w:tblGrid>
      <w:tr w14:paraId="461A8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3203" w:type="dxa"/>
            <w:gridSpan w:val="4"/>
            <w:tcBorders>
              <w:top w:val="nil"/>
              <w:left w:val="nil"/>
              <w:bottom w:val="nil"/>
              <w:right w:val="nil"/>
            </w:tcBorders>
            <w:shd w:val="clear" w:color="auto" w:fill="auto"/>
            <w:vAlign w:val="center"/>
          </w:tcPr>
          <w:p w14:paraId="780BFEE9">
            <w:pPr>
              <w:keepNext w:val="0"/>
              <w:keepLines w:val="0"/>
              <w:widowControl/>
              <w:suppressLineNumbers w:val="0"/>
              <w:jc w:val="left"/>
              <w:textAlignment w:val="center"/>
              <w:rPr>
                <w:rFonts w:ascii="宋体" w:hAnsi="宋体" w:eastAsia="宋体" w:cs="宋体"/>
                <w:i w:val="0"/>
                <w:iCs w:val="0"/>
                <w:color w:val="C0C0C0"/>
                <w:sz w:val="20"/>
                <w:szCs w:val="20"/>
                <w:u w:val="none"/>
              </w:rPr>
            </w:pPr>
            <w:bookmarkStart w:id="104" w:name="_GoBack"/>
            <w:bookmarkEnd w:id="104"/>
            <w:bookmarkStart w:id="76" w:name="_Toc15396618"/>
            <w:r>
              <w:rPr>
                <w:rFonts w:ascii="宋体" w:hAnsi="宋体" w:eastAsia="宋体" w:cs="宋体"/>
                <w:i w:val="0"/>
                <w:iCs w:val="0"/>
                <w:color w:val="C0C0C0"/>
                <w:kern w:val="0"/>
                <w:sz w:val="20"/>
                <w:szCs w:val="20"/>
                <w:u w:val="none"/>
                <w:lang w:val="en-US" w:eastAsia="zh-CN" w:bidi="ar"/>
              </w:rPr>
              <w:t>报表编号：510000_0013zp</w:t>
            </w:r>
          </w:p>
        </w:tc>
        <w:tc>
          <w:tcPr>
            <w:tcW w:w="762" w:type="dxa"/>
            <w:tcBorders>
              <w:top w:val="nil"/>
              <w:left w:val="nil"/>
              <w:bottom w:val="nil"/>
              <w:right w:val="nil"/>
            </w:tcBorders>
            <w:shd w:val="clear" w:color="auto" w:fill="auto"/>
            <w:noWrap/>
            <w:vAlign w:val="center"/>
          </w:tcPr>
          <w:p w14:paraId="51E9EAC5">
            <w:pPr>
              <w:rPr>
                <w:rFonts w:hint="eastAsia" w:ascii="宋体" w:hAnsi="宋体" w:eastAsia="宋体" w:cs="宋体"/>
                <w:i w:val="0"/>
                <w:iCs w:val="0"/>
                <w:color w:val="000000"/>
                <w:sz w:val="22"/>
                <w:szCs w:val="22"/>
                <w:u w:val="none"/>
              </w:rPr>
            </w:pPr>
          </w:p>
        </w:tc>
        <w:tc>
          <w:tcPr>
            <w:tcW w:w="2306" w:type="dxa"/>
            <w:gridSpan w:val="3"/>
            <w:tcBorders>
              <w:top w:val="nil"/>
              <w:left w:val="nil"/>
              <w:bottom w:val="nil"/>
              <w:right w:val="nil"/>
            </w:tcBorders>
            <w:shd w:val="clear" w:color="auto" w:fill="auto"/>
            <w:vAlign w:val="center"/>
          </w:tcPr>
          <w:p w14:paraId="65BD1DC3">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auto" w:fill="auto"/>
            <w:noWrap/>
            <w:vAlign w:val="center"/>
          </w:tcPr>
          <w:p w14:paraId="60C94042">
            <w:pPr>
              <w:rPr>
                <w:rFonts w:hint="eastAsia" w:ascii="宋体" w:hAnsi="宋体" w:eastAsia="宋体" w:cs="宋体"/>
                <w:i w:val="0"/>
                <w:iCs w:val="0"/>
                <w:color w:val="000000"/>
                <w:sz w:val="22"/>
                <w:szCs w:val="22"/>
                <w:u w:val="none"/>
              </w:rPr>
            </w:pPr>
          </w:p>
        </w:tc>
        <w:tc>
          <w:tcPr>
            <w:tcW w:w="678" w:type="dxa"/>
            <w:tcBorders>
              <w:top w:val="nil"/>
              <w:left w:val="nil"/>
              <w:bottom w:val="nil"/>
              <w:right w:val="nil"/>
            </w:tcBorders>
            <w:shd w:val="clear" w:color="auto" w:fill="auto"/>
            <w:noWrap/>
            <w:vAlign w:val="center"/>
          </w:tcPr>
          <w:p w14:paraId="3914C6A4">
            <w:pPr>
              <w:rPr>
                <w:rFonts w:hint="eastAsia" w:ascii="宋体" w:hAnsi="宋体" w:eastAsia="宋体" w:cs="宋体"/>
                <w:i w:val="0"/>
                <w:iCs w:val="0"/>
                <w:color w:val="000000"/>
                <w:sz w:val="22"/>
                <w:szCs w:val="22"/>
                <w:u w:val="none"/>
              </w:rPr>
            </w:pPr>
          </w:p>
        </w:tc>
        <w:tc>
          <w:tcPr>
            <w:tcW w:w="3712" w:type="dxa"/>
            <w:tcBorders>
              <w:top w:val="nil"/>
              <w:left w:val="nil"/>
              <w:bottom w:val="nil"/>
              <w:right w:val="nil"/>
            </w:tcBorders>
            <w:shd w:val="clear" w:color="auto" w:fill="auto"/>
            <w:noWrap/>
            <w:vAlign w:val="center"/>
          </w:tcPr>
          <w:p w14:paraId="4163CC87">
            <w:pPr>
              <w:rPr>
                <w:rFonts w:hint="eastAsia" w:ascii="宋体" w:hAnsi="宋体" w:eastAsia="宋体" w:cs="宋体"/>
                <w:i w:val="0"/>
                <w:iCs w:val="0"/>
                <w:color w:val="000000"/>
                <w:sz w:val="22"/>
                <w:szCs w:val="22"/>
                <w:u w:val="none"/>
              </w:rPr>
            </w:pPr>
          </w:p>
        </w:tc>
      </w:tr>
      <w:tr w14:paraId="19602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3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5A32AEE">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6BDC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B52B9">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项目名称</w:t>
            </w:r>
          </w:p>
        </w:tc>
        <w:tc>
          <w:tcPr>
            <w:tcW w:w="98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BDCD5B">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51172422T000005669263-营养餐</w:t>
            </w:r>
          </w:p>
        </w:tc>
      </w:tr>
      <w:tr w14:paraId="756CD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CDE1E">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主管部门</w:t>
            </w:r>
          </w:p>
        </w:tc>
        <w:tc>
          <w:tcPr>
            <w:tcW w:w="3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66D3B2">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大竹县中华乡中心小学部门</w:t>
            </w:r>
          </w:p>
        </w:tc>
        <w:tc>
          <w:tcPr>
            <w:tcW w:w="1012" w:type="dxa"/>
            <w:tcBorders>
              <w:top w:val="nil"/>
              <w:left w:val="nil"/>
              <w:bottom w:val="nil"/>
              <w:right w:val="nil"/>
            </w:tcBorders>
            <w:shd w:val="clear" w:color="auto" w:fill="auto"/>
            <w:vAlign w:val="center"/>
          </w:tcPr>
          <w:p w14:paraId="03EF344A">
            <w:pPr>
              <w:keepNext w:val="0"/>
              <w:keepLines w:val="0"/>
              <w:widowControl/>
              <w:suppressLineNumbers w:val="0"/>
              <w:jc w:val="left"/>
              <w:textAlignment w:val="center"/>
              <w:rPr>
                <w:rFonts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实施单位 （盖章）</w:t>
            </w:r>
          </w:p>
        </w:tc>
        <w:tc>
          <w:tcPr>
            <w:tcW w:w="5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777D9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大竹县中华乡中心小学</w:t>
            </w:r>
          </w:p>
        </w:tc>
      </w:tr>
      <w:tr w14:paraId="5139E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8DD3F">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项目基本情况</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6799B">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1.项目年度目标完成情况</w:t>
            </w:r>
          </w:p>
        </w:tc>
        <w:tc>
          <w:tcPr>
            <w:tcW w:w="3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1FFA5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项目年度目标</w:t>
            </w:r>
          </w:p>
        </w:tc>
        <w:tc>
          <w:tcPr>
            <w:tcW w:w="60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79F990">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年度目标完成情况</w:t>
            </w:r>
          </w:p>
        </w:tc>
      </w:tr>
      <w:tr w14:paraId="7E914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8ED0A">
            <w:pPr>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E7933">
            <w:pPr>
              <w:rPr>
                <w:rFonts w:hint="eastAsia" w:ascii="宋体" w:hAnsi="宋体" w:eastAsia="宋体" w:cs="宋体"/>
                <w:i w:val="0"/>
                <w:iCs w:val="0"/>
                <w:color w:val="000000"/>
                <w:sz w:val="22"/>
                <w:szCs w:val="22"/>
                <w:u w:val="none"/>
              </w:rPr>
            </w:pPr>
          </w:p>
        </w:tc>
        <w:tc>
          <w:tcPr>
            <w:tcW w:w="3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20C544">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本年度严格执行相关政策，严格营养餐项目款专款专用，按时按质保障项目经费。</w:t>
            </w:r>
          </w:p>
        </w:tc>
        <w:tc>
          <w:tcPr>
            <w:tcW w:w="60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7E5B07">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本年度严格执行相关政策，足额保障营养餐资金支付到位，专款专用。</w:t>
            </w:r>
          </w:p>
        </w:tc>
      </w:tr>
      <w:tr w14:paraId="50AED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AAACF">
            <w:pP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53C8">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2.项目实施内容及过程概述</w:t>
            </w:r>
          </w:p>
        </w:tc>
        <w:tc>
          <w:tcPr>
            <w:tcW w:w="98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07DF59">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本年度严格执行相关政策，严格营养餐项目资金款专款专用，按时按质保障营养餐资金支付到位。</w:t>
            </w:r>
          </w:p>
        </w:tc>
      </w:tr>
      <w:tr w14:paraId="4C73F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0151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预算执行情况（10分）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0FB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年度预算数（万元）</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623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年初预算</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B88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调整后预算数</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7900C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预算执行数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AB8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预算执行率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45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权重</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E61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得分</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77F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原因</w:t>
            </w:r>
          </w:p>
        </w:tc>
      </w:tr>
      <w:tr w14:paraId="75831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17E24">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6E0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总额</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460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5E9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6.77</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6A85E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6.77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3B4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C51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BA8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3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532D7">
            <w:pPr>
              <w:keepNext w:val="0"/>
              <w:keepLines w:val="0"/>
              <w:widowControl/>
              <w:suppressLineNumbers w:val="0"/>
              <w:jc w:val="left"/>
              <w:textAlignment w:val="center"/>
              <w:rPr>
                <w:rFonts w:hint="eastAsia" w:ascii="黑体" w:hAnsi="黑体" w:eastAsia="黑体" w:cs="黑体"/>
                <w:i/>
                <w:iCs/>
                <w:color w:val="000000"/>
                <w:sz w:val="22"/>
                <w:szCs w:val="22"/>
                <w:u w:val="none"/>
              </w:rPr>
            </w:pPr>
            <w:r>
              <w:rPr>
                <w:rFonts w:hint="eastAsia" w:ascii="黑体" w:hAnsi="黑体" w:eastAsia="黑体" w:cs="黑体"/>
                <w:i/>
                <w:iCs/>
                <w:color w:val="000000"/>
                <w:kern w:val="0"/>
                <w:sz w:val="22"/>
                <w:szCs w:val="22"/>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763B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19121">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99C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其中：财政资金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322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212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6.77</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3BF69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6.77</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60C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21D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AA2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80248">
            <w:pPr>
              <w:rPr>
                <w:rFonts w:hint="eastAsia" w:ascii="黑体" w:hAnsi="黑体" w:eastAsia="黑体" w:cs="黑体"/>
                <w:i/>
                <w:iCs/>
                <w:color w:val="000000"/>
                <w:sz w:val="22"/>
                <w:szCs w:val="22"/>
                <w:u w:val="none"/>
              </w:rPr>
            </w:pPr>
          </w:p>
        </w:tc>
      </w:tr>
      <w:tr w14:paraId="4468D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84252">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7D1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财政专户管理资金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C8C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D17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FF53B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7C0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4C8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5D1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B847F">
            <w:pPr>
              <w:rPr>
                <w:rFonts w:hint="eastAsia" w:ascii="黑体" w:hAnsi="黑体" w:eastAsia="黑体" w:cs="黑体"/>
                <w:i/>
                <w:iCs/>
                <w:color w:val="000000"/>
                <w:sz w:val="22"/>
                <w:szCs w:val="22"/>
                <w:u w:val="none"/>
              </w:rPr>
            </w:pPr>
          </w:p>
        </w:tc>
      </w:tr>
      <w:tr w14:paraId="60087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E8C89">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5E1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32E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E57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ED9A9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48D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5CD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89F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C0587">
            <w:pPr>
              <w:rPr>
                <w:rFonts w:hint="eastAsia" w:ascii="黑体" w:hAnsi="黑体" w:eastAsia="黑体" w:cs="黑体"/>
                <w:i/>
                <w:iCs/>
                <w:color w:val="000000"/>
                <w:sz w:val="22"/>
                <w:szCs w:val="22"/>
                <w:u w:val="none"/>
              </w:rPr>
            </w:pPr>
          </w:p>
        </w:tc>
      </w:tr>
      <w:tr w14:paraId="0565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F5B16">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091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其他资金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BD8C">
            <w:pPr>
              <w:jc w:val="center"/>
              <w:rPr>
                <w:rFonts w:hint="eastAsia" w:ascii="微软雅黑" w:hAnsi="微软雅黑" w:eastAsia="微软雅黑" w:cs="微软雅黑"/>
                <w:i/>
                <w:iCs/>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2311">
            <w:pPr>
              <w:jc w:val="center"/>
              <w:rPr>
                <w:rFonts w:hint="eastAsia" w:ascii="微软雅黑" w:hAnsi="微软雅黑" w:eastAsia="微软雅黑" w:cs="微软雅黑"/>
                <w:i/>
                <w:iCs/>
                <w:color w:val="000000"/>
                <w:sz w:val="22"/>
                <w:szCs w:val="22"/>
                <w:u w:val="none"/>
              </w:rPr>
            </w:pP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25F8E7">
            <w:pPr>
              <w:jc w:val="center"/>
              <w:rPr>
                <w:rFonts w:hint="eastAsia" w:ascii="微软雅黑" w:hAnsi="微软雅黑" w:eastAsia="微软雅黑" w:cs="微软雅黑"/>
                <w:i/>
                <w:iCs/>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1673">
            <w:pPr>
              <w:jc w:val="center"/>
              <w:rPr>
                <w:rFonts w:hint="eastAsia" w:ascii="微软雅黑" w:hAnsi="微软雅黑" w:eastAsia="微软雅黑" w:cs="微软雅黑"/>
                <w:i/>
                <w:iCs/>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A2F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CA0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7DA49">
            <w:pPr>
              <w:rPr>
                <w:rFonts w:hint="eastAsia" w:ascii="黑体" w:hAnsi="黑体" w:eastAsia="黑体" w:cs="黑体"/>
                <w:i/>
                <w:iCs/>
                <w:color w:val="000000"/>
                <w:sz w:val="22"/>
                <w:szCs w:val="22"/>
                <w:u w:val="none"/>
              </w:rPr>
            </w:pPr>
          </w:p>
        </w:tc>
      </w:tr>
      <w:tr w14:paraId="52BB1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8DEF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绩效指标（90分）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608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一级指标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2A4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二级指标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C18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CAF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55A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指标值</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ECB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度量单位</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10D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完成值</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07D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权重</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004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得分</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ACE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未完成原因分析</w:t>
            </w:r>
          </w:p>
        </w:tc>
      </w:tr>
      <w:tr w14:paraId="002A9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2ACC7">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F33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产出指标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303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数量指标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58F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发放覆盖率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80A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7D8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C80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B916">
            <w:pPr>
              <w:keepNext w:val="0"/>
              <w:keepLines w:val="0"/>
              <w:widowControl/>
              <w:suppressLineNumbers w:val="0"/>
              <w:jc w:val="center"/>
              <w:textAlignment w:val="center"/>
              <w:rPr>
                <w:rFonts w:hint="eastAsia" w:ascii="微软雅黑" w:hAnsi="微软雅黑" w:eastAsia="微软雅黑" w:cs="微软雅黑"/>
                <w:i/>
                <w:iCs/>
                <w:color w:val="000000"/>
                <w:sz w:val="22"/>
                <w:szCs w:val="22"/>
                <w:u w:val="none"/>
              </w:rPr>
            </w:pPr>
            <w:r>
              <w:rPr>
                <w:rFonts w:hint="eastAsia" w:ascii="微软雅黑" w:hAnsi="微软雅黑" w:eastAsia="微软雅黑" w:cs="微软雅黑"/>
                <w:i/>
                <w:iCs/>
                <w:color w:val="000000"/>
                <w:kern w:val="0"/>
                <w:sz w:val="22"/>
                <w:szCs w:val="2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BAB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19D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11A8">
            <w:pPr>
              <w:jc w:val="center"/>
              <w:rPr>
                <w:rFonts w:hint="eastAsia" w:ascii="宋体" w:hAnsi="宋体" w:eastAsia="宋体" w:cs="宋体"/>
                <w:i w:val="0"/>
                <w:iCs w:val="0"/>
                <w:color w:val="000000"/>
                <w:sz w:val="22"/>
                <w:szCs w:val="22"/>
                <w:u w:val="none"/>
              </w:rPr>
            </w:pPr>
          </w:p>
        </w:tc>
      </w:tr>
      <w:tr w14:paraId="1DAC5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64221">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4EF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效益指标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6F5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社会效益指标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41D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足额保障率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8E8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E79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457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8F37">
            <w:pPr>
              <w:keepNext w:val="0"/>
              <w:keepLines w:val="0"/>
              <w:widowControl/>
              <w:suppressLineNumbers w:val="0"/>
              <w:jc w:val="center"/>
              <w:textAlignment w:val="center"/>
              <w:rPr>
                <w:rFonts w:hint="eastAsia" w:ascii="微软雅黑" w:hAnsi="微软雅黑" w:eastAsia="微软雅黑" w:cs="微软雅黑"/>
                <w:i/>
                <w:iCs/>
                <w:color w:val="000000"/>
                <w:sz w:val="22"/>
                <w:szCs w:val="22"/>
                <w:u w:val="none"/>
              </w:rPr>
            </w:pPr>
            <w:r>
              <w:rPr>
                <w:rFonts w:hint="eastAsia" w:ascii="微软雅黑" w:hAnsi="微软雅黑" w:eastAsia="微软雅黑" w:cs="微软雅黑"/>
                <w:i/>
                <w:iCs/>
                <w:color w:val="000000"/>
                <w:kern w:val="0"/>
                <w:sz w:val="22"/>
                <w:szCs w:val="2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A60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7C8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525D">
            <w:pPr>
              <w:jc w:val="center"/>
              <w:rPr>
                <w:rFonts w:hint="eastAsia" w:ascii="微软雅黑" w:hAnsi="微软雅黑" w:eastAsia="微软雅黑" w:cs="微软雅黑"/>
                <w:i/>
                <w:iCs/>
                <w:color w:val="000000"/>
                <w:sz w:val="22"/>
                <w:szCs w:val="22"/>
                <w:u w:val="none"/>
              </w:rPr>
            </w:pPr>
          </w:p>
        </w:tc>
      </w:tr>
      <w:tr w14:paraId="5C7B0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5D84F5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B6E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8EE5">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21AA">
            <w:pPr>
              <w:rPr>
                <w:rFonts w:hint="eastAsia" w:ascii="宋体" w:hAnsi="宋体" w:eastAsia="宋体" w:cs="宋体"/>
                <w:i w:val="0"/>
                <w:iCs w:val="0"/>
                <w:color w:val="000000"/>
                <w:sz w:val="22"/>
                <w:szCs w:val="22"/>
                <w:u w:val="none"/>
              </w:rPr>
            </w:pPr>
          </w:p>
        </w:tc>
      </w:tr>
      <w:tr w14:paraId="51C78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D19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评价结论</w:t>
            </w:r>
          </w:p>
        </w:tc>
        <w:tc>
          <w:tcPr>
            <w:tcW w:w="105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C95792">
            <w:pPr>
              <w:keepNext w:val="0"/>
              <w:keepLines w:val="0"/>
              <w:widowControl/>
              <w:suppressLineNumbers w:val="0"/>
              <w:jc w:val="left"/>
              <w:textAlignment w:val="center"/>
              <w:rPr>
                <w:rFonts w:hint="eastAsia" w:ascii="微软雅黑" w:hAnsi="微软雅黑" w:eastAsia="微软雅黑" w:cs="微软雅黑"/>
                <w:i/>
                <w:iCs/>
                <w:color w:val="000000"/>
                <w:sz w:val="22"/>
                <w:szCs w:val="22"/>
                <w:u w:val="none"/>
              </w:rPr>
            </w:pPr>
            <w:r>
              <w:rPr>
                <w:rFonts w:hint="eastAsia" w:ascii="微软雅黑" w:hAnsi="微软雅黑" w:eastAsia="微软雅黑" w:cs="微软雅黑"/>
                <w:i/>
                <w:iCs/>
                <w:color w:val="000000"/>
                <w:kern w:val="0"/>
                <w:sz w:val="22"/>
                <w:szCs w:val="22"/>
                <w:u w:val="none"/>
                <w:lang w:val="en-US" w:eastAsia="zh-CN" w:bidi="ar"/>
              </w:rPr>
              <w:t>本年度营养餐项目资金拨付及时，支付到位，该项目自评得分10分</w:t>
            </w:r>
          </w:p>
        </w:tc>
      </w:tr>
      <w:tr w14:paraId="48D24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A50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存在问题</w:t>
            </w:r>
          </w:p>
        </w:tc>
        <w:tc>
          <w:tcPr>
            <w:tcW w:w="105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399346">
            <w:pPr>
              <w:rPr>
                <w:rFonts w:hint="eastAsia" w:ascii="微软雅黑" w:hAnsi="微软雅黑" w:eastAsia="微软雅黑" w:cs="微软雅黑"/>
                <w:i/>
                <w:iCs/>
                <w:color w:val="000000"/>
                <w:sz w:val="22"/>
                <w:szCs w:val="22"/>
                <w:u w:val="none"/>
              </w:rPr>
            </w:pPr>
          </w:p>
        </w:tc>
      </w:tr>
      <w:tr w14:paraId="7F5FB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381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改进措施</w:t>
            </w:r>
          </w:p>
        </w:tc>
        <w:tc>
          <w:tcPr>
            <w:tcW w:w="105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DE36F1">
            <w:pPr>
              <w:rPr>
                <w:rFonts w:hint="eastAsia" w:ascii="微软雅黑" w:hAnsi="微软雅黑" w:eastAsia="微软雅黑" w:cs="微软雅黑"/>
                <w:i/>
                <w:iCs/>
                <w:color w:val="000000"/>
                <w:sz w:val="22"/>
                <w:szCs w:val="22"/>
                <w:u w:val="none"/>
              </w:rPr>
            </w:pPr>
          </w:p>
        </w:tc>
      </w:tr>
      <w:tr w14:paraId="406A4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9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4B9354">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项目负责人：王兴川</w:t>
            </w:r>
          </w:p>
        </w:tc>
        <w:tc>
          <w:tcPr>
            <w:tcW w:w="73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76F000">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财务负责人：王善芳</w:t>
            </w:r>
          </w:p>
        </w:tc>
      </w:tr>
      <w:tr w14:paraId="635EC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tcBorders>
              <w:top w:val="nil"/>
              <w:left w:val="nil"/>
              <w:bottom w:val="nil"/>
              <w:right w:val="nil"/>
            </w:tcBorders>
            <w:shd w:val="clear" w:color="auto" w:fill="auto"/>
            <w:vAlign w:val="center"/>
          </w:tcPr>
          <w:p w14:paraId="2D18EAB6">
            <w:pPr>
              <w:rPr>
                <w:rFonts w:hint="eastAsia" w:ascii="宋体" w:hAnsi="宋体" w:eastAsia="宋体" w:cs="宋体"/>
                <w:i w:val="0"/>
                <w:iCs w:val="0"/>
                <w:color w:val="000000"/>
                <w:sz w:val="18"/>
                <w:szCs w:val="18"/>
                <w:u w:val="none"/>
              </w:rPr>
            </w:pPr>
          </w:p>
        </w:tc>
        <w:tc>
          <w:tcPr>
            <w:tcW w:w="789" w:type="dxa"/>
            <w:tcBorders>
              <w:top w:val="nil"/>
              <w:left w:val="nil"/>
              <w:bottom w:val="nil"/>
              <w:right w:val="nil"/>
            </w:tcBorders>
            <w:shd w:val="clear" w:color="auto" w:fill="auto"/>
            <w:vAlign w:val="center"/>
          </w:tcPr>
          <w:p w14:paraId="4C1B7FA0">
            <w:pPr>
              <w:rPr>
                <w:rFonts w:hint="eastAsia" w:ascii="宋体" w:hAnsi="宋体" w:eastAsia="宋体" w:cs="宋体"/>
                <w:i w:val="0"/>
                <w:iCs w:val="0"/>
                <w:color w:val="000000"/>
                <w:sz w:val="18"/>
                <w:szCs w:val="18"/>
                <w:u w:val="none"/>
              </w:rPr>
            </w:pPr>
          </w:p>
        </w:tc>
        <w:tc>
          <w:tcPr>
            <w:tcW w:w="830" w:type="dxa"/>
            <w:tcBorders>
              <w:top w:val="nil"/>
              <w:left w:val="nil"/>
              <w:bottom w:val="nil"/>
              <w:right w:val="nil"/>
            </w:tcBorders>
            <w:shd w:val="clear" w:color="auto" w:fill="auto"/>
            <w:vAlign w:val="center"/>
          </w:tcPr>
          <w:p w14:paraId="74B50EA4">
            <w:pPr>
              <w:rPr>
                <w:rFonts w:hint="eastAsia" w:ascii="宋体" w:hAnsi="宋体" w:eastAsia="宋体" w:cs="宋体"/>
                <w:i w:val="0"/>
                <w:iCs w:val="0"/>
                <w:color w:val="000000"/>
                <w:sz w:val="18"/>
                <w:szCs w:val="18"/>
                <w:u w:val="none"/>
              </w:rPr>
            </w:pPr>
          </w:p>
        </w:tc>
        <w:tc>
          <w:tcPr>
            <w:tcW w:w="835" w:type="dxa"/>
            <w:tcBorders>
              <w:top w:val="nil"/>
              <w:left w:val="nil"/>
              <w:bottom w:val="nil"/>
              <w:right w:val="nil"/>
            </w:tcBorders>
            <w:shd w:val="clear" w:color="auto" w:fill="auto"/>
            <w:vAlign w:val="center"/>
          </w:tcPr>
          <w:p w14:paraId="55FE61FD">
            <w:pPr>
              <w:rPr>
                <w:rFonts w:hint="eastAsia" w:ascii="宋体" w:hAnsi="宋体" w:eastAsia="宋体" w:cs="宋体"/>
                <w:i w:val="0"/>
                <w:iCs w:val="0"/>
                <w:color w:val="000000"/>
                <w:sz w:val="18"/>
                <w:szCs w:val="18"/>
                <w:u w:val="none"/>
              </w:rPr>
            </w:pPr>
          </w:p>
        </w:tc>
        <w:tc>
          <w:tcPr>
            <w:tcW w:w="762" w:type="dxa"/>
            <w:tcBorders>
              <w:top w:val="nil"/>
              <w:left w:val="nil"/>
              <w:bottom w:val="nil"/>
              <w:right w:val="nil"/>
            </w:tcBorders>
            <w:shd w:val="clear" w:color="auto" w:fill="auto"/>
            <w:vAlign w:val="center"/>
          </w:tcPr>
          <w:p w14:paraId="624455DF">
            <w:pPr>
              <w:rPr>
                <w:rFonts w:hint="eastAsia" w:ascii="宋体" w:hAnsi="宋体" w:eastAsia="宋体" w:cs="宋体"/>
                <w:i w:val="0"/>
                <w:iCs w:val="0"/>
                <w:color w:val="000000"/>
                <w:sz w:val="18"/>
                <w:szCs w:val="18"/>
                <w:u w:val="none"/>
              </w:rPr>
            </w:pPr>
          </w:p>
        </w:tc>
        <w:tc>
          <w:tcPr>
            <w:tcW w:w="807" w:type="dxa"/>
            <w:tcBorders>
              <w:top w:val="nil"/>
              <w:left w:val="nil"/>
              <w:bottom w:val="nil"/>
              <w:right w:val="nil"/>
            </w:tcBorders>
            <w:shd w:val="clear" w:color="auto" w:fill="auto"/>
            <w:vAlign w:val="center"/>
          </w:tcPr>
          <w:p w14:paraId="79E370BB">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6F63D55A">
            <w:pPr>
              <w:rPr>
                <w:rFonts w:hint="eastAsia" w:ascii="宋体" w:hAnsi="宋体" w:eastAsia="宋体" w:cs="宋体"/>
                <w:i w:val="0"/>
                <w:iCs w:val="0"/>
                <w:color w:val="000000"/>
                <w:sz w:val="18"/>
                <w:szCs w:val="18"/>
                <w:u w:val="none"/>
              </w:rPr>
            </w:pPr>
          </w:p>
        </w:tc>
        <w:tc>
          <w:tcPr>
            <w:tcW w:w="1012" w:type="dxa"/>
            <w:tcBorders>
              <w:top w:val="nil"/>
              <w:left w:val="nil"/>
              <w:bottom w:val="nil"/>
              <w:right w:val="nil"/>
            </w:tcBorders>
            <w:shd w:val="clear" w:color="auto" w:fill="auto"/>
            <w:vAlign w:val="center"/>
          </w:tcPr>
          <w:p w14:paraId="12501E95">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14:paraId="07C00EAF">
            <w:pPr>
              <w:rPr>
                <w:rFonts w:hint="eastAsia" w:ascii="宋体" w:hAnsi="宋体" w:eastAsia="宋体" w:cs="宋体"/>
                <w:i w:val="0"/>
                <w:iCs w:val="0"/>
                <w:color w:val="000000"/>
                <w:sz w:val="18"/>
                <w:szCs w:val="18"/>
                <w:u w:val="none"/>
              </w:rPr>
            </w:pPr>
          </w:p>
        </w:tc>
        <w:tc>
          <w:tcPr>
            <w:tcW w:w="678" w:type="dxa"/>
            <w:tcBorders>
              <w:top w:val="nil"/>
              <w:left w:val="nil"/>
              <w:bottom w:val="nil"/>
              <w:right w:val="nil"/>
            </w:tcBorders>
            <w:shd w:val="clear" w:color="auto" w:fill="auto"/>
            <w:vAlign w:val="center"/>
          </w:tcPr>
          <w:p w14:paraId="106BE663">
            <w:pPr>
              <w:rPr>
                <w:rFonts w:hint="eastAsia" w:ascii="宋体" w:hAnsi="宋体" w:eastAsia="宋体" w:cs="宋体"/>
                <w:i w:val="0"/>
                <w:iCs w:val="0"/>
                <w:color w:val="000000"/>
                <w:sz w:val="18"/>
                <w:szCs w:val="18"/>
                <w:u w:val="none"/>
              </w:rPr>
            </w:pPr>
          </w:p>
        </w:tc>
        <w:tc>
          <w:tcPr>
            <w:tcW w:w="3712" w:type="dxa"/>
            <w:tcBorders>
              <w:top w:val="nil"/>
              <w:left w:val="nil"/>
              <w:bottom w:val="nil"/>
              <w:right w:val="nil"/>
            </w:tcBorders>
            <w:shd w:val="clear" w:color="auto" w:fill="auto"/>
            <w:vAlign w:val="center"/>
          </w:tcPr>
          <w:p w14:paraId="5D3C1868">
            <w:pPr>
              <w:rPr>
                <w:rFonts w:hint="eastAsia" w:ascii="宋体" w:hAnsi="宋体" w:eastAsia="宋体" w:cs="宋体"/>
                <w:i w:val="0"/>
                <w:iCs w:val="0"/>
                <w:color w:val="000000"/>
                <w:sz w:val="18"/>
                <w:szCs w:val="18"/>
                <w:u w:val="none"/>
              </w:rPr>
            </w:pPr>
          </w:p>
        </w:tc>
      </w:tr>
      <w:tr w14:paraId="2B489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3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DFA8D4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1C5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43877">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项目名称</w:t>
            </w:r>
          </w:p>
        </w:tc>
        <w:tc>
          <w:tcPr>
            <w:tcW w:w="98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2F1652">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51172422T000005669427-维修改造(存量)</w:t>
            </w:r>
          </w:p>
        </w:tc>
      </w:tr>
      <w:tr w14:paraId="3255B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AA2306">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主管部门</w:t>
            </w:r>
          </w:p>
        </w:tc>
        <w:tc>
          <w:tcPr>
            <w:tcW w:w="3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42DEFB">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大竹县中华乡中心小学部门</w:t>
            </w:r>
          </w:p>
        </w:tc>
        <w:tc>
          <w:tcPr>
            <w:tcW w:w="1012" w:type="dxa"/>
            <w:tcBorders>
              <w:top w:val="nil"/>
              <w:left w:val="nil"/>
              <w:bottom w:val="nil"/>
              <w:right w:val="nil"/>
            </w:tcBorders>
            <w:shd w:val="clear" w:color="auto" w:fill="auto"/>
            <w:vAlign w:val="center"/>
          </w:tcPr>
          <w:p w14:paraId="079FA83B">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实施单位 （盖章）</w:t>
            </w:r>
          </w:p>
        </w:tc>
        <w:tc>
          <w:tcPr>
            <w:tcW w:w="5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6EA5A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大竹县中华乡中心小学</w:t>
            </w:r>
          </w:p>
        </w:tc>
      </w:tr>
      <w:tr w14:paraId="24C93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8AF2A">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项目基本情况</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73499">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1.项目年度目标完成情况</w:t>
            </w:r>
          </w:p>
        </w:tc>
        <w:tc>
          <w:tcPr>
            <w:tcW w:w="3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47E74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项目年度目标</w:t>
            </w:r>
          </w:p>
        </w:tc>
        <w:tc>
          <w:tcPr>
            <w:tcW w:w="60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7CA697">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年度目标完成情况</w:t>
            </w:r>
          </w:p>
        </w:tc>
      </w:tr>
      <w:tr w14:paraId="17A01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C9F7E">
            <w:pPr>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6C7B7">
            <w:pPr>
              <w:rPr>
                <w:rFonts w:hint="eastAsia" w:ascii="宋体" w:hAnsi="宋体" w:eastAsia="宋体" w:cs="宋体"/>
                <w:i w:val="0"/>
                <w:iCs w:val="0"/>
                <w:color w:val="000000"/>
                <w:sz w:val="22"/>
                <w:szCs w:val="22"/>
                <w:u w:val="none"/>
              </w:rPr>
            </w:pPr>
          </w:p>
        </w:tc>
        <w:tc>
          <w:tcPr>
            <w:tcW w:w="3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CC3A01">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按照相关政策，足额保障校舍维修资金。</w:t>
            </w:r>
          </w:p>
        </w:tc>
        <w:tc>
          <w:tcPr>
            <w:tcW w:w="60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0B5E5B">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本年度严格执行相关政策，足额保障校舍维修工程款资金支付到位。</w:t>
            </w:r>
          </w:p>
        </w:tc>
      </w:tr>
      <w:tr w14:paraId="09B89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C4332">
            <w:pP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4C33">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2.项目实施内容及过程概述</w:t>
            </w:r>
          </w:p>
        </w:tc>
        <w:tc>
          <w:tcPr>
            <w:tcW w:w="98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7AD469">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本年度按照相关政策，努力推进校舍维修改造工程项目，足额保障校舍维修资金。</w:t>
            </w:r>
          </w:p>
        </w:tc>
      </w:tr>
      <w:tr w14:paraId="7D35D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B9F3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预算执行情况（10分）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7FA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年度预算数（万元）</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59F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年初预算</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AE1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调整后预算数</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03EAC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预算执行数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17D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预算执行率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71D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权重</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A7D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得分</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361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原因</w:t>
            </w:r>
          </w:p>
        </w:tc>
      </w:tr>
      <w:tr w14:paraId="5780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8BEE0">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A76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总额</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42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609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19.88</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14D5C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19.88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CBE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C5A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BAD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3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5066B">
            <w:pPr>
              <w:keepNext w:val="0"/>
              <w:keepLines w:val="0"/>
              <w:widowControl/>
              <w:suppressLineNumbers w:val="0"/>
              <w:jc w:val="left"/>
              <w:textAlignment w:val="center"/>
              <w:rPr>
                <w:rFonts w:hint="eastAsia" w:ascii="黑体" w:hAnsi="黑体" w:eastAsia="黑体" w:cs="黑体"/>
                <w:i/>
                <w:iCs/>
                <w:color w:val="000000"/>
                <w:sz w:val="22"/>
                <w:szCs w:val="22"/>
                <w:u w:val="none"/>
              </w:rPr>
            </w:pPr>
            <w:r>
              <w:rPr>
                <w:rFonts w:hint="eastAsia" w:ascii="黑体" w:hAnsi="黑体" w:eastAsia="黑体" w:cs="黑体"/>
                <w:i/>
                <w:iCs/>
                <w:color w:val="000000"/>
                <w:kern w:val="0"/>
                <w:sz w:val="22"/>
                <w:szCs w:val="22"/>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3AC9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6DC1B">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396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其中：财政资金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A52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288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19.88</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947B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19.88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F4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BEA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BEE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ACA5F">
            <w:pPr>
              <w:rPr>
                <w:rFonts w:hint="eastAsia" w:ascii="黑体" w:hAnsi="黑体" w:eastAsia="黑体" w:cs="黑体"/>
                <w:i/>
                <w:iCs/>
                <w:color w:val="000000"/>
                <w:sz w:val="22"/>
                <w:szCs w:val="22"/>
                <w:u w:val="none"/>
              </w:rPr>
            </w:pPr>
          </w:p>
        </w:tc>
      </w:tr>
      <w:tr w14:paraId="4DC6E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04F31">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C59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财政专户管理资金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569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C67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E41F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846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8D6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5686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1E2F1">
            <w:pPr>
              <w:rPr>
                <w:rFonts w:hint="eastAsia" w:ascii="黑体" w:hAnsi="黑体" w:eastAsia="黑体" w:cs="黑体"/>
                <w:i/>
                <w:iCs/>
                <w:color w:val="000000"/>
                <w:sz w:val="22"/>
                <w:szCs w:val="22"/>
                <w:u w:val="none"/>
              </w:rPr>
            </w:pPr>
          </w:p>
        </w:tc>
      </w:tr>
      <w:tr w14:paraId="2D9B3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B9936">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66F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705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7DA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A16F0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F86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122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C52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84C58">
            <w:pPr>
              <w:rPr>
                <w:rFonts w:hint="eastAsia" w:ascii="黑体" w:hAnsi="黑体" w:eastAsia="黑体" w:cs="黑体"/>
                <w:i/>
                <w:iCs/>
                <w:color w:val="000000"/>
                <w:sz w:val="22"/>
                <w:szCs w:val="22"/>
                <w:u w:val="none"/>
              </w:rPr>
            </w:pPr>
          </w:p>
        </w:tc>
      </w:tr>
      <w:tr w14:paraId="08145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ABCB8">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7F3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其他资金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DEE6">
            <w:pPr>
              <w:jc w:val="center"/>
              <w:rPr>
                <w:rFonts w:hint="eastAsia" w:ascii="微软雅黑" w:hAnsi="微软雅黑" w:eastAsia="微软雅黑" w:cs="微软雅黑"/>
                <w:i/>
                <w:iCs/>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6052">
            <w:pPr>
              <w:jc w:val="center"/>
              <w:rPr>
                <w:rFonts w:hint="eastAsia" w:ascii="微软雅黑" w:hAnsi="微软雅黑" w:eastAsia="微软雅黑" w:cs="微软雅黑"/>
                <w:i/>
                <w:iCs/>
                <w:color w:val="000000"/>
                <w:sz w:val="22"/>
                <w:szCs w:val="22"/>
                <w:u w:val="none"/>
              </w:rPr>
            </w:pP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20A10C">
            <w:pPr>
              <w:jc w:val="center"/>
              <w:rPr>
                <w:rFonts w:hint="eastAsia" w:ascii="微软雅黑" w:hAnsi="微软雅黑" w:eastAsia="微软雅黑" w:cs="微软雅黑"/>
                <w:i/>
                <w:iCs/>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A66E">
            <w:pPr>
              <w:jc w:val="center"/>
              <w:rPr>
                <w:rFonts w:hint="eastAsia" w:ascii="微软雅黑" w:hAnsi="微软雅黑" w:eastAsia="微软雅黑" w:cs="微软雅黑"/>
                <w:i/>
                <w:iCs/>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700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3C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6150A">
            <w:pPr>
              <w:rPr>
                <w:rFonts w:hint="eastAsia" w:ascii="黑体" w:hAnsi="黑体" w:eastAsia="黑体" w:cs="黑体"/>
                <w:i/>
                <w:iCs/>
                <w:color w:val="000000"/>
                <w:sz w:val="22"/>
                <w:szCs w:val="22"/>
                <w:u w:val="none"/>
              </w:rPr>
            </w:pPr>
          </w:p>
        </w:tc>
      </w:tr>
      <w:tr w14:paraId="198E8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78CE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绩效指标（90分）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416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一级指标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DB5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二级指标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093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9B1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593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指标值</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FF8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度量单位</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715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完成值</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36B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权重</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5F6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得分</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118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未完成原因分析</w:t>
            </w:r>
          </w:p>
        </w:tc>
      </w:tr>
      <w:tr w14:paraId="469B1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798B5">
            <w:pPr>
              <w:jc w:val="center"/>
              <w:rPr>
                <w:rFonts w:hint="eastAsia" w:ascii="宋体" w:hAnsi="宋体" w:eastAsia="宋体" w:cs="宋体"/>
                <w:i w:val="0"/>
                <w:iCs w:val="0"/>
                <w:color w:val="000000"/>
                <w:sz w:val="22"/>
                <w:szCs w:val="22"/>
                <w:u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0C89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产出指标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653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数量指标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C8B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学生、教师覆盖人数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EB5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CE9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165</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E44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D85F">
            <w:pPr>
              <w:keepNext w:val="0"/>
              <w:keepLines w:val="0"/>
              <w:widowControl/>
              <w:suppressLineNumbers w:val="0"/>
              <w:jc w:val="center"/>
              <w:textAlignment w:val="center"/>
              <w:rPr>
                <w:rFonts w:hint="eastAsia" w:ascii="微软雅黑" w:hAnsi="微软雅黑" w:eastAsia="微软雅黑" w:cs="微软雅黑"/>
                <w:i/>
                <w:iCs/>
                <w:color w:val="000000"/>
                <w:sz w:val="22"/>
                <w:szCs w:val="22"/>
                <w:u w:val="none"/>
              </w:rPr>
            </w:pPr>
            <w:r>
              <w:rPr>
                <w:rFonts w:hint="eastAsia" w:ascii="微软雅黑" w:hAnsi="微软雅黑" w:eastAsia="微软雅黑" w:cs="微软雅黑"/>
                <w:i/>
                <w:iCs/>
                <w:color w:val="000000"/>
                <w:kern w:val="0"/>
                <w:sz w:val="22"/>
                <w:szCs w:val="2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6DA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388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FC56">
            <w:pPr>
              <w:jc w:val="center"/>
              <w:rPr>
                <w:rFonts w:hint="eastAsia" w:ascii="微软雅黑" w:hAnsi="微软雅黑" w:eastAsia="微软雅黑" w:cs="微软雅黑"/>
                <w:i/>
                <w:iCs/>
                <w:color w:val="000000"/>
                <w:sz w:val="22"/>
                <w:szCs w:val="22"/>
                <w:u w:val="none"/>
              </w:rPr>
            </w:pPr>
          </w:p>
        </w:tc>
      </w:tr>
      <w:tr w14:paraId="67E93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A24BD">
            <w:pPr>
              <w:jc w:val="center"/>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EF7ED">
            <w:pPr>
              <w:jc w:val="center"/>
              <w:rPr>
                <w:rFonts w:hint="eastAsia" w:ascii="宋体" w:hAnsi="宋体" w:eastAsia="宋体" w:cs="宋体"/>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B92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时效指标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72E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按时完成划拨</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584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A6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C1B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F9EB">
            <w:pPr>
              <w:keepNext w:val="0"/>
              <w:keepLines w:val="0"/>
              <w:widowControl/>
              <w:suppressLineNumbers w:val="0"/>
              <w:jc w:val="center"/>
              <w:textAlignment w:val="center"/>
              <w:rPr>
                <w:rFonts w:hint="eastAsia" w:ascii="微软雅黑" w:hAnsi="微软雅黑" w:eastAsia="微软雅黑" w:cs="微软雅黑"/>
                <w:i/>
                <w:iCs/>
                <w:color w:val="000000"/>
                <w:sz w:val="22"/>
                <w:szCs w:val="22"/>
                <w:u w:val="none"/>
              </w:rPr>
            </w:pPr>
            <w:r>
              <w:rPr>
                <w:rFonts w:hint="eastAsia" w:ascii="微软雅黑" w:hAnsi="微软雅黑" w:eastAsia="微软雅黑" w:cs="微软雅黑"/>
                <w:i/>
                <w:iCs/>
                <w:color w:val="000000"/>
                <w:kern w:val="0"/>
                <w:sz w:val="22"/>
                <w:szCs w:val="2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923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669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0963">
            <w:pPr>
              <w:jc w:val="center"/>
              <w:rPr>
                <w:rFonts w:hint="eastAsia" w:ascii="微软雅黑" w:hAnsi="微软雅黑" w:eastAsia="微软雅黑" w:cs="微软雅黑"/>
                <w:i/>
                <w:iCs/>
                <w:color w:val="000000"/>
                <w:sz w:val="22"/>
                <w:szCs w:val="22"/>
                <w:u w:val="none"/>
              </w:rPr>
            </w:pPr>
          </w:p>
        </w:tc>
      </w:tr>
      <w:tr w14:paraId="35EA5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12C3F">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EF3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效益指标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092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可持续发展指标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DF6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项目持续发挥作用期限</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B99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240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13A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5A91">
            <w:pPr>
              <w:keepNext w:val="0"/>
              <w:keepLines w:val="0"/>
              <w:widowControl/>
              <w:suppressLineNumbers w:val="0"/>
              <w:jc w:val="center"/>
              <w:textAlignment w:val="center"/>
              <w:rPr>
                <w:rFonts w:hint="eastAsia" w:ascii="微软雅黑" w:hAnsi="微软雅黑" w:eastAsia="微软雅黑" w:cs="微软雅黑"/>
                <w:i/>
                <w:iCs/>
                <w:color w:val="000000"/>
                <w:sz w:val="22"/>
                <w:szCs w:val="22"/>
                <w:u w:val="none"/>
              </w:rPr>
            </w:pPr>
            <w:r>
              <w:rPr>
                <w:rFonts w:hint="eastAsia" w:ascii="微软雅黑" w:hAnsi="微软雅黑" w:eastAsia="微软雅黑" w:cs="微软雅黑"/>
                <w:i/>
                <w:iCs/>
                <w:color w:val="000000"/>
                <w:kern w:val="0"/>
                <w:sz w:val="22"/>
                <w:szCs w:val="2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11A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BDB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67AB">
            <w:pPr>
              <w:jc w:val="center"/>
              <w:rPr>
                <w:rFonts w:hint="eastAsia" w:ascii="微软雅黑" w:hAnsi="微软雅黑" w:eastAsia="微软雅黑" w:cs="微软雅黑"/>
                <w:i/>
                <w:iCs/>
                <w:color w:val="000000"/>
                <w:sz w:val="22"/>
                <w:szCs w:val="22"/>
                <w:u w:val="none"/>
              </w:rPr>
            </w:pPr>
          </w:p>
        </w:tc>
      </w:tr>
      <w:tr w14:paraId="1240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0C369">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75F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满意度指标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B70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服务对象满意度指标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920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师生满意度</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ADF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C3A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95</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5EB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1102">
            <w:pPr>
              <w:keepNext w:val="0"/>
              <w:keepLines w:val="0"/>
              <w:widowControl/>
              <w:suppressLineNumbers w:val="0"/>
              <w:jc w:val="center"/>
              <w:textAlignment w:val="center"/>
              <w:rPr>
                <w:rFonts w:hint="eastAsia" w:ascii="微软雅黑" w:hAnsi="微软雅黑" w:eastAsia="微软雅黑" w:cs="微软雅黑"/>
                <w:i/>
                <w:iCs/>
                <w:color w:val="000000"/>
                <w:sz w:val="22"/>
                <w:szCs w:val="22"/>
                <w:u w:val="none"/>
              </w:rPr>
            </w:pPr>
            <w:r>
              <w:rPr>
                <w:rFonts w:hint="eastAsia" w:ascii="微软雅黑" w:hAnsi="微软雅黑" w:eastAsia="微软雅黑" w:cs="微软雅黑"/>
                <w:i/>
                <w:iCs/>
                <w:color w:val="000000"/>
                <w:kern w:val="0"/>
                <w:sz w:val="22"/>
                <w:szCs w:val="2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EE0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EB5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B715">
            <w:pPr>
              <w:jc w:val="center"/>
              <w:rPr>
                <w:rFonts w:hint="eastAsia" w:ascii="微软雅黑" w:hAnsi="微软雅黑" w:eastAsia="微软雅黑" w:cs="微软雅黑"/>
                <w:i/>
                <w:iCs/>
                <w:color w:val="000000"/>
                <w:sz w:val="22"/>
                <w:szCs w:val="22"/>
                <w:u w:val="none"/>
              </w:rPr>
            </w:pPr>
          </w:p>
        </w:tc>
      </w:tr>
      <w:tr w14:paraId="0F0B8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EB4E0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D94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6AA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63B4">
            <w:pPr>
              <w:rPr>
                <w:rFonts w:hint="eastAsia" w:ascii="宋体" w:hAnsi="宋体" w:eastAsia="宋体" w:cs="宋体"/>
                <w:i w:val="0"/>
                <w:iCs w:val="0"/>
                <w:color w:val="000000"/>
                <w:sz w:val="22"/>
                <w:szCs w:val="22"/>
                <w:u w:val="none"/>
              </w:rPr>
            </w:pPr>
          </w:p>
        </w:tc>
      </w:tr>
      <w:tr w14:paraId="733DD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31E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评价结论</w:t>
            </w:r>
          </w:p>
        </w:tc>
        <w:tc>
          <w:tcPr>
            <w:tcW w:w="105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CCCD3B">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本年度顺利完成校舍维修改造工程项目，资金到位，支付到位，该项目自评得分10分</w:t>
            </w:r>
          </w:p>
        </w:tc>
      </w:tr>
      <w:tr w14:paraId="10C75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338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存在问题</w:t>
            </w:r>
          </w:p>
        </w:tc>
        <w:tc>
          <w:tcPr>
            <w:tcW w:w="105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27EFE0">
            <w:pPr>
              <w:rPr>
                <w:rFonts w:hint="eastAsia" w:ascii="微软雅黑" w:hAnsi="微软雅黑" w:eastAsia="微软雅黑" w:cs="微软雅黑"/>
                <w:i/>
                <w:iCs/>
                <w:color w:val="000000"/>
                <w:sz w:val="22"/>
                <w:szCs w:val="22"/>
                <w:u w:val="none"/>
              </w:rPr>
            </w:pPr>
          </w:p>
        </w:tc>
      </w:tr>
      <w:tr w14:paraId="0951C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877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改进措施</w:t>
            </w:r>
          </w:p>
        </w:tc>
        <w:tc>
          <w:tcPr>
            <w:tcW w:w="105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0889CE">
            <w:pPr>
              <w:rPr>
                <w:rFonts w:hint="eastAsia" w:ascii="微软雅黑" w:hAnsi="微软雅黑" w:eastAsia="微软雅黑" w:cs="微软雅黑"/>
                <w:i/>
                <w:iCs/>
                <w:color w:val="000000"/>
                <w:sz w:val="22"/>
                <w:szCs w:val="22"/>
                <w:u w:val="none"/>
              </w:rPr>
            </w:pPr>
          </w:p>
        </w:tc>
      </w:tr>
      <w:tr w14:paraId="4FDDE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9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FE1675">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项目负责人：王兴川</w:t>
            </w:r>
          </w:p>
        </w:tc>
        <w:tc>
          <w:tcPr>
            <w:tcW w:w="73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F2DA63">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财务负责人：王善芳</w:t>
            </w:r>
          </w:p>
        </w:tc>
      </w:tr>
      <w:tr w14:paraId="28C7A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tcBorders>
              <w:top w:val="nil"/>
              <w:left w:val="nil"/>
              <w:bottom w:val="nil"/>
              <w:right w:val="nil"/>
            </w:tcBorders>
            <w:shd w:val="clear" w:color="auto" w:fill="auto"/>
            <w:vAlign w:val="center"/>
          </w:tcPr>
          <w:p w14:paraId="778B7E26">
            <w:pPr>
              <w:rPr>
                <w:rFonts w:hint="eastAsia" w:ascii="宋体" w:hAnsi="宋体" w:eastAsia="宋体" w:cs="宋体"/>
                <w:i w:val="0"/>
                <w:iCs w:val="0"/>
                <w:color w:val="000000"/>
                <w:sz w:val="22"/>
                <w:szCs w:val="22"/>
                <w:u w:val="none"/>
              </w:rPr>
            </w:pPr>
          </w:p>
        </w:tc>
        <w:tc>
          <w:tcPr>
            <w:tcW w:w="789" w:type="dxa"/>
            <w:tcBorders>
              <w:top w:val="nil"/>
              <w:left w:val="nil"/>
              <w:bottom w:val="nil"/>
              <w:right w:val="nil"/>
            </w:tcBorders>
            <w:shd w:val="clear" w:color="auto" w:fill="auto"/>
            <w:vAlign w:val="center"/>
          </w:tcPr>
          <w:p w14:paraId="3B22AA5F">
            <w:pPr>
              <w:rPr>
                <w:rFonts w:hint="eastAsia" w:ascii="宋体" w:hAnsi="宋体" w:eastAsia="宋体" w:cs="宋体"/>
                <w:i w:val="0"/>
                <w:iCs w:val="0"/>
                <w:color w:val="000000"/>
                <w:sz w:val="22"/>
                <w:szCs w:val="22"/>
                <w:u w:val="none"/>
              </w:rPr>
            </w:pPr>
          </w:p>
        </w:tc>
        <w:tc>
          <w:tcPr>
            <w:tcW w:w="830" w:type="dxa"/>
            <w:tcBorders>
              <w:top w:val="nil"/>
              <w:left w:val="nil"/>
              <w:bottom w:val="nil"/>
              <w:right w:val="nil"/>
            </w:tcBorders>
            <w:shd w:val="clear" w:color="auto" w:fill="auto"/>
            <w:vAlign w:val="center"/>
          </w:tcPr>
          <w:p w14:paraId="57BE9BE3">
            <w:pPr>
              <w:rPr>
                <w:rFonts w:hint="eastAsia" w:ascii="宋体" w:hAnsi="宋体" w:eastAsia="宋体" w:cs="宋体"/>
                <w:i w:val="0"/>
                <w:iCs w:val="0"/>
                <w:color w:val="000000"/>
                <w:sz w:val="22"/>
                <w:szCs w:val="22"/>
                <w:u w:val="none"/>
              </w:rPr>
            </w:pPr>
          </w:p>
        </w:tc>
        <w:tc>
          <w:tcPr>
            <w:tcW w:w="835" w:type="dxa"/>
            <w:tcBorders>
              <w:top w:val="nil"/>
              <w:left w:val="nil"/>
              <w:bottom w:val="nil"/>
              <w:right w:val="nil"/>
            </w:tcBorders>
            <w:shd w:val="clear" w:color="auto" w:fill="auto"/>
            <w:vAlign w:val="center"/>
          </w:tcPr>
          <w:p w14:paraId="0EF0B272">
            <w:pPr>
              <w:rPr>
                <w:rFonts w:hint="eastAsia" w:ascii="宋体" w:hAnsi="宋体" w:eastAsia="宋体" w:cs="宋体"/>
                <w:i w:val="0"/>
                <w:iCs w:val="0"/>
                <w:color w:val="000000"/>
                <w:sz w:val="22"/>
                <w:szCs w:val="22"/>
                <w:u w:val="none"/>
              </w:rPr>
            </w:pPr>
          </w:p>
        </w:tc>
        <w:tc>
          <w:tcPr>
            <w:tcW w:w="762" w:type="dxa"/>
            <w:tcBorders>
              <w:top w:val="nil"/>
              <w:left w:val="nil"/>
              <w:bottom w:val="nil"/>
              <w:right w:val="nil"/>
            </w:tcBorders>
            <w:shd w:val="clear" w:color="auto" w:fill="auto"/>
            <w:vAlign w:val="center"/>
          </w:tcPr>
          <w:p w14:paraId="31E6907A">
            <w:pPr>
              <w:rPr>
                <w:rFonts w:hint="eastAsia" w:ascii="宋体" w:hAnsi="宋体" w:eastAsia="宋体" w:cs="宋体"/>
                <w:i w:val="0"/>
                <w:iCs w:val="0"/>
                <w:color w:val="000000"/>
                <w:sz w:val="22"/>
                <w:szCs w:val="22"/>
                <w:u w:val="none"/>
              </w:rPr>
            </w:pPr>
          </w:p>
        </w:tc>
        <w:tc>
          <w:tcPr>
            <w:tcW w:w="807" w:type="dxa"/>
            <w:tcBorders>
              <w:top w:val="nil"/>
              <w:left w:val="nil"/>
              <w:bottom w:val="nil"/>
              <w:right w:val="nil"/>
            </w:tcBorders>
            <w:shd w:val="clear" w:color="auto" w:fill="auto"/>
            <w:vAlign w:val="center"/>
          </w:tcPr>
          <w:p w14:paraId="58772DD2">
            <w:pPr>
              <w:rPr>
                <w:rFonts w:hint="eastAsia" w:ascii="宋体" w:hAnsi="宋体" w:eastAsia="宋体" w:cs="宋体"/>
                <w:i w:val="0"/>
                <w:iCs w:val="0"/>
                <w:color w:val="000000"/>
                <w:sz w:val="22"/>
                <w:szCs w:val="22"/>
                <w:u w:val="none"/>
              </w:rPr>
            </w:pPr>
          </w:p>
        </w:tc>
        <w:tc>
          <w:tcPr>
            <w:tcW w:w="487" w:type="dxa"/>
            <w:tcBorders>
              <w:top w:val="nil"/>
              <w:left w:val="nil"/>
              <w:bottom w:val="nil"/>
              <w:right w:val="nil"/>
            </w:tcBorders>
            <w:shd w:val="clear" w:color="auto" w:fill="auto"/>
            <w:vAlign w:val="center"/>
          </w:tcPr>
          <w:p w14:paraId="4370E430">
            <w:pPr>
              <w:rPr>
                <w:rFonts w:hint="eastAsia" w:ascii="宋体" w:hAnsi="宋体" w:eastAsia="宋体" w:cs="宋体"/>
                <w:i w:val="0"/>
                <w:iCs w:val="0"/>
                <w:color w:val="000000"/>
                <w:sz w:val="22"/>
                <w:szCs w:val="22"/>
                <w:u w:val="none"/>
              </w:rPr>
            </w:pPr>
          </w:p>
        </w:tc>
        <w:tc>
          <w:tcPr>
            <w:tcW w:w="1012" w:type="dxa"/>
            <w:tcBorders>
              <w:top w:val="nil"/>
              <w:left w:val="nil"/>
              <w:bottom w:val="nil"/>
              <w:right w:val="nil"/>
            </w:tcBorders>
            <w:shd w:val="clear" w:color="auto" w:fill="auto"/>
            <w:vAlign w:val="center"/>
          </w:tcPr>
          <w:p w14:paraId="5A1C07F5">
            <w:pPr>
              <w:rPr>
                <w:rFonts w:hint="eastAsia" w:ascii="宋体" w:hAnsi="宋体" w:eastAsia="宋体" w:cs="宋体"/>
                <w:i w:val="0"/>
                <w:iCs w:val="0"/>
                <w:color w:val="000000"/>
                <w:sz w:val="22"/>
                <w:szCs w:val="22"/>
                <w:u w:val="none"/>
              </w:rPr>
            </w:pPr>
          </w:p>
        </w:tc>
        <w:tc>
          <w:tcPr>
            <w:tcW w:w="677" w:type="dxa"/>
            <w:tcBorders>
              <w:top w:val="nil"/>
              <w:left w:val="nil"/>
              <w:bottom w:val="nil"/>
              <w:right w:val="nil"/>
            </w:tcBorders>
            <w:shd w:val="clear" w:color="auto" w:fill="auto"/>
            <w:vAlign w:val="center"/>
          </w:tcPr>
          <w:p w14:paraId="6A87AE39">
            <w:pPr>
              <w:rPr>
                <w:rFonts w:hint="eastAsia" w:ascii="宋体" w:hAnsi="宋体" w:eastAsia="宋体" w:cs="宋体"/>
                <w:i w:val="0"/>
                <w:iCs w:val="0"/>
                <w:color w:val="000000"/>
                <w:sz w:val="22"/>
                <w:szCs w:val="22"/>
                <w:u w:val="none"/>
              </w:rPr>
            </w:pPr>
          </w:p>
        </w:tc>
        <w:tc>
          <w:tcPr>
            <w:tcW w:w="678" w:type="dxa"/>
            <w:tcBorders>
              <w:top w:val="nil"/>
              <w:left w:val="nil"/>
              <w:bottom w:val="nil"/>
              <w:right w:val="nil"/>
            </w:tcBorders>
            <w:shd w:val="clear" w:color="auto" w:fill="auto"/>
            <w:vAlign w:val="center"/>
          </w:tcPr>
          <w:p w14:paraId="347E51C1">
            <w:pPr>
              <w:rPr>
                <w:rFonts w:hint="eastAsia" w:ascii="宋体" w:hAnsi="宋体" w:eastAsia="宋体" w:cs="宋体"/>
                <w:i w:val="0"/>
                <w:iCs w:val="0"/>
                <w:color w:val="000000"/>
                <w:sz w:val="22"/>
                <w:szCs w:val="22"/>
                <w:u w:val="none"/>
              </w:rPr>
            </w:pPr>
          </w:p>
        </w:tc>
        <w:tc>
          <w:tcPr>
            <w:tcW w:w="3712" w:type="dxa"/>
            <w:tcBorders>
              <w:top w:val="nil"/>
              <w:left w:val="nil"/>
              <w:bottom w:val="nil"/>
              <w:right w:val="nil"/>
            </w:tcBorders>
            <w:shd w:val="clear" w:color="auto" w:fill="auto"/>
            <w:vAlign w:val="center"/>
          </w:tcPr>
          <w:p w14:paraId="3763CAFE">
            <w:pPr>
              <w:rPr>
                <w:rFonts w:hint="eastAsia" w:ascii="宋体" w:hAnsi="宋体" w:eastAsia="宋体" w:cs="宋体"/>
                <w:i w:val="0"/>
                <w:iCs w:val="0"/>
                <w:color w:val="000000"/>
                <w:sz w:val="22"/>
                <w:szCs w:val="22"/>
                <w:u w:val="none"/>
              </w:rPr>
            </w:pPr>
          </w:p>
        </w:tc>
      </w:tr>
      <w:tr w14:paraId="67D6F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3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2E6FCF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F6C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F7DA6">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项目名称</w:t>
            </w:r>
          </w:p>
        </w:tc>
        <w:tc>
          <w:tcPr>
            <w:tcW w:w="98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99CB09D">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51172422T000005807201-幼儿园改造及附属设施（存量）</w:t>
            </w:r>
          </w:p>
        </w:tc>
      </w:tr>
      <w:tr w14:paraId="50FE9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17F4D">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主管部门</w:t>
            </w:r>
          </w:p>
        </w:tc>
        <w:tc>
          <w:tcPr>
            <w:tcW w:w="3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C704FB">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大竹县中华乡中心小学部门</w:t>
            </w:r>
          </w:p>
        </w:tc>
        <w:tc>
          <w:tcPr>
            <w:tcW w:w="1012" w:type="dxa"/>
            <w:tcBorders>
              <w:top w:val="nil"/>
              <w:left w:val="nil"/>
              <w:bottom w:val="nil"/>
              <w:right w:val="nil"/>
            </w:tcBorders>
            <w:shd w:val="clear" w:color="auto" w:fill="auto"/>
            <w:vAlign w:val="center"/>
          </w:tcPr>
          <w:p w14:paraId="1F24B311">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实施单位 （盖章）</w:t>
            </w:r>
          </w:p>
        </w:tc>
        <w:tc>
          <w:tcPr>
            <w:tcW w:w="5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A3B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大竹县中华乡中心小学</w:t>
            </w:r>
          </w:p>
        </w:tc>
      </w:tr>
      <w:tr w14:paraId="157E9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104F7">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项目基本情况</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53F6D">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1.项目年度目标完成情况</w:t>
            </w:r>
          </w:p>
        </w:tc>
        <w:tc>
          <w:tcPr>
            <w:tcW w:w="3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D37CA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项目年度目标</w:t>
            </w:r>
          </w:p>
        </w:tc>
        <w:tc>
          <w:tcPr>
            <w:tcW w:w="60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D1C9EE">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年度目标完成情况</w:t>
            </w:r>
          </w:p>
        </w:tc>
      </w:tr>
      <w:tr w14:paraId="571A6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853D7">
            <w:pPr>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72E2C">
            <w:pPr>
              <w:rPr>
                <w:rFonts w:hint="eastAsia" w:ascii="宋体" w:hAnsi="宋体" w:eastAsia="宋体" w:cs="宋体"/>
                <w:i w:val="0"/>
                <w:iCs w:val="0"/>
                <w:color w:val="000000"/>
                <w:sz w:val="22"/>
                <w:szCs w:val="22"/>
                <w:u w:val="none"/>
              </w:rPr>
            </w:pPr>
          </w:p>
        </w:tc>
        <w:tc>
          <w:tcPr>
            <w:tcW w:w="3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520D1C">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按照相关政策，足额保障幼儿园改造及附属设施资金。</w:t>
            </w:r>
          </w:p>
        </w:tc>
        <w:tc>
          <w:tcPr>
            <w:tcW w:w="60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FFEBBB">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本年度严格执行相关政策，足额保障幼儿园改造及附属设施工程款资金支付到位。</w:t>
            </w:r>
          </w:p>
        </w:tc>
      </w:tr>
      <w:tr w14:paraId="30D65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47E02">
            <w:pP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DE78">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2.项目实施内容及过程概述</w:t>
            </w:r>
          </w:p>
        </w:tc>
        <w:tc>
          <w:tcPr>
            <w:tcW w:w="98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44EE0A1">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本年度按照相关政策，努力推进幼儿园改造及附属设施工程项目，足额保障校舍维修资金。</w:t>
            </w:r>
          </w:p>
        </w:tc>
      </w:tr>
      <w:tr w14:paraId="00F9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BCCA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预算执行情况（10分）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9D8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年度预算数（万元）</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F7A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年初预算</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F59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调整后预算数</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5484C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预算执行数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EB2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预算执行率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646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权重</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EE3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得分</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715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原因</w:t>
            </w:r>
          </w:p>
        </w:tc>
      </w:tr>
      <w:tr w14:paraId="79B24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CAA59">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EC3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总额</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F04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616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10.33</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F32C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10.33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F46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9F8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01F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3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A4E58">
            <w:pPr>
              <w:keepNext w:val="0"/>
              <w:keepLines w:val="0"/>
              <w:widowControl/>
              <w:suppressLineNumbers w:val="0"/>
              <w:jc w:val="left"/>
              <w:textAlignment w:val="center"/>
              <w:rPr>
                <w:rFonts w:hint="eastAsia" w:ascii="黑体" w:hAnsi="黑体" w:eastAsia="黑体" w:cs="黑体"/>
                <w:i/>
                <w:iCs/>
                <w:color w:val="000000"/>
                <w:sz w:val="22"/>
                <w:szCs w:val="22"/>
                <w:u w:val="none"/>
              </w:rPr>
            </w:pPr>
            <w:r>
              <w:rPr>
                <w:rFonts w:hint="eastAsia" w:ascii="黑体" w:hAnsi="黑体" w:eastAsia="黑体" w:cs="黑体"/>
                <w:i/>
                <w:iCs/>
                <w:color w:val="000000"/>
                <w:kern w:val="0"/>
                <w:sz w:val="22"/>
                <w:szCs w:val="22"/>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63F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48524">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489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其中：财政资金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14E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0B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10.33</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9948E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10.33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037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856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27A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1AC98">
            <w:pPr>
              <w:rPr>
                <w:rFonts w:hint="eastAsia" w:ascii="黑体" w:hAnsi="黑体" w:eastAsia="黑体" w:cs="黑体"/>
                <w:i/>
                <w:iCs/>
                <w:color w:val="000000"/>
                <w:sz w:val="22"/>
                <w:szCs w:val="22"/>
                <w:u w:val="none"/>
              </w:rPr>
            </w:pPr>
          </w:p>
        </w:tc>
      </w:tr>
      <w:tr w14:paraId="2C7CD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0D8FE">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5D5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财政专户管理资金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B2A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76B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42F71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0FF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FBF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4CD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D2A27">
            <w:pPr>
              <w:rPr>
                <w:rFonts w:hint="eastAsia" w:ascii="黑体" w:hAnsi="黑体" w:eastAsia="黑体" w:cs="黑体"/>
                <w:i/>
                <w:iCs/>
                <w:color w:val="000000"/>
                <w:sz w:val="22"/>
                <w:szCs w:val="22"/>
                <w:u w:val="none"/>
              </w:rPr>
            </w:pPr>
          </w:p>
        </w:tc>
      </w:tr>
      <w:tr w14:paraId="7926A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BBD23">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19E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E58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FA0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5A6AD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B44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E49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4F3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0F372">
            <w:pPr>
              <w:rPr>
                <w:rFonts w:hint="eastAsia" w:ascii="黑体" w:hAnsi="黑体" w:eastAsia="黑体" w:cs="黑体"/>
                <w:i/>
                <w:iCs/>
                <w:color w:val="000000"/>
                <w:sz w:val="22"/>
                <w:szCs w:val="22"/>
                <w:u w:val="none"/>
              </w:rPr>
            </w:pPr>
          </w:p>
        </w:tc>
      </w:tr>
      <w:tr w14:paraId="62565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63B96">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6B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其他资金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DFFA">
            <w:pPr>
              <w:jc w:val="center"/>
              <w:rPr>
                <w:rFonts w:hint="eastAsia" w:ascii="微软雅黑" w:hAnsi="微软雅黑" w:eastAsia="微软雅黑" w:cs="微软雅黑"/>
                <w:i/>
                <w:iCs/>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4B22">
            <w:pPr>
              <w:jc w:val="center"/>
              <w:rPr>
                <w:rFonts w:hint="eastAsia" w:ascii="微软雅黑" w:hAnsi="微软雅黑" w:eastAsia="微软雅黑" w:cs="微软雅黑"/>
                <w:i/>
                <w:iCs/>
                <w:color w:val="000000"/>
                <w:sz w:val="22"/>
                <w:szCs w:val="22"/>
                <w:u w:val="none"/>
              </w:rPr>
            </w:pP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E08A25">
            <w:pPr>
              <w:jc w:val="center"/>
              <w:rPr>
                <w:rFonts w:hint="eastAsia" w:ascii="微软雅黑" w:hAnsi="微软雅黑" w:eastAsia="微软雅黑" w:cs="微软雅黑"/>
                <w:i/>
                <w:iCs/>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66ED">
            <w:pPr>
              <w:jc w:val="center"/>
              <w:rPr>
                <w:rFonts w:hint="eastAsia" w:ascii="微软雅黑" w:hAnsi="微软雅黑" w:eastAsia="微软雅黑" w:cs="微软雅黑"/>
                <w:i/>
                <w:iCs/>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EB6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3CE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B759B">
            <w:pPr>
              <w:rPr>
                <w:rFonts w:hint="eastAsia" w:ascii="黑体" w:hAnsi="黑体" w:eastAsia="黑体" w:cs="黑体"/>
                <w:i/>
                <w:iCs/>
                <w:color w:val="000000"/>
                <w:sz w:val="22"/>
                <w:szCs w:val="22"/>
                <w:u w:val="none"/>
              </w:rPr>
            </w:pPr>
          </w:p>
        </w:tc>
      </w:tr>
      <w:tr w14:paraId="49CF9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3B7A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绩效指标（90分）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8D8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一级指标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FFD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二级指标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175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56B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A40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指标值</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1B7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度量单位</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A0B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完成值</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E90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权重</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DB3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得分</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51E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未完成原因分析</w:t>
            </w:r>
          </w:p>
        </w:tc>
      </w:tr>
      <w:tr w14:paraId="74867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C3942">
            <w:pPr>
              <w:jc w:val="center"/>
              <w:rPr>
                <w:rFonts w:hint="eastAsia" w:ascii="宋体" w:hAnsi="宋体" w:eastAsia="宋体" w:cs="宋体"/>
                <w:i w:val="0"/>
                <w:iCs w:val="0"/>
                <w:color w:val="000000"/>
                <w:sz w:val="22"/>
                <w:szCs w:val="22"/>
                <w:u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8486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产出指标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F2B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数量指标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43C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学生、教师覆盖人数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0AE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2A7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165</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A88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12BC4">
            <w:pPr>
              <w:keepNext w:val="0"/>
              <w:keepLines w:val="0"/>
              <w:widowControl/>
              <w:suppressLineNumbers w:val="0"/>
              <w:jc w:val="center"/>
              <w:textAlignment w:val="center"/>
              <w:rPr>
                <w:rFonts w:hint="eastAsia" w:ascii="微软雅黑" w:hAnsi="微软雅黑" w:eastAsia="微软雅黑" w:cs="微软雅黑"/>
                <w:i/>
                <w:iCs/>
                <w:color w:val="000000"/>
                <w:sz w:val="22"/>
                <w:szCs w:val="22"/>
                <w:u w:val="none"/>
              </w:rPr>
            </w:pPr>
            <w:r>
              <w:rPr>
                <w:rFonts w:hint="eastAsia" w:ascii="微软雅黑" w:hAnsi="微软雅黑" w:eastAsia="微软雅黑" w:cs="微软雅黑"/>
                <w:i/>
                <w:iCs/>
                <w:color w:val="000000"/>
                <w:kern w:val="0"/>
                <w:sz w:val="22"/>
                <w:szCs w:val="2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669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0C1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D83A">
            <w:pPr>
              <w:jc w:val="center"/>
              <w:rPr>
                <w:rFonts w:hint="eastAsia" w:ascii="微软雅黑" w:hAnsi="微软雅黑" w:eastAsia="微软雅黑" w:cs="微软雅黑"/>
                <w:i/>
                <w:iCs/>
                <w:color w:val="000000"/>
                <w:sz w:val="22"/>
                <w:szCs w:val="22"/>
                <w:u w:val="none"/>
              </w:rPr>
            </w:pPr>
          </w:p>
        </w:tc>
      </w:tr>
      <w:tr w14:paraId="10154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550EC">
            <w:pPr>
              <w:jc w:val="center"/>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E97E6">
            <w:pPr>
              <w:jc w:val="center"/>
              <w:rPr>
                <w:rFonts w:hint="eastAsia" w:ascii="宋体" w:hAnsi="宋体" w:eastAsia="宋体" w:cs="宋体"/>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641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时效指标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02C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按时完成划拨</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530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D56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6CD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8A60">
            <w:pPr>
              <w:keepNext w:val="0"/>
              <w:keepLines w:val="0"/>
              <w:widowControl/>
              <w:suppressLineNumbers w:val="0"/>
              <w:jc w:val="center"/>
              <w:textAlignment w:val="center"/>
              <w:rPr>
                <w:rFonts w:hint="eastAsia" w:ascii="微软雅黑" w:hAnsi="微软雅黑" w:eastAsia="微软雅黑" w:cs="微软雅黑"/>
                <w:i/>
                <w:iCs/>
                <w:color w:val="000000"/>
                <w:sz w:val="22"/>
                <w:szCs w:val="22"/>
                <w:u w:val="none"/>
              </w:rPr>
            </w:pPr>
            <w:r>
              <w:rPr>
                <w:rFonts w:hint="eastAsia" w:ascii="微软雅黑" w:hAnsi="微软雅黑" w:eastAsia="微软雅黑" w:cs="微软雅黑"/>
                <w:i/>
                <w:iCs/>
                <w:color w:val="000000"/>
                <w:kern w:val="0"/>
                <w:sz w:val="22"/>
                <w:szCs w:val="2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BE5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63E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5FFF">
            <w:pPr>
              <w:jc w:val="center"/>
              <w:rPr>
                <w:rFonts w:hint="eastAsia" w:ascii="微软雅黑" w:hAnsi="微软雅黑" w:eastAsia="微软雅黑" w:cs="微软雅黑"/>
                <w:i/>
                <w:iCs/>
                <w:color w:val="000000"/>
                <w:sz w:val="22"/>
                <w:szCs w:val="22"/>
                <w:u w:val="none"/>
              </w:rPr>
            </w:pPr>
          </w:p>
        </w:tc>
      </w:tr>
      <w:tr w14:paraId="636B8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6B0E2">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5B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效益指标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F24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可持续发展指标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DE2E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项目持续发挥作用期限</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799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9FD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7F0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EB32">
            <w:pPr>
              <w:keepNext w:val="0"/>
              <w:keepLines w:val="0"/>
              <w:widowControl/>
              <w:suppressLineNumbers w:val="0"/>
              <w:jc w:val="center"/>
              <w:textAlignment w:val="center"/>
              <w:rPr>
                <w:rFonts w:hint="eastAsia" w:ascii="微软雅黑" w:hAnsi="微软雅黑" w:eastAsia="微软雅黑" w:cs="微软雅黑"/>
                <w:i/>
                <w:iCs/>
                <w:color w:val="000000"/>
                <w:sz w:val="22"/>
                <w:szCs w:val="22"/>
                <w:u w:val="none"/>
              </w:rPr>
            </w:pPr>
            <w:r>
              <w:rPr>
                <w:rFonts w:hint="eastAsia" w:ascii="微软雅黑" w:hAnsi="微软雅黑" w:eastAsia="微软雅黑" w:cs="微软雅黑"/>
                <w:i/>
                <w:iCs/>
                <w:color w:val="000000"/>
                <w:kern w:val="0"/>
                <w:sz w:val="22"/>
                <w:szCs w:val="2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7C4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9C2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C68B">
            <w:pPr>
              <w:jc w:val="center"/>
              <w:rPr>
                <w:rFonts w:hint="eastAsia" w:ascii="微软雅黑" w:hAnsi="微软雅黑" w:eastAsia="微软雅黑" w:cs="微软雅黑"/>
                <w:i/>
                <w:iCs/>
                <w:color w:val="000000"/>
                <w:sz w:val="22"/>
                <w:szCs w:val="22"/>
                <w:u w:val="none"/>
              </w:rPr>
            </w:pPr>
          </w:p>
        </w:tc>
      </w:tr>
      <w:tr w14:paraId="16DE0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8AB60">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ED1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满意度指标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453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服务对象满意度指标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332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师生满意度</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9B4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335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98</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13E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C256">
            <w:pPr>
              <w:keepNext w:val="0"/>
              <w:keepLines w:val="0"/>
              <w:widowControl/>
              <w:suppressLineNumbers w:val="0"/>
              <w:jc w:val="center"/>
              <w:textAlignment w:val="center"/>
              <w:rPr>
                <w:rFonts w:hint="eastAsia" w:ascii="微软雅黑" w:hAnsi="微软雅黑" w:eastAsia="微软雅黑" w:cs="微软雅黑"/>
                <w:i/>
                <w:iCs/>
                <w:color w:val="000000"/>
                <w:sz w:val="22"/>
                <w:szCs w:val="22"/>
                <w:u w:val="none"/>
              </w:rPr>
            </w:pPr>
            <w:r>
              <w:rPr>
                <w:rFonts w:hint="eastAsia" w:ascii="微软雅黑" w:hAnsi="微软雅黑" w:eastAsia="微软雅黑" w:cs="微软雅黑"/>
                <w:i/>
                <w:iCs/>
                <w:color w:val="000000"/>
                <w:kern w:val="0"/>
                <w:sz w:val="22"/>
                <w:szCs w:val="2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4AB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827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2867">
            <w:pPr>
              <w:jc w:val="center"/>
              <w:rPr>
                <w:rFonts w:hint="eastAsia" w:ascii="微软雅黑" w:hAnsi="微软雅黑" w:eastAsia="微软雅黑" w:cs="微软雅黑"/>
                <w:i/>
                <w:iCs/>
                <w:color w:val="000000"/>
                <w:sz w:val="22"/>
                <w:szCs w:val="22"/>
                <w:u w:val="none"/>
              </w:rPr>
            </w:pPr>
          </w:p>
        </w:tc>
      </w:tr>
      <w:tr w14:paraId="2B454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38A64B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94D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FD8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F33D">
            <w:pPr>
              <w:rPr>
                <w:rFonts w:hint="eastAsia" w:ascii="宋体" w:hAnsi="宋体" w:eastAsia="宋体" w:cs="宋体"/>
                <w:i w:val="0"/>
                <w:iCs w:val="0"/>
                <w:color w:val="000000"/>
                <w:sz w:val="22"/>
                <w:szCs w:val="22"/>
                <w:u w:val="none"/>
              </w:rPr>
            </w:pPr>
          </w:p>
        </w:tc>
      </w:tr>
      <w:tr w14:paraId="2F0AA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0C8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评价结论</w:t>
            </w:r>
          </w:p>
        </w:tc>
        <w:tc>
          <w:tcPr>
            <w:tcW w:w="105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40C09F">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本年度顺利完成幼儿园改造及附属设施工程项目，资金到位，支付到位，该项目自评得分10分</w:t>
            </w:r>
          </w:p>
        </w:tc>
      </w:tr>
      <w:tr w14:paraId="1CB04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0A2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存在问题</w:t>
            </w:r>
          </w:p>
        </w:tc>
        <w:tc>
          <w:tcPr>
            <w:tcW w:w="105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FF1955">
            <w:pPr>
              <w:rPr>
                <w:rFonts w:hint="eastAsia" w:ascii="微软雅黑" w:hAnsi="微软雅黑" w:eastAsia="微软雅黑" w:cs="微软雅黑"/>
                <w:i/>
                <w:iCs/>
                <w:color w:val="000000"/>
                <w:sz w:val="22"/>
                <w:szCs w:val="22"/>
                <w:u w:val="none"/>
              </w:rPr>
            </w:pPr>
          </w:p>
        </w:tc>
      </w:tr>
      <w:tr w14:paraId="0E5FA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94C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改进措施</w:t>
            </w:r>
          </w:p>
        </w:tc>
        <w:tc>
          <w:tcPr>
            <w:tcW w:w="105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EFD932">
            <w:pPr>
              <w:rPr>
                <w:rFonts w:hint="eastAsia" w:ascii="微软雅黑" w:hAnsi="微软雅黑" w:eastAsia="微软雅黑" w:cs="微软雅黑"/>
                <w:i/>
                <w:iCs/>
                <w:color w:val="000000"/>
                <w:sz w:val="22"/>
                <w:szCs w:val="22"/>
                <w:u w:val="none"/>
              </w:rPr>
            </w:pPr>
          </w:p>
        </w:tc>
      </w:tr>
      <w:tr w14:paraId="75F0C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9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4720C8">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项目负责人：王兴川</w:t>
            </w:r>
          </w:p>
        </w:tc>
        <w:tc>
          <w:tcPr>
            <w:tcW w:w="73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519F0A">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财务负责人：王善芳</w:t>
            </w:r>
          </w:p>
        </w:tc>
      </w:tr>
      <w:tr w14:paraId="28958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tcBorders>
              <w:top w:val="nil"/>
              <w:left w:val="nil"/>
              <w:bottom w:val="nil"/>
              <w:right w:val="nil"/>
            </w:tcBorders>
            <w:shd w:val="clear" w:color="auto" w:fill="auto"/>
            <w:vAlign w:val="center"/>
          </w:tcPr>
          <w:p w14:paraId="7B06631C">
            <w:pPr>
              <w:rPr>
                <w:rFonts w:hint="eastAsia" w:ascii="宋体" w:hAnsi="宋体" w:eastAsia="宋体" w:cs="宋体"/>
                <w:i w:val="0"/>
                <w:iCs w:val="0"/>
                <w:color w:val="000000"/>
                <w:sz w:val="18"/>
                <w:szCs w:val="18"/>
                <w:u w:val="none"/>
              </w:rPr>
            </w:pPr>
          </w:p>
        </w:tc>
        <w:tc>
          <w:tcPr>
            <w:tcW w:w="789" w:type="dxa"/>
            <w:tcBorders>
              <w:top w:val="nil"/>
              <w:left w:val="nil"/>
              <w:bottom w:val="nil"/>
              <w:right w:val="nil"/>
            </w:tcBorders>
            <w:shd w:val="clear" w:color="auto" w:fill="auto"/>
            <w:vAlign w:val="center"/>
          </w:tcPr>
          <w:p w14:paraId="63052FC9">
            <w:pPr>
              <w:rPr>
                <w:rFonts w:hint="eastAsia" w:ascii="宋体" w:hAnsi="宋体" w:eastAsia="宋体" w:cs="宋体"/>
                <w:i w:val="0"/>
                <w:iCs w:val="0"/>
                <w:color w:val="000000"/>
                <w:sz w:val="18"/>
                <w:szCs w:val="18"/>
                <w:u w:val="none"/>
              </w:rPr>
            </w:pPr>
          </w:p>
        </w:tc>
        <w:tc>
          <w:tcPr>
            <w:tcW w:w="830" w:type="dxa"/>
            <w:tcBorders>
              <w:top w:val="nil"/>
              <w:left w:val="nil"/>
              <w:bottom w:val="nil"/>
              <w:right w:val="nil"/>
            </w:tcBorders>
            <w:shd w:val="clear" w:color="auto" w:fill="auto"/>
            <w:vAlign w:val="center"/>
          </w:tcPr>
          <w:p w14:paraId="22D154B8">
            <w:pPr>
              <w:rPr>
                <w:rFonts w:hint="eastAsia" w:ascii="宋体" w:hAnsi="宋体" w:eastAsia="宋体" w:cs="宋体"/>
                <w:i w:val="0"/>
                <w:iCs w:val="0"/>
                <w:color w:val="000000"/>
                <w:sz w:val="18"/>
                <w:szCs w:val="18"/>
                <w:u w:val="none"/>
              </w:rPr>
            </w:pPr>
          </w:p>
        </w:tc>
        <w:tc>
          <w:tcPr>
            <w:tcW w:w="835" w:type="dxa"/>
            <w:tcBorders>
              <w:top w:val="nil"/>
              <w:left w:val="nil"/>
              <w:bottom w:val="nil"/>
              <w:right w:val="nil"/>
            </w:tcBorders>
            <w:shd w:val="clear" w:color="auto" w:fill="auto"/>
            <w:vAlign w:val="center"/>
          </w:tcPr>
          <w:p w14:paraId="31081866">
            <w:pPr>
              <w:rPr>
                <w:rFonts w:hint="eastAsia" w:ascii="宋体" w:hAnsi="宋体" w:eastAsia="宋体" w:cs="宋体"/>
                <w:i w:val="0"/>
                <w:iCs w:val="0"/>
                <w:color w:val="000000"/>
                <w:sz w:val="18"/>
                <w:szCs w:val="18"/>
                <w:u w:val="none"/>
              </w:rPr>
            </w:pPr>
          </w:p>
        </w:tc>
        <w:tc>
          <w:tcPr>
            <w:tcW w:w="762" w:type="dxa"/>
            <w:tcBorders>
              <w:top w:val="nil"/>
              <w:left w:val="nil"/>
              <w:bottom w:val="nil"/>
              <w:right w:val="nil"/>
            </w:tcBorders>
            <w:shd w:val="clear" w:color="auto" w:fill="auto"/>
            <w:vAlign w:val="center"/>
          </w:tcPr>
          <w:p w14:paraId="490FAE5F">
            <w:pPr>
              <w:rPr>
                <w:rFonts w:hint="eastAsia" w:ascii="宋体" w:hAnsi="宋体" w:eastAsia="宋体" w:cs="宋体"/>
                <w:i w:val="0"/>
                <w:iCs w:val="0"/>
                <w:color w:val="000000"/>
                <w:sz w:val="18"/>
                <w:szCs w:val="18"/>
                <w:u w:val="none"/>
              </w:rPr>
            </w:pPr>
          </w:p>
        </w:tc>
        <w:tc>
          <w:tcPr>
            <w:tcW w:w="807" w:type="dxa"/>
            <w:tcBorders>
              <w:top w:val="nil"/>
              <w:left w:val="nil"/>
              <w:bottom w:val="nil"/>
              <w:right w:val="nil"/>
            </w:tcBorders>
            <w:shd w:val="clear" w:color="auto" w:fill="auto"/>
            <w:vAlign w:val="center"/>
          </w:tcPr>
          <w:p w14:paraId="473D0C25">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28E91BE7">
            <w:pPr>
              <w:rPr>
                <w:rFonts w:hint="eastAsia" w:ascii="宋体" w:hAnsi="宋体" w:eastAsia="宋体" w:cs="宋体"/>
                <w:i w:val="0"/>
                <w:iCs w:val="0"/>
                <w:color w:val="000000"/>
                <w:sz w:val="18"/>
                <w:szCs w:val="18"/>
                <w:u w:val="none"/>
              </w:rPr>
            </w:pPr>
          </w:p>
        </w:tc>
        <w:tc>
          <w:tcPr>
            <w:tcW w:w="1012" w:type="dxa"/>
            <w:tcBorders>
              <w:top w:val="nil"/>
              <w:left w:val="nil"/>
              <w:bottom w:val="nil"/>
              <w:right w:val="nil"/>
            </w:tcBorders>
            <w:shd w:val="clear" w:color="auto" w:fill="auto"/>
            <w:vAlign w:val="center"/>
          </w:tcPr>
          <w:p w14:paraId="72BE2219">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14:paraId="4EFFD45C">
            <w:pPr>
              <w:rPr>
                <w:rFonts w:hint="eastAsia" w:ascii="宋体" w:hAnsi="宋体" w:eastAsia="宋体" w:cs="宋体"/>
                <w:i w:val="0"/>
                <w:iCs w:val="0"/>
                <w:color w:val="000000"/>
                <w:sz w:val="18"/>
                <w:szCs w:val="18"/>
                <w:u w:val="none"/>
              </w:rPr>
            </w:pPr>
          </w:p>
        </w:tc>
        <w:tc>
          <w:tcPr>
            <w:tcW w:w="678" w:type="dxa"/>
            <w:tcBorders>
              <w:top w:val="nil"/>
              <w:left w:val="nil"/>
              <w:bottom w:val="nil"/>
              <w:right w:val="nil"/>
            </w:tcBorders>
            <w:shd w:val="clear" w:color="auto" w:fill="auto"/>
            <w:vAlign w:val="center"/>
          </w:tcPr>
          <w:p w14:paraId="7744BD1F">
            <w:pPr>
              <w:rPr>
                <w:rFonts w:hint="eastAsia" w:ascii="宋体" w:hAnsi="宋体" w:eastAsia="宋体" w:cs="宋体"/>
                <w:i w:val="0"/>
                <w:iCs w:val="0"/>
                <w:color w:val="000000"/>
                <w:sz w:val="18"/>
                <w:szCs w:val="18"/>
                <w:u w:val="none"/>
              </w:rPr>
            </w:pPr>
          </w:p>
        </w:tc>
        <w:tc>
          <w:tcPr>
            <w:tcW w:w="3712" w:type="dxa"/>
            <w:tcBorders>
              <w:top w:val="nil"/>
              <w:left w:val="nil"/>
              <w:bottom w:val="nil"/>
              <w:right w:val="nil"/>
            </w:tcBorders>
            <w:shd w:val="clear" w:color="auto" w:fill="auto"/>
            <w:vAlign w:val="center"/>
          </w:tcPr>
          <w:p w14:paraId="360EDE07">
            <w:pPr>
              <w:rPr>
                <w:rFonts w:hint="eastAsia" w:ascii="宋体" w:hAnsi="宋体" w:eastAsia="宋体" w:cs="宋体"/>
                <w:i w:val="0"/>
                <w:iCs w:val="0"/>
                <w:color w:val="000000"/>
                <w:sz w:val="18"/>
                <w:szCs w:val="18"/>
                <w:u w:val="none"/>
              </w:rPr>
            </w:pPr>
          </w:p>
        </w:tc>
      </w:tr>
      <w:tr w14:paraId="3C700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3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AD6A3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8255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EF8AE">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项目名称</w:t>
            </w:r>
          </w:p>
        </w:tc>
        <w:tc>
          <w:tcPr>
            <w:tcW w:w="98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C9AD55">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51172423T000007583707-项目建设支出</w:t>
            </w:r>
          </w:p>
        </w:tc>
      </w:tr>
      <w:tr w14:paraId="7FF30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9D341">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主管部门</w:t>
            </w:r>
          </w:p>
        </w:tc>
        <w:tc>
          <w:tcPr>
            <w:tcW w:w="3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A414C3">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大竹县中华乡中心小学部门</w:t>
            </w:r>
          </w:p>
        </w:tc>
        <w:tc>
          <w:tcPr>
            <w:tcW w:w="1012" w:type="dxa"/>
            <w:tcBorders>
              <w:top w:val="nil"/>
              <w:left w:val="nil"/>
              <w:bottom w:val="nil"/>
              <w:right w:val="nil"/>
            </w:tcBorders>
            <w:shd w:val="clear" w:color="auto" w:fill="auto"/>
            <w:vAlign w:val="center"/>
          </w:tcPr>
          <w:p w14:paraId="0CF56B74">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实施单位 （盖章）</w:t>
            </w:r>
          </w:p>
        </w:tc>
        <w:tc>
          <w:tcPr>
            <w:tcW w:w="5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0A590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大竹县中华乡中心小学</w:t>
            </w:r>
          </w:p>
        </w:tc>
      </w:tr>
      <w:tr w14:paraId="4B9A0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44F9E">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项目基本情况</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1C18F">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1.项目年度目标完成情况</w:t>
            </w:r>
          </w:p>
        </w:tc>
        <w:tc>
          <w:tcPr>
            <w:tcW w:w="3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6CB4F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项目年度目标</w:t>
            </w:r>
          </w:p>
        </w:tc>
        <w:tc>
          <w:tcPr>
            <w:tcW w:w="60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7E390E">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年度目标完成情况</w:t>
            </w:r>
          </w:p>
        </w:tc>
      </w:tr>
      <w:tr w14:paraId="39F3E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44BAE">
            <w:pPr>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DE048">
            <w:pPr>
              <w:rPr>
                <w:rFonts w:hint="eastAsia" w:ascii="宋体" w:hAnsi="宋体" w:eastAsia="宋体" w:cs="宋体"/>
                <w:i w:val="0"/>
                <w:iCs w:val="0"/>
                <w:color w:val="000000"/>
                <w:sz w:val="22"/>
                <w:szCs w:val="22"/>
                <w:u w:val="none"/>
              </w:rPr>
            </w:pPr>
          </w:p>
        </w:tc>
        <w:tc>
          <w:tcPr>
            <w:tcW w:w="3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707925">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严格执行相关政策，足额保障项目建设工程款资金。</w:t>
            </w:r>
          </w:p>
        </w:tc>
        <w:tc>
          <w:tcPr>
            <w:tcW w:w="60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166F7A">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本年度严格执行相关政策，足额保障项目建设工程款资金支付到位。</w:t>
            </w:r>
          </w:p>
        </w:tc>
      </w:tr>
      <w:tr w14:paraId="6FE89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D2925">
            <w:pP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74A5">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2.项目实施内容及过程概述</w:t>
            </w:r>
          </w:p>
        </w:tc>
        <w:tc>
          <w:tcPr>
            <w:tcW w:w="98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4BC274D">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本年度严格执行相关政策，严格项目建设工程项目款专款专用，按时按质保障项目经费。</w:t>
            </w:r>
          </w:p>
        </w:tc>
      </w:tr>
      <w:tr w14:paraId="4000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480E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预算执行情况（10分）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08B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年度预算数（万元）</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1FD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年初预算</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E63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调整后预算数</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705D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预算执行数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594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预算执行率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F20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权重</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F8A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得分</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BC9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原因</w:t>
            </w:r>
          </w:p>
        </w:tc>
      </w:tr>
      <w:tr w14:paraId="296F4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5B179">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745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总额</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0C4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884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15.00</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3E341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020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587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944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3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342C5">
            <w:pPr>
              <w:keepNext w:val="0"/>
              <w:keepLines w:val="0"/>
              <w:widowControl/>
              <w:suppressLineNumbers w:val="0"/>
              <w:jc w:val="left"/>
              <w:textAlignment w:val="center"/>
              <w:rPr>
                <w:rFonts w:hint="eastAsia" w:ascii="黑体" w:hAnsi="黑体" w:eastAsia="黑体" w:cs="黑体"/>
                <w:i/>
                <w:iCs/>
                <w:color w:val="000000"/>
                <w:sz w:val="22"/>
                <w:szCs w:val="22"/>
                <w:u w:val="none"/>
              </w:rPr>
            </w:pPr>
            <w:r>
              <w:rPr>
                <w:rFonts w:hint="eastAsia" w:ascii="黑体" w:hAnsi="黑体" w:eastAsia="黑体" w:cs="黑体"/>
                <w:i/>
                <w:iCs/>
                <w:color w:val="000000"/>
                <w:kern w:val="0"/>
                <w:sz w:val="22"/>
                <w:szCs w:val="22"/>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F656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E846E">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597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其中：财政资金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15A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EAE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15.00</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F290B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F15B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58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B88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F0A5D">
            <w:pPr>
              <w:rPr>
                <w:rFonts w:hint="eastAsia" w:ascii="黑体" w:hAnsi="黑体" w:eastAsia="黑体" w:cs="黑体"/>
                <w:i/>
                <w:iCs/>
                <w:color w:val="000000"/>
                <w:sz w:val="22"/>
                <w:szCs w:val="22"/>
                <w:u w:val="none"/>
              </w:rPr>
            </w:pPr>
          </w:p>
        </w:tc>
      </w:tr>
      <w:tr w14:paraId="57FD9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6E267">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2B2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财政专户管理资金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22E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09B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96BD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DAD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044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60E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C0598">
            <w:pPr>
              <w:rPr>
                <w:rFonts w:hint="eastAsia" w:ascii="黑体" w:hAnsi="黑体" w:eastAsia="黑体" w:cs="黑体"/>
                <w:i/>
                <w:iCs/>
                <w:color w:val="000000"/>
                <w:sz w:val="22"/>
                <w:szCs w:val="22"/>
                <w:u w:val="none"/>
              </w:rPr>
            </w:pPr>
          </w:p>
        </w:tc>
      </w:tr>
      <w:tr w14:paraId="60DED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36876">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634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3B3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6A7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8F80A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F82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A47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3FB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D5857">
            <w:pPr>
              <w:rPr>
                <w:rFonts w:hint="eastAsia" w:ascii="黑体" w:hAnsi="黑体" w:eastAsia="黑体" w:cs="黑体"/>
                <w:i/>
                <w:iCs/>
                <w:color w:val="000000"/>
                <w:sz w:val="22"/>
                <w:szCs w:val="22"/>
                <w:u w:val="none"/>
              </w:rPr>
            </w:pPr>
          </w:p>
        </w:tc>
      </w:tr>
      <w:tr w14:paraId="552BB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BEFD4">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BF4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其他资金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C31D">
            <w:pPr>
              <w:jc w:val="center"/>
              <w:rPr>
                <w:rFonts w:hint="eastAsia" w:ascii="微软雅黑" w:hAnsi="微软雅黑" w:eastAsia="微软雅黑" w:cs="微软雅黑"/>
                <w:i/>
                <w:iCs/>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BDF8">
            <w:pPr>
              <w:jc w:val="center"/>
              <w:rPr>
                <w:rFonts w:hint="eastAsia" w:ascii="微软雅黑" w:hAnsi="微软雅黑" w:eastAsia="微软雅黑" w:cs="微软雅黑"/>
                <w:i/>
                <w:iCs/>
                <w:color w:val="000000"/>
                <w:sz w:val="22"/>
                <w:szCs w:val="22"/>
                <w:u w:val="none"/>
              </w:rPr>
            </w:pP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647092">
            <w:pPr>
              <w:jc w:val="center"/>
              <w:rPr>
                <w:rFonts w:hint="eastAsia" w:ascii="微软雅黑" w:hAnsi="微软雅黑" w:eastAsia="微软雅黑" w:cs="微软雅黑"/>
                <w:i/>
                <w:iCs/>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10C6">
            <w:pPr>
              <w:jc w:val="center"/>
              <w:rPr>
                <w:rFonts w:hint="eastAsia" w:ascii="微软雅黑" w:hAnsi="微软雅黑" w:eastAsia="微软雅黑" w:cs="微软雅黑"/>
                <w:i/>
                <w:iCs/>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E88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433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5A71B">
            <w:pPr>
              <w:rPr>
                <w:rFonts w:hint="eastAsia" w:ascii="黑体" w:hAnsi="黑体" w:eastAsia="黑体" w:cs="黑体"/>
                <w:i/>
                <w:iCs/>
                <w:color w:val="000000"/>
                <w:sz w:val="22"/>
                <w:szCs w:val="22"/>
                <w:u w:val="none"/>
              </w:rPr>
            </w:pPr>
          </w:p>
        </w:tc>
      </w:tr>
      <w:tr w14:paraId="3180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8111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绩效指标（90分）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F6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一级指标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D2C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二级指标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B3C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8FB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586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指标值</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854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度量单位</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FE6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完成值</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60D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权重</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DD6B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得分</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0A3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未完成原因分析</w:t>
            </w:r>
          </w:p>
        </w:tc>
      </w:tr>
      <w:tr w14:paraId="0F84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D10CB">
            <w:pPr>
              <w:jc w:val="center"/>
              <w:rPr>
                <w:rFonts w:hint="eastAsia" w:ascii="宋体" w:hAnsi="宋体" w:eastAsia="宋体" w:cs="宋体"/>
                <w:i w:val="0"/>
                <w:iCs w:val="0"/>
                <w:color w:val="000000"/>
                <w:sz w:val="22"/>
                <w:szCs w:val="22"/>
                <w:u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1141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产出指标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263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数量指标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BCE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学生、教师覆盖人数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043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774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165</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CA9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B6B2">
            <w:pPr>
              <w:keepNext w:val="0"/>
              <w:keepLines w:val="0"/>
              <w:widowControl/>
              <w:suppressLineNumbers w:val="0"/>
              <w:jc w:val="center"/>
              <w:textAlignment w:val="center"/>
              <w:rPr>
                <w:rFonts w:hint="eastAsia" w:ascii="微软雅黑" w:hAnsi="微软雅黑" w:eastAsia="微软雅黑" w:cs="微软雅黑"/>
                <w:i/>
                <w:iCs/>
                <w:color w:val="000000"/>
                <w:sz w:val="22"/>
                <w:szCs w:val="22"/>
                <w:u w:val="none"/>
              </w:rPr>
            </w:pPr>
            <w:r>
              <w:rPr>
                <w:rFonts w:hint="eastAsia" w:ascii="微软雅黑" w:hAnsi="微软雅黑" w:eastAsia="微软雅黑" w:cs="微软雅黑"/>
                <w:i/>
                <w:iCs/>
                <w:color w:val="000000"/>
                <w:kern w:val="0"/>
                <w:sz w:val="22"/>
                <w:szCs w:val="2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BAD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7FC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E0F7">
            <w:pPr>
              <w:jc w:val="center"/>
              <w:rPr>
                <w:rFonts w:hint="eastAsia" w:ascii="微软雅黑" w:hAnsi="微软雅黑" w:eastAsia="微软雅黑" w:cs="微软雅黑"/>
                <w:i/>
                <w:iCs/>
                <w:color w:val="000000"/>
                <w:sz w:val="22"/>
                <w:szCs w:val="22"/>
                <w:u w:val="none"/>
              </w:rPr>
            </w:pPr>
          </w:p>
        </w:tc>
      </w:tr>
      <w:tr w14:paraId="39FD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D84BA">
            <w:pPr>
              <w:jc w:val="center"/>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F2A49">
            <w:pPr>
              <w:jc w:val="center"/>
              <w:rPr>
                <w:rFonts w:hint="eastAsia" w:ascii="宋体" w:hAnsi="宋体" w:eastAsia="宋体" w:cs="宋体"/>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DB3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时效指标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448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按时完成划拨</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DF5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A4D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925B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BD10">
            <w:pPr>
              <w:keepNext w:val="0"/>
              <w:keepLines w:val="0"/>
              <w:widowControl/>
              <w:suppressLineNumbers w:val="0"/>
              <w:jc w:val="center"/>
              <w:textAlignment w:val="center"/>
              <w:rPr>
                <w:rFonts w:hint="eastAsia" w:ascii="微软雅黑" w:hAnsi="微软雅黑" w:eastAsia="微软雅黑" w:cs="微软雅黑"/>
                <w:i/>
                <w:iCs/>
                <w:color w:val="000000"/>
                <w:sz w:val="22"/>
                <w:szCs w:val="22"/>
                <w:u w:val="none"/>
              </w:rPr>
            </w:pPr>
            <w:r>
              <w:rPr>
                <w:rFonts w:hint="eastAsia" w:ascii="微软雅黑" w:hAnsi="微软雅黑" w:eastAsia="微软雅黑" w:cs="微软雅黑"/>
                <w:i/>
                <w:iCs/>
                <w:color w:val="000000"/>
                <w:kern w:val="0"/>
                <w:sz w:val="22"/>
                <w:szCs w:val="2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04E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3F0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F9B8">
            <w:pPr>
              <w:jc w:val="center"/>
              <w:rPr>
                <w:rFonts w:hint="eastAsia" w:ascii="微软雅黑" w:hAnsi="微软雅黑" w:eastAsia="微软雅黑" w:cs="微软雅黑"/>
                <w:i/>
                <w:iCs/>
                <w:color w:val="000000"/>
                <w:sz w:val="22"/>
                <w:szCs w:val="22"/>
                <w:u w:val="none"/>
              </w:rPr>
            </w:pPr>
          </w:p>
        </w:tc>
      </w:tr>
      <w:tr w14:paraId="6DA4D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966B1">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342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效益指标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8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可持续发展指标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21DB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项目持续发挥作用期限</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E6B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B2E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0EF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980E">
            <w:pPr>
              <w:keepNext w:val="0"/>
              <w:keepLines w:val="0"/>
              <w:widowControl/>
              <w:suppressLineNumbers w:val="0"/>
              <w:jc w:val="center"/>
              <w:textAlignment w:val="center"/>
              <w:rPr>
                <w:rFonts w:hint="eastAsia" w:ascii="微软雅黑" w:hAnsi="微软雅黑" w:eastAsia="微软雅黑" w:cs="微软雅黑"/>
                <w:i/>
                <w:iCs/>
                <w:color w:val="000000"/>
                <w:sz w:val="22"/>
                <w:szCs w:val="22"/>
                <w:u w:val="none"/>
              </w:rPr>
            </w:pPr>
            <w:r>
              <w:rPr>
                <w:rFonts w:hint="eastAsia" w:ascii="微软雅黑" w:hAnsi="微软雅黑" w:eastAsia="微软雅黑" w:cs="微软雅黑"/>
                <w:i/>
                <w:iCs/>
                <w:color w:val="000000"/>
                <w:kern w:val="0"/>
                <w:sz w:val="22"/>
                <w:szCs w:val="2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BB8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BD1A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43A5">
            <w:pPr>
              <w:jc w:val="center"/>
              <w:rPr>
                <w:rFonts w:hint="eastAsia" w:ascii="微软雅黑" w:hAnsi="微软雅黑" w:eastAsia="微软雅黑" w:cs="微软雅黑"/>
                <w:i/>
                <w:iCs/>
                <w:color w:val="000000"/>
                <w:sz w:val="22"/>
                <w:szCs w:val="22"/>
                <w:u w:val="none"/>
              </w:rPr>
            </w:pPr>
          </w:p>
        </w:tc>
      </w:tr>
      <w:tr w14:paraId="694AC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4F764">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D24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满意度指标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92E5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服务对象满意度指标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AE7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师生满意度</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DEB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E31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95</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F26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F140">
            <w:pPr>
              <w:keepNext w:val="0"/>
              <w:keepLines w:val="0"/>
              <w:widowControl/>
              <w:suppressLineNumbers w:val="0"/>
              <w:jc w:val="center"/>
              <w:textAlignment w:val="center"/>
              <w:rPr>
                <w:rFonts w:hint="eastAsia" w:ascii="微软雅黑" w:hAnsi="微软雅黑" w:eastAsia="微软雅黑" w:cs="微软雅黑"/>
                <w:i/>
                <w:iCs/>
                <w:color w:val="000000"/>
                <w:sz w:val="22"/>
                <w:szCs w:val="22"/>
                <w:u w:val="none"/>
              </w:rPr>
            </w:pPr>
            <w:r>
              <w:rPr>
                <w:rFonts w:hint="eastAsia" w:ascii="微软雅黑" w:hAnsi="微软雅黑" w:eastAsia="微软雅黑" w:cs="微软雅黑"/>
                <w:i/>
                <w:iCs/>
                <w:color w:val="000000"/>
                <w:kern w:val="0"/>
                <w:sz w:val="22"/>
                <w:szCs w:val="2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A14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95F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6FC0">
            <w:pPr>
              <w:jc w:val="center"/>
              <w:rPr>
                <w:rFonts w:hint="eastAsia" w:ascii="微软雅黑" w:hAnsi="微软雅黑" w:eastAsia="微软雅黑" w:cs="微软雅黑"/>
                <w:i/>
                <w:iCs/>
                <w:color w:val="000000"/>
                <w:sz w:val="22"/>
                <w:szCs w:val="22"/>
                <w:u w:val="none"/>
              </w:rPr>
            </w:pPr>
          </w:p>
        </w:tc>
      </w:tr>
      <w:tr w14:paraId="5036D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B5D63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2C6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F9C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0A59">
            <w:pPr>
              <w:rPr>
                <w:rFonts w:hint="eastAsia" w:ascii="宋体" w:hAnsi="宋体" w:eastAsia="宋体" w:cs="宋体"/>
                <w:i w:val="0"/>
                <w:iCs w:val="0"/>
                <w:color w:val="000000"/>
                <w:sz w:val="22"/>
                <w:szCs w:val="22"/>
                <w:u w:val="none"/>
              </w:rPr>
            </w:pPr>
          </w:p>
        </w:tc>
      </w:tr>
      <w:tr w14:paraId="7D24F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CBB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评价结论</w:t>
            </w:r>
          </w:p>
        </w:tc>
        <w:tc>
          <w:tcPr>
            <w:tcW w:w="105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9D4E8F">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本年度顺利完成项目建设工程项目，资金到位，支付到位，该项目自评得分10分</w:t>
            </w:r>
          </w:p>
        </w:tc>
      </w:tr>
      <w:tr w14:paraId="5268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7D2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存在问题</w:t>
            </w:r>
          </w:p>
        </w:tc>
        <w:tc>
          <w:tcPr>
            <w:tcW w:w="105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F33162">
            <w:pPr>
              <w:rPr>
                <w:rFonts w:hint="eastAsia" w:ascii="微软雅黑" w:hAnsi="微软雅黑" w:eastAsia="微软雅黑" w:cs="微软雅黑"/>
                <w:i/>
                <w:iCs/>
                <w:color w:val="000000"/>
                <w:sz w:val="22"/>
                <w:szCs w:val="22"/>
                <w:u w:val="none"/>
              </w:rPr>
            </w:pPr>
          </w:p>
        </w:tc>
      </w:tr>
      <w:tr w14:paraId="2AFC9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8BA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改进措施</w:t>
            </w:r>
          </w:p>
        </w:tc>
        <w:tc>
          <w:tcPr>
            <w:tcW w:w="105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BEF68F">
            <w:pPr>
              <w:rPr>
                <w:rFonts w:hint="eastAsia" w:ascii="微软雅黑" w:hAnsi="微软雅黑" w:eastAsia="微软雅黑" w:cs="微软雅黑"/>
                <w:i/>
                <w:iCs/>
                <w:color w:val="000000"/>
                <w:sz w:val="22"/>
                <w:szCs w:val="22"/>
                <w:u w:val="none"/>
              </w:rPr>
            </w:pPr>
          </w:p>
        </w:tc>
      </w:tr>
      <w:tr w14:paraId="7A5F2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9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EE7ED7">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项目负责人：王兴川</w:t>
            </w:r>
          </w:p>
        </w:tc>
        <w:tc>
          <w:tcPr>
            <w:tcW w:w="73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122D76">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财务负责人：王善芳</w:t>
            </w:r>
          </w:p>
        </w:tc>
      </w:tr>
      <w:tr w14:paraId="48CA5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tcBorders>
              <w:top w:val="nil"/>
              <w:left w:val="nil"/>
              <w:bottom w:val="nil"/>
              <w:right w:val="nil"/>
            </w:tcBorders>
            <w:shd w:val="clear" w:color="auto" w:fill="auto"/>
            <w:vAlign w:val="center"/>
          </w:tcPr>
          <w:p w14:paraId="2BF64FF3">
            <w:pPr>
              <w:rPr>
                <w:rFonts w:hint="eastAsia" w:ascii="宋体" w:hAnsi="宋体" w:eastAsia="宋体" w:cs="宋体"/>
                <w:i w:val="0"/>
                <w:iCs w:val="0"/>
                <w:color w:val="000000"/>
                <w:sz w:val="18"/>
                <w:szCs w:val="18"/>
                <w:u w:val="none"/>
              </w:rPr>
            </w:pPr>
          </w:p>
        </w:tc>
        <w:tc>
          <w:tcPr>
            <w:tcW w:w="789" w:type="dxa"/>
            <w:tcBorders>
              <w:top w:val="nil"/>
              <w:left w:val="nil"/>
              <w:bottom w:val="nil"/>
              <w:right w:val="nil"/>
            </w:tcBorders>
            <w:shd w:val="clear" w:color="auto" w:fill="auto"/>
            <w:vAlign w:val="center"/>
          </w:tcPr>
          <w:p w14:paraId="28A195B6">
            <w:pPr>
              <w:rPr>
                <w:rFonts w:hint="eastAsia" w:ascii="宋体" w:hAnsi="宋体" w:eastAsia="宋体" w:cs="宋体"/>
                <w:i w:val="0"/>
                <w:iCs w:val="0"/>
                <w:color w:val="000000"/>
                <w:sz w:val="18"/>
                <w:szCs w:val="18"/>
                <w:u w:val="none"/>
              </w:rPr>
            </w:pPr>
          </w:p>
        </w:tc>
        <w:tc>
          <w:tcPr>
            <w:tcW w:w="830" w:type="dxa"/>
            <w:tcBorders>
              <w:top w:val="nil"/>
              <w:left w:val="nil"/>
              <w:bottom w:val="nil"/>
              <w:right w:val="nil"/>
            </w:tcBorders>
            <w:shd w:val="clear" w:color="auto" w:fill="auto"/>
            <w:vAlign w:val="center"/>
          </w:tcPr>
          <w:p w14:paraId="541DC473">
            <w:pPr>
              <w:rPr>
                <w:rFonts w:hint="eastAsia" w:ascii="宋体" w:hAnsi="宋体" w:eastAsia="宋体" w:cs="宋体"/>
                <w:i w:val="0"/>
                <w:iCs w:val="0"/>
                <w:color w:val="000000"/>
                <w:sz w:val="18"/>
                <w:szCs w:val="18"/>
                <w:u w:val="none"/>
              </w:rPr>
            </w:pPr>
          </w:p>
        </w:tc>
        <w:tc>
          <w:tcPr>
            <w:tcW w:w="835" w:type="dxa"/>
            <w:tcBorders>
              <w:top w:val="nil"/>
              <w:left w:val="nil"/>
              <w:bottom w:val="nil"/>
              <w:right w:val="nil"/>
            </w:tcBorders>
            <w:shd w:val="clear" w:color="auto" w:fill="auto"/>
            <w:vAlign w:val="center"/>
          </w:tcPr>
          <w:p w14:paraId="4961FD97">
            <w:pPr>
              <w:rPr>
                <w:rFonts w:hint="eastAsia" w:ascii="宋体" w:hAnsi="宋体" w:eastAsia="宋体" w:cs="宋体"/>
                <w:i w:val="0"/>
                <w:iCs w:val="0"/>
                <w:color w:val="000000"/>
                <w:sz w:val="18"/>
                <w:szCs w:val="18"/>
                <w:u w:val="none"/>
              </w:rPr>
            </w:pPr>
          </w:p>
        </w:tc>
        <w:tc>
          <w:tcPr>
            <w:tcW w:w="762" w:type="dxa"/>
            <w:tcBorders>
              <w:top w:val="nil"/>
              <w:left w:val="nil"/>
              <w:bottom w:val="nil"/>
              <w:right w:val="nil"/>
            </w:tcBorders>
            <w:shd w:val="clear" w:color="auto" w:fill="auto"/>
            <w:vAlign w:val="center"/>
          </w:tcPr>
          <w:p w14:paraId="273D24B4">
            <w:pPr>
              <w:rPr>
                <w:rFonts w:hint="eastAsia" w:ascii="宋体" w:hAnsi="宋体" w:eastAsia="宋体" w:cs="宋体"/>
                <w:i w:val="0"/>
                <w:iCs w:val="0"/>
                <w:color w:val="000000"/>
                <w:sz w:val="18"/>
                <w:szCs w:val="18"/>
                <w:u w:val="none"/>
              </w:rPr>
            </w:pPr>
          </w:p>
        </w:tc>
        <w:tc>
          <w:tcPr>
            <w:tcW w:w="807" w:type="dxa"/>
            <w:tcBorders>
              <w:top w:val="nil"/>
              <w:left w:val="nil"/>
              <w:bottom w:val="nil"/>
              <w:right w:val="nil"/>
            </w:tcBorders>
            <w:shd w:val="clear" w:color="auto" w:fill="auto"/>
            <w:vAlign w:val="center"/>
          </w:tcPr>
          <w:p w14:paraId="7BBC8FB8">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02B51B33">
            <w:pPr>
              <w:rPr>
                <w:rFonts w:hint="eastAsia" w:ascii="宋体" w:hAnsi="宋体" w:eastAsia="宋体" w:cs="宋体"/>
                <w:i w:val="0"/>
                <w:iCs w:val="0"/>
                <w:color w:val="000000"/>
                <w:sz w:val="18"/>
                <w:szCs w:val="18"/>
                <w:u w:val="none"/>
              </w:rPr>
            </w:pPr>
          </w:p>
        </w:tc>
        <w:tc>
          <w:tcPr>
            <w:tcW w:w="1012" w:type="dxa"/>
            <w:tcBorders>
              <w:top w:val="nil"/>
              <w:left w:val="nil"/>
              <w:bottom w:val="nil"/>
              <w:right w:val="nil"/>
            </w:tcBorders>
            <w:shd w:val="clear" w:color="auto" w:fill="auto"/>
            <w:vAlign w:val="center"/>
          </w:tcPr>
          <w:p w14:paraId="12B11FE6">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14:paraId="33146CFC">
            <w:pPr>
              <w:rPr>
                <w:rFonts w:hint="eastAsia" w:ascii="宋体" w:hAnsi="宋体" w:eastAsia="宋体" w:cs="宋体"/>
                <w:i w:val="0"/>
                <w:iCs w:val="0"/>
                <w:color w:val="000000"/>
                <w:sz w:val="18"/>
                <w:szCs w:val="18"/>
                <w:u w:val="none"/>
              </w:rPr>
            </w:pPr>
          </w:p>
        </w:tc>
        <w:tc>
          <w:tcPr>
            <w:tcW w:w="678" w:type="dxa"/>
            <w:tcBorders>
              <w:top w:val="nil"/>
              <w:left w:val="nil"/>
              <w:bottom w:val="nil"/>
              <w:right w:val="nil"/>
            </w:tcBorders>
            <w:shd w:val="clear" w:color="auto" w:fill="auto"/>
            <w:vAlign w:val="center"/>
          </w:tcPr>
          <w:p w14:paraId="354B9EC5">
            <w:pPr>
              <w:rPr>
                <w:rFonts w:hint="eastAsia" w:ascii="宋体" w:hAnsi="宋体" w:eastAsia="宋体" w:cs="宋体"/>
                <w:i w:val="0"/>
                <w:iCs w:val="0"/>
                <w:color w:val="000000"/>
                <w:sz w:val="18"/>
                <w:szCs w:val="18"/>
                <w:u w:val="none"/>
              </w:rPr>
            </w:pPr>
          </w:p>
        </w:tc>
        <w:tc>
          <w:tcPr>
            <w:tcW w:w="3712" w:type="dxa"/>
            <w:tcBorders>
              <w:top w:val="nil"/>
              <w:left w:val="nil"/>
              <w:bottom w:val="nil"/>
              <w:right w:val="nil"/>
            </w:tcBorders>
            <w:shd w:val="clear" w:color="auto" w:fill="auto"/>
            <w:vAlign w:val="center"/>
          </w:tcPr>
          <w:p w14:paraId="073D75FB">
            <w:pPr>
              <w:rPr>
                <w:rFonts w:hint="eastAsia" w:ascii="宋体" w:hAnsi="宋体" w:eastAsia="宋体" w:cs="宋体"/>
                <w:i w:val="0"/>
                <w:iCs w:val="0"/>
                <w:color w:val="000000"/>
                <w:sz w:val="18"/>
                <w:szCs w:val="18"/>
                <w:u w:val="none"/>
              </w:rPr>
            </w:pPr>
          </w:p>
        </w:tc>
      </w:tr>
      <w:tr w14:paraId="6CA87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3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A1DF1D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A8BF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6610B">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项目名称</w:t>
            </w:r>
          </w:p>
        </w:tc>
        <w:tc>
          <w:tcPr>
            <w:tcW w:w="98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F13E64">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51172423T000007785031-乡村学校少年宫补助</w:t>
            </w:r>
          </w:p>
        </w:tc>
      </w:tr>
      <w:tr w14:paraId="17075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956C9">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主管部门</w:t>
            </w:r>
          </w:p>
        </w:tc>
        <w:tc>
          <w:tcPr>
            <w:tcW w:w="3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C84E2A">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大竹县中华乡中心小学部门</w:t>
            </w:r>
          </w:p>
        </w:tc>
        <w:tc>
          <w:tcPr>
            <w:tcW w:w="1012" w:type="dxa"/>
            <w:tcBorders>
              <w:top w:val="nil"/>
              <w:left w:val="nil"/>
              <w:bottom w:val="nil"/>
              <w:right w:val="nil"/>
            </w:tcBorders>
            <w:shd w:val="clear" w:color="auto" w:fill="auto"/>
            <w:vAlign w:val="center"/>
          </w:tcPr>
          <w:p w14:paraId="67EA82E9">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实施单位 （盖章）</w:t>
            </w:r>
          </w:p>
        </w:tc>
        <w:tc>
          <w:tcPr>
            <w:tcW w:w="5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46FD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大竹县中华乡中心小学</w:t>
            </w:r>
          </w:p>
        </w:tc>
      </w:tr>
      <w:tr w14:paraId="0EF5B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A97C3">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项目基本情况</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3300E">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1.项目年度目标完成情况</w:t>
            </w:r>
          </w:p>
        </w:tc>
        <w:tc>
          <w:tcPr>
            <w:tcW w:w="3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3B3CD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项目年度目标</w:t>
            </w:r>
          </w:p>
        </w:tc>
        <w:tc>
          <w:tcPr>
            <w:tcW w:w="60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BC035E">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年度目标完成情况</w:t>
            </w:r>
          </w:p>
        </w:tc>
      </w:tr>
      <w:tr w14:paraId="30635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FBEC2">
            <w:pPr>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EA008">
            <w:pPr>
              <w:rPr>
                <w:rFonts w:hint="eastAsia" w:ascii="宋体" w:hAnsi="宋体" w:eastAsia="宋体" w:cs="宋体"/>
                <w:i w:val="0"/>
                <w:iCs w:val="0"/>
                <w:color w:val="000000"/>
                <w:sz w:val="22"/>
                <w:szCs w:val="22"/>
                <w:u w:val="none"/>
              </w:rPr>
            </w:pPr>
          </w:p>
        </w:tc>
        <w:tc>
          <w:tcPr>
            <w:tcW w:w="3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DB3A96">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严格执行相关政策，足额保障乡村学校少年宫补助资金。</w:t>
            </w:r>
          </w:p>
        </w:tc>
        <w:tc>
          <w:tcPr>
            <w:tcW w:w="60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3E9C79">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本年度严格执行相关政策，足额保障乡村学校少年宫补助资金支付到位。</w:t>
            </w:r>
          </w:p>
        </w:tc>
      </w:tr>
      <w:tr w14:paraId="30393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70FEB">
            <w:pP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667A">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2.项目实施内容及过程概述</w:t>
            </w:r>
          </w:p>
        </w:tc>
        <w:tc>
          <w:tcPr>
            <w:tcW w:w="98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146EC2F">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本年度严格执行相关政策，严格乡村学校少年宫补助专款专用，按时按质保障项目经费。</w:t>
            </w:r>
          </w:p>
        </w:tc>
      </w:tr>
      <w:tr w14:paraId="34632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DAD0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预算执行情况（10分）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F15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年度预算数（万元）</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850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年初预算</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254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调整后预算数</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AFABF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预算执行数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8E5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预算执行率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D5D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权重</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A37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得分</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AD0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原因</w:t>
            </w:r>
          </w:p>
        </w:tc>
      </w:tr>
      <w:tr w14:paraId="41E27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8EF8A">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19B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总额</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2F3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D84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2.50</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6006F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40B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5C9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725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3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63F48">
            <w:pPr>
              <w:keepNext w:val="0"/>
              <w:keepLines w:val="0"/>
              <w:widowControl/>
              <w:suppressLineNumbers w:val="0"/>
              <w:jc w:val="left"/>
              <w:textAlignment w:val="center"/>
              <w:rPr>
                <w:rFonts w:hint="eastAsia" w:ascii="黑体" w:hAnsi="黑体" w:eastAsia="黑体" w:cs="黑体"/>
                <w:i/>
                <w:iCs/>
                <w:color w:val="000000"/>
                <w:sz w:val="22"/>
                <w:szCs w:val="22"/>
                <w:u w:val="none"/>
              </w:rPr>
            </w:pPr>
            <w:r>
              <w:rPr>
                <w:rFonts w:hint="eastAsia" w:ascii="黑体" w:hAnsi="黑体" w:eastAsia="黑体" w:cs="黑体"/>
                <w:i/>
                <w:iCs/>
                <w:color w:val="000000"/>
                <w:kern w:val="0"/>
                <w:sz w:val="22"/>
                <w:szCs w:val="22"/>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F2AC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5CA61">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B3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其中：财政资金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F16F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757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2.50</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4016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D4D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F68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E19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6AB49">
            <w:pPr>
              <w:rPr>
                <w:rFonts w:hint="eastAsia" w:ascii="黑体" w:hAnsi="黑体" w:eastAsia="黑体" w:cs="黑体"/>
                <w:i/>
                <w:iCs/>
                <w:color w:val="000000"/>
                <w:sz w:val="22"/>
                <w:szCs w:val="22"/>
                <w:u w:val="none"/>
              </w:rPr>
            </w:pPr>
          </w:p>
        </w:tc>
      </w:tr>
      <w:tr w14:paraId="2FE1D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C4239">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EFE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财政专户管理资金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BE6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E0E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E5A47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61F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085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AFB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3A1C4">
            <w:pPr>
              <w:rPr>
                <w:rFonts w:hint="eastAsia" w:ascii="黑体" w:hAnsi="黑体" w:eastAsia="黑体" w:cs="黑体"/>
                <w:i/>
                <w:iCs/>
                <w:color w:val="000000"/>
                <w:sz w:val="22"/>
                <w:szCs w:val="22"/>
                <w:u w:val="none"/>
              </w:rPr>
            </w:pPr>
          </w:p>
        </w:tc>
      </w:tr>
      <w:tr w14:paraId="75FB3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0E2EC">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90A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754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195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B5771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625D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2F7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145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E401A">
            <w:pPr>
              <w:rPr>
                <w:rFonts w:hint="eastAsia" w:ascii="黑体" w:hAnsi="黑体" w:eastAsia="黑体" w:cs="黑体"/>
                <w:i/>
                <w:iCs/>
                <w:color w:val="000000"/>
                <w:sz w:val="22"/>
                <w:szCs w:val="22"/>
                <w:u w:val="none"/>
              </w:rPr>
            </w:pPr>
          </w:p>
        </w:tc>
      </w:tr>
      <w:tr w14:paraId="44892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4A572">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E8E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其他资金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001E">
            <w:pPr>
              <w:jc w:val="center"/>
              <w:rPr>
                <w:rFonts w:hint="eastAsia" w:ascii="微软雅黑" w:hAnsi="微软雅黑" w:eastAsia="微软雅黑" w:cs="微软雅黑"/>
                <w:i/>
                <w:iCs/>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1ABB">
            <w:pPr>
              <w:jc w:val="center"/>
              <w:rPr>
                <w:rFonts w:hint="eastAsia" w:ascii="微软雅黑" w:hAnsi="微软雅黑" w:eastAsia="微软雅黑" w:cs="微软雅黑"/>
                <w:i/>
                <w:iCs/>
                <w:color w:val="000000"/>
                <w:sz w:val="22"/>
                <w:szCs w:val="22"/>
                <w:u w:val="none"/>
              </w:rPr>
            </w:pP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DBEF67">
            <w:pPr>
              <w:jc w:val="center"/>
              <w:rPr>
                <w:rFonts w:hint="eastAsia" w:ascii="微软雅黑" w:hAnsi="微软雅黑" w:eastAsia="微软雅黑" w:cs="微软雅黑"/>
                <w:i/>
                <w:iCs/>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1962">
            <w:pPr>
              <w:jc w:val="center"/>
              <w:rPr>
                <w:rFonts w:hint="eastAsia" w:ascii="微软雅黑" w:hAnsi="微软雅黑" w:eastAsia="微软雅黑" w:cs="微软雅黑"/>
                <w:i/>
                <w:iCs/>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FB1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573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D9081">
            <w:pPr>
              <w:rPr>
                <w:rFonts w:hint="eastAsia" w:ascii="黑体" w:hAnsi="黑体" w:eastAsia="黑体" w:cs="黑体"/>
                <w:i/>
                <w:iCs/>
                <w:color w:val="000000"/>
                <w:sz w:val="22"/>
                <w:szCs w:val="22"/>
                <w:u w:val="none"/>
              </w:rPr>
            </w:pPr>
          </w:p>
        </w:tc>
      </w:tr>
      <w:tr w14:paraId="538BA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44F1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绩效指标（90分）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886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一级指标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E69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二级指标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EE3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5FF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2009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指标值</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E16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度量单位</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0AC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完成值</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97A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权重</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C12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得分</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4C3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未完成原因分析</w:t>
            </w:r>
          </w:p>
        </w:tc>
      </w:tr>
      <w:tr w14:paraId="49A2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47169">
            <w:pPr>
              <w:jc w:val="center"/>
              <w:rPr>
                <w:rFonts w:hint="eastAsia" w:ascii="宋体" w:hAnsi="宋体" w:eastAsia="宋体" w:cs="宋体"/>
                <w:i w:val="0"/>
                <w:iCs w:val="0"/>
                <w:color w:val="000000"/>
                <w:sz w:val="22"/>
                <w:szCs w:val="22"/>
                <w:u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DA16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产出指标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48C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数量指标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588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设备购置</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AB6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16E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15000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206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元</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8C7A">
            <w:pPr>
              <w:keepNext w:val="0"/>
              <w:keepLines w:val="0"/>
              <w:widowControl/>
              <w:suppressLineNumbers w:val="0"/>
              <w:jc w:val="center"/>
              <w:textAlignment w:val="center"/>
              <w:rPr>
                <w:rFonts w:hint="eastAsia" w:ascii="微软雅黑" w:hAnsi="微软雅黑" w:eastAsia="微软雅黑" w:cs="微软雅黑"/>
                <w:i/>
                <w:iCs/>
                <w:color w:val="000000"/>
                <w:sz w:val="22"/>
                <w:szCs w:val="22"/>
                <w:u w:val="none"/>
              </w:rPr>
            </w:pPr>
            <w:r>
              <w:rPr>
                <w:rFonts w:hint="eastAsia" w:ascii="微软雅黑" w:hAnsi="微软雅黑" w:eastAsia="微软雅黑" w:cs="微软雅黑"/>
                <w:i/>
                <w:iCs/>
                <w:color w:val="000000"/>
                <w:kern w:val="0"/>
                <w:sz w:val="22"/>
                <w:szCs w:val="2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8CF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27B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D262">
            <w:pPr>
              <w:jc w:val="center"/>
              <w:rPr>
                <w:rFonts w:hint="eastAsia" w:ascii="微软雅黑" w:hAnsi="微软雅黑" w:eastAsia="微软雅黑" w:cs="微软雅黑"/>
                <w:i/>
                <w:iCs/>
                <w:color w:val="000000"/>
                <w:sz w:val="22"/>
                <w:szCs w:val="22"/>
                <w:u w:val="none"/>
              </w:rPr>
            </w:pPr>
          </w:p>
        </w:tc>
      </w:tr>
      <w:tr w14:paraId="4D820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EC9C2">
            <w:pPr>
              <w:jc w:val="center"/>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ACF79">
            <w:pPr>
              <w:jc w:val="center"/>
              <w:rPr>
                <w:rFonts w:hint="eastAsia" w:ascii="宋体" w:hAnsi="宋体" w:eastAsia="宋体" w:cs="宋体"/>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AD6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时效指标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A68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购置完成及时</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58E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FC1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9EE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C05B">
            <w:pPr>
              <w:keepNext w:val="0"/>
              <w:keepLines w:val="0"/>
              <w:widowControl/>
              <w:suppressLineNumbers w:val="0"/>
              <w:jc w:val="center"/>
              <w:textAlignment w:val="center"/>
              <w:rPr>
                <w:rFonts w:hint="eastAsia" w:ascii="微软雅黑" w:hAnsi="微软雅黑" w:eastAsia="微软雅黑" w:cs="微软雅黑"/>
                <w:i/>
                <w:iCs/>
                <w:color w:val="000000"/>
                <w:sz w:val="22"/>
                <w:szCs w:val="22"/>
                <w:u w:val="none"/>
              </w:rPr>
            </w:pPr>
            <w:r>
              <w:rPr>
                <w:rFonts w:hint="eastAsia" w:ascii="微软雅黑" w:hAnsi="微软雅黑" w:eastAsia="微软雅黑" w:cs="微软雅黑"/>
                <w:i/>
                <w:iCs/>
                <w:color w:val="000000"/>
                <w:kern w:val="0"/>
                <w:sz w:val="22"/>
                <w:szCs w:val="2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1C3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EFC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EF71">
            <w:pPr>
              <w:jc w:val="center"/>
              <w:rPr>
                <w:rFonts w:hint="eastAsia" w:ascii="微软雅黑" w:hAnsi="微软雅黑" w:eastAsia="微软雅黑" w:cs="微软雅黑"/>
                <w:i/>
                <w:iCs/>
                <w:color w:val="000000"/>
                <w:sz w:val="22"/>
                <w:szCs w:val="22"/>
                <w:u w:val="none"/>
              </w:rPr>
            </w:pPr>
          </w:p>
        </w:tc>
      </w:tr>
      <w:tr w14:paraId="422A7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73D83">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041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效益指标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C07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可持续发展指标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311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持续发挥作用期限</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EE9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759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66F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4D55">
            <w:pPr>
              <w:keepNext w:val="0"/>
              <w:keepLines w:val="0"/>
              <w:widowControl/>
              <w:suppressLineNumbers w:val="0"/>
              <w:jc w:val="center"/>
              <w:textAlignment w:val="center"/>
              <w:rPr>
                <w:rFonts w:hint="eastAsia" w:ascii="微软雅黑" w:hAnsi="微软雅黑" w:eastAsia="微软雅黑" w:cs="微软雅黑"/>
                <w:i/>
                <w:iCs/>
                <w:color w:val="000000"/>
                <w:sz w:val="22"/>
                <w:szCs w:val="22"/>
                <w:u w:val="none"/>
              </w:rPr>
            </w:pPr>
            <w:r>
              <w:rPr>
                <w:rFonts w:hint="eastAsia" w:ascii="微软雅黑" w:hAnsi="微软雅黑" w:eastAsia="微软雅黑" w:cs="微软雅黑"/>
                <w:i/>
                <w:iCs/>
                <w:color w:val="000000"/>
                <w:kern w:val="0"/>
                <w:sz w:val="22"/>
                <w:szCs w:val="2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776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576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0D6B">
            <w:pPr>
              <w:jc w:val="center"/>
              <w:rPr>
                <w:rFonts w:hint="eastAsia" w:ascii="微软雅黑" w:hAnsi="微软雅黑" w:eastAsia="微软雅黑" w:cs="微软雅黑"/>
                <w:i/>
                <w:iCs/>
                <w:color w:val="000000"/>
                <w:sz w:val="22"/>
                <w:szCs w:val="22"/>
                <w:u w:val="none"/>
              </w:rPr>
            </w:pPr>
          </w:p>
        </w:tc>
      </w:tr>
      <w:tr w14:paraId="748F6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A4C94">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C82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满意度指标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5CB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服务对象满意度指标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D84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师生满意度</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3DE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A7B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98</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E39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7CDE">
            <w:pPr>
              <w:keepNext w:val="0"/>
              <w:keepLines w:val="0"/>
              <w:widowControl/>
              <w:suppressLineNumbers w:val="0"/>
              <w:jc w:val="center"/>
              <w:textAlignment w:val="center"/>
              <w:rPr>
                <w:rFonts w:hint="eastAsia" w:ascii="微软雅黑" w:hAnsi="微软雅黑" w:eastAsia="微软雅黑" w:cs="微软雅黑"/>
                <w:i/>
                <w:iCs/>
                <w:color w:val="000000"/>
                <w:sz w:val="22"/>
                <w:szCs w:val="22"/>
                <w:u w:val="none"/>
              </w:rPr>
            </w:pPr>
            <w:r>
              <w:rPr>
                <w:rFonts w:hint="eastAsia" w:ascii="微软雅黑" w:hAnsi="微软雅黑" w:eastAsia="微软雅黑" w:cs="微软雅黑"/>
                <w:i/>
                <w:iCs/>
                <w:color w:val="000000"/>
                <w:kern w:val="0"/>
                <w:sz w:val="22"/>
                <w:szCs w:val="2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409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8FE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C73A">
            <w:pPr>
              <w:jc w:val="center"/>
              <w:rPr>
                <w:rFonts w:hint="eastAsia" w:ascii="微软雅黑" w:hAnsi="微软雅黑" w:eastAsia="微软雅黑" w:cs="微软雅黑"/>
                <w:i/>
                <w:iCs/>
                <w:color w:val="000000"/>
                <w:sz w:val="22"/>
                <w:szCs w:val="22"/>
                <w:u w:val="none"/>
              </w:rPr>
            </w:pPr>
          </w:p>
        </w:tc>
      </w:tr>
      <w:tr w14:paraId="53A12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48D5B1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8AE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9A7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B76E6">
            <w:pPr>
              <w:rPr>
                <w:rFonts w:hint="eastAsia" w:ascii="宋体" w:hAnsi="宋体" w:eastAsia="宋体" w:cs="宋体"/>
                <w:i w:val="0"/>
                <w:iCs w:val="0"/>
                <w:color w:val="000000"/>
                <w:sz w:val="22"/>
                <w:szCs w:val="22"/>
                <w:u w:val="none"/>
              </w:rPr>
            </w:pPr>
          </w:p>
        </w:tc>
      </w:tr>
      <w:tr w14:paraId="65F12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DB28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评价结论</w:t>
            </w:r>
          </w:p>
        </w:tc>
        <w:tc>
          <w:tcPr>
            <w:tcW w:w="105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E27A4C">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本年度顺利完成-乡村学校少年宫补助项目，资金到位，支付到位，该项目自评得分10分</w:t>
            </w:r>
          </w:p>
        </w:tc>
      </w:tr>
      <w:tr w14:paraId="19984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2F21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存在问题</w:t>
            </w:r>
          </w:p>
        </w:tc>
        <w:tc>
          <w:tcPr>
            <w:tcW w:w="105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A7751B">
            <w:pPr>
              <w:rPr>
                <w:rFonts w:hint="eastAsia" w:ascii="微软雅黑" w:hAnsi="微软雅黑" w:eastAsia="微软雅黑" w:cs="微软雅黑"/>
                <w:i/>
                <w:iCs/>
                <w:color w:val="000000"/>
                <w:sz w:val="22"/>
                <w:szCs w:val="22"/>
                <w:u w:val="none"/>
              </w:rPr>
            </w:pPr>
          </w:p>
        </w:tc>
      </w:tr>
      <w:tr w14:paraId="1482F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477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改进措施</w:t>
            </w:r>
          </w:p>
        </w:tc>
        <w:tc>
          <w:tcPr>
            <w:tcW w:w="105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A78C14">
            <w:pPr>
              <w:rPr>
                <w:rFonts w:hint="eastAsia" w:ascii="微软雅黑" w:hAnsi="微软雅黑" w:eastAsia="微软雅黑" w:cs="微软雅黑"/>
                <w:i/>
                <w:iCs/>
                <w:color w:val="000000"/>
                <w:sz w:val="22"/>
                <w:szCs w:val="22"/>
                <w:u w:val="none"/>
              </w:rPr>
            </w:pPr>
          </w:p>
        </w:tc>
      </w:tr>
      <w:tr w14:paraId="1069B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9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74F83B">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项目负责人：王兴川</w:t>
            </w:r>
          </w:p>
        </w:tc>
        <w:tc>
          <w:tcPr>
            <w:tcW w:w="73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B78114">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财务负责人：王善芳</w:t>
            </w:r>
          </w:p>
        </w:tc>
      </w:tr>
      <w:tr w14:paraId="6CD5C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tcBorders>
              <w:top w:val="nil"/>
              <w:left w:val="nil"/>
              <w:bottom w:val="nil"/>
              <w:right w:val="nil"/>
            </w:tcBorders>
            <w:shd w:val="clear" w:color="auto" w:fill="auto"/>
            <w:vAlign w:val="center"/>
          </w:tcPr>
          <w:p w14:paraId="57EE4411">
            <w:pPr>
              <w:rPr>
                <w:rFonts w:hint="eastAsia" w:ascii="宋体" w:hAnsi="宋体" w:eastAsia="宋体" w:cs="宋体"/>
                <w:i w:val="0"/>
                <w:iCs w:val="0"/>
                <w:color w:val="000000"/>
                <w:sz w:val="18"/>
                <w:szCs w:val="18"/>
                <w:u w:val="none"/>
              </w:rPr>
            </w:pPr>
          </w:p>
        </w:tc>
        <w:tc>
          <w:tcPr>
            <w:tcW w:w="789" w:type="dxa"/>
            <w:tcBorders>
              <w:top w:val="nil"/>
              <w:left w:val="nil"/>
              <w:bottom w:val="nil"/>
              <w:right w:val="nil"/>
            </w:tcBorders>
            <w:shd w:val="clear" w:color="auto" w:fill="auto"/>
            <w:vAlign w:val="center"/>
          </w:tcPr>
          <w:p w14:paraId="65924BF3">
            <w:pPr>
              <w:rPr>
                <w:rFonts w:hint="eastAsia" w:ascii="宋体" w:hAnsi="宋体" w:eastAsia="宋体" w:cs="宋体"/>
                <w:i w:val="0"/>
                <w:iCs w:val="0"/>
                <w:color w:val="000000"/>
                <w:sz w:val="18"/>
                <w:szCs w:val="18"/>
                <w:u w:val="none"/>
              </w:rPr>
            </w:pPr>
          </w:p>
        </w:tc>
        <w:tc>
          <w:tcPr>
            <w:tcW w:w="830" w:type="dxa"/>
            <w:tcBorders>
              <w:top w:val="nil"/>
              <w:left w:val="nil"/>
              <w:bottom w:val="nil"/>
              <w:right w:val="nil"/>
            </w:tcBorders>
            <w:shd w:val="clear" w:color="auto" w:fill="auto"/>
            <w:vAlign w:val="center"/>
          </w:tcPr>
          <w:p w14:paraId="48D570CC">
            <w:pPr>
              <w:rPr>
                <w:rFonts w:hint="eastAsia" w:ascii="宋体" w:hAnsi="宋体" w:eastAsia="宋体" w:cs="宋体"/>
                <w:i w:val="0"/>
                <w:iCs w:val="0"/>
                <w:color w:val="000000"/>
                <w:sz w:val="18"/>
                <w:szCs w:val="18"/>
                <w:u w:val="none"/>
              </w:rPr>
            </w:pPr>
          </w:p>
        </w:tc>
        <w:tc>
          <w:tcPr>
            <w:tcW w:w="835" w:type="dxa"/>
            <w:tcBorders>
              <w:top w:val="nil"/>
              <w:left w:val="nil"/>
              <w:bottom w:val="nil"/>
              <w:right w:val="nil"/>
            </w:tcBorders>
            <w:shd w:val="clear" w:color="auto" w:fill="auto"/>
            <w:vAlign w:val="center"/>
          </w:tcPr>
          <w:p w14:paraId="497930C3">
            <w:pPr>
              <w:rPr>
                <w:rFonts w:hint="eastAsia" w:ascii="宋体" w:hAnsi="宋体" w:eastAsia="宋体" w:cs="宋体"/>
                <w:i w:val="0"/>
                <w:iCs w:val="0"/>
                <w:color w:val="000000"/>
                <w:sz w:val="18"/>
                <w:szCs w:val="18"/>
                <w:u w:val="none"/>
              </w:rPr>
            </w:pPr>
          </w:p>
        </w:tc>
        <w:tc>
          <w:tcPr>
            <w:tcW w:w="762" w:type="dxa"/>
            <w:tcBorders>
              <w:top w:val="nil"/>
              <w:left w:val="nil"/>
              <w:bottom w:val="nil"/>
              <w:right w:val="nil"/>
            </w:tcBorders>
            <w:shd w:val="clear" w:color="auto" w:fill="auto"/>
            <w:vAlign w:val="center"/>
          </w:tcPr>
          <w:p w14:paraId="66E505CE">
            <w:pPr>
              <w:rPr>
                <w:rFonts w:hint="eastAsia" w:ascii="宋体" w:hAnsi="宋体" w:eastAsia="宋体" w:cs="宋体"/>
                <w:i w:val="0"/>
                <w:iCs w:val="0"/>
                <w:color w:val="000000"/>
                <w:sz w:val="18"/>
                <w:szCs w:val="18"/>
                <w:u w:val="none"/>
              </w:rPr>
            </w:pPr>
          </w:p>
        </w:tc>
        <w:tc>
          <w:tcPr>
            <w:tcW w:w="807" w:type="dxa"/>
            <w:tcBorders>
              <w:top w:val="nil"/>
              <w:left w:val="nil"/>
              <w:bottom w:val="nil"/>
              <w:right w:val="nil"/>
            </w:tcBorders>
            <w:shd w:val="clear" w:color="auto" w:fill="auto"/>
            <w:vAlign w:val="center"/>
          </w:tcPr>
          <w:p w14:paraId="71CBCB48">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auto" w:fill="auto"/>
            <w:vAlign w:val="center"/>
          </w:tcPr>
          <w:p w14:paraId="6295A857">
            <w:pPr>
              <w:rPr>
                <w:rFonts w:hint="eastAsia" w:ascii="宋体" w:hAnsi="宋体" w:eastAsia="宋体" w:cs="宋体"/>
                <w:i w:val="0"/>
                <w:iCs w:val="0"/>
                <w:color w:val="000000"/>
                <w:sz w:val="18"/>
                <w:szCs w:val="18"/>
                <w:u w:val="none"/>
              </w:rPr>
            </w:pPr>
          </w:p>
        </w:tc>
        <w:tc>
          <w:tcPr>
            <w:tcW w:w="1012" w:type="dxa"/>
            <w:tcBorders>
              <w:top w:val="nil"/>
              <w:left w:val="nil"/>
              <w:bottom w:val="nil"/>
              <w:right w:val="nil"/>
            </w:tcBorders>
            <w:shd w:val="clear" w:color="auto" w:fill="auto"/>
            <w:vAlign w:val="center"/>
          </w:tcPr>
          <w:p w14:paraId="2691FA60">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auto" w:fill="auto"/>
            <w:vAlign w:val="center"/>
          </w:tcPr>
          <w:p w14:paraId="5442081A">
            <w:pPr>
              <w:rPr>
                <w:rFonts w:hint="eastAsia" w:ascii="宋体" w:hAnsi="宋体" w:eastAsia="宋体" w:cs="宋体"/>
                <w:i w:val="0"/>
                <w:iCs w:val="0"/>
                <w:color w:val="000000"/>
                <w:sz w:val="18"/>
                <w:szCs w:val="18"/>
                <w:u w:val="none"/>
              </w:rPr>
            </w:pPr>
          </w:p>
        </w:tc>
        <w:tc>
          <w:tcPr>
            <w:tcW w:w="678" w:type="dxa"/>
            <w:tcBorders>
              <w:top w:val="nil"/>
              <w:left w:val="nil"/>
              <w:bottom w:val="nil"/>
              <w:right w:val="nil"/>
            </w:tcBorders>
            <w:shd w:val="clear" w:color="auto" w:fill="auto"/>
            <w:vAlign w:val="center"/>
          </w:tcPr>
          <w:p w14:paraId="396CDACF">
            <w:pPr>
              <w:rPr>
                <w:rFonts w:hint="eastAsia" w:ascii="宋体" w:hAnsi="宋体" w:eastAsia="宋体" w:cs="宋体"/>
                <w:i w:val="0"/>
                <w:iCs w:val="0"/>
                <w:color w:val="000000"/>
                <w:sz w:val="18"/>
                <w:szCs w:val="18"/>
                <w:u w:val="none"/>
              </w:rPr>
            </w:pPr>
          </w:p>
        </w:tc>
        <w:tc>
          <w:tcPr>
            <w:tcW w:w="3712" w:type="dxa"/>
            <w:tcBorders>
              <w:top w:val="nil"/>
              <w:left w:val="nil"/>
              <w:bottom w:val="nil"/>
              <w:right w:val="nil"/>
            </w:tcBorders>
            <w:shd w:val="clear" w:color="auto" w:fill="auto"/>
            <w:vAlign w:val="center"/>
          </w:tcPr>
          <w:p w14:paraId="05B43239">
            <w:pPr>
              <w:rPr>
                <w:rFonts w:hint="eastAsia" w:ascii="宋体" w:hAnsi="宋体" w:eastAsia="宋体" w:cs="宋体"/>
                <w:i w:val="0"/>
                <w:iCs w:val="0"/>
                <w:color w:val="000000"/>
                <w:sz w:val="18"/>
                <w:szCs w:val="18"/>
                <w:u w:val="none"/>
              </w:rPr>
            </w:pPr>
          </w:p>
        </w:tc>
      </w:tr>
      <w:tr w14:paraId="385B9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3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EC9747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45CC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42A90">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项目名称</w:t>
            </w:r>
          </w:p>
        </w:tc>
        <w:tc>
          <w:tcPr>
            <w:tcW w:w="98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CE06AD7">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51172423T000008000962-校舍维修改造</w:t>
            </w:r>
          </w:p>
        </w:tc>
      </w:tr>
      <w:tr w14:paraId="08415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1CF73">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主管部门</w:t>
            </w:r>
          </w:p>
        </w:tc>
        <w:tc>
          <w:tcPr>
            <w:tcW w:w="3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1087D7">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大竹县中华乡中心小学部门</w:t>
            </w:r>
          </w:p>
        </w:tc>
        <w:tc>
          <w:tcPr>
            <w:tcW w:w="1012" w:type="dxa"/>
            <w:tcBorders>
              <w:top w:val="nil"/>
              <w:left w:val="nil"/>
              <w:bottom w:val="nil"/>
              <w:right w:val="nil"/>
            </w:tcBorders>
            <w:shd w:val="clear" w:color="auto" w:fill="auto"/>
            <w:vAlign w:val="center"/>
          </w:tcPr>
          <w:p w14:paraId="0D13482F">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实施单位 （盖章）</w:t>
            </w:r>
          </w:p>
        </w:tc>
        <w:tc>
          <w:tcPr>
            <w:tcW w:w="5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4A7E4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大竹县中华乡中心小学</w:t>
            </w:r>
          </w:p>
        </w:tc>
      </w:tr>
      <w:tr w14:paraId="4CACB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EBC2B">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项目基本情况</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60351">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1.项目年度目标完成情况</w:t>
            </w:r>
          </w:p>
        </w:tc>
        <w:tc>
          <w:tcPr>
            <w:tcW w:w="3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75B57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项目年度目标</w:t>
            </w:r>
          </w:p>
        </w:tc>
        <w:tc>
          <w:tcPr>
            <w:tcW w:w="60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78F7B3">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年度目标完成情况</w:t>
            </w:r>
          </w:p>
        </w:tc>
      </w:tr>
      <w:tr w14:paraId="4B840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1FE09">
            <w:pPr>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E5DDE">
            <w:pPr>
              <w:rPr>
                <w:rFonts w:hint="eastAsia" w:ascii="宋体" w:hAnsi="宋体" w:eastAsia="宋体" w:cs="宋体"/>
                <w:i w:val="0"/>
                <w:iCs w:val="0"/>
                <w:color w:val="000000"/>
                <w:sz w:val="22"/>
                <w:szCs w:val="22"/>
                <w:u w:val="none"/>
              </w:rPr>
            </w:pPr>
          </w:p>
        </w:tc>
        <w:tc>
          <w:tcPr>
            <w:tcW w:w="3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7696AC">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严格执行相关政策，足额保障校舍维修改造工程款资金。</w:t>
            </w:r>
          </w:p>
        </w:tc>
        <w:tc>
          <w:tcPr>
            <w:tcW w:w="60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C80E6E">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本年度严格执行相关政策，足额保障校舍维修改造工程款资金支付到位。</w:t>
            </w:r>
          </w:p>
        </w:tc>
      </w:tr>
      <w:tr w14:paraId="5B466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31539">
            <w:pP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03CF">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2.项目实施内容及过程概述</w:t>
            </w:r>
          </w:p>
        </w:tc>
        <w:tc>
          <w:tcPr>
            <w:tcW w:w="98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C92A0B">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本年度严格执行相关政策，严格校舍维修改造工程项目款专款专用，按时按质保障项目经费。</w:t>
            </w:r>
          </w:p>
        </w:tc>
      </w:tr>
      <w:tr w14:paraId="0980D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A4CE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预算执行情况（10分）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6B5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年度预算数（万元）</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3D7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年初预算</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470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调整后预算数</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8B39F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预算执行数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D90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预算执行率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F27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权重</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498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得分</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5B6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原因</w:t>
            </w:r>
          </w:p>
        </w:tc>
      </w:tr>
      <w:tr w14:paraId="449C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539D5">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426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总额</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050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49D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20.00</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A04B4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9F0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799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2F8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3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F311D">
            <w:pPr>
              <w:keepNext w:val="0"/>
              <w:keepLines w:val="0"/>
              <w:widowControl/>
              <w:suppressLineNumbers w:val="0"/>
              <w:jc w:val="left"/>
              <w:textAlignment w:val="center"/>
              <w:rPr>
                <w:rFonts w:hint="eastAsia" w:ascii="黑体" w:hAnsi="黑体" w:eastAsia="黑体" w:cs="黑体"/>
                <w:i/>
                <w:iCs/>
                <w:color w:val="000000"/>
                <w:sz w:val="22"/>
                <w:szCs w:val="22"/>
                <w:u w:val="none"/>
              </w:rPr>
            </w:pPr>
            <w:r>
              <w:rPr>
                <w:rFonts w:hint="eastAsia" w:ascii="黑体" w:hAnsi="黑体" w:eastAsia="黑体" w:cs="黑体"/>
                <w:i/>
                <w:iCs/>
                <w:color w:val="000000"/>
                <w:kern w:val="0"/>
                <w:sz w:val="22"/>
                <w:szCs w:val="22"/>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15594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C3684">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B64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其中：财政资金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051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C4A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20.00</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98ED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8765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897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0AB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AFE51">
            <w:pPr>
              <w:rPr>
                <w:rFonts w:hint="eastAsia" w:ascii="黑体" w:hAnsi="黑体" w:eastAsia="黑体" w:cs="黑体"/>
                <w:i/>
                <w:iCs/>
                <w:color w:val="000000"/>
                <w:sz w:val="22"/>
                <w:szCs w:val="22"/>
                <w:u w:val="none"/>
              </w:rPr>
            </w:pPr>
          </w:p>
        </w:tc>
      </w:tr>
      <w:tr w14:paraId="4F5E5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00426">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950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财政专户管理资金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7F17">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CA4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98D05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D2F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DDA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B7F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6298D">
            <w:pPr>
              <w:rPr>
                <w:rFonts w:hint="eastAsia" w:ascii="黑体" w:hAnsi="黑体" w:eastAsia="黑体" w:cs="黑体"/>
                <w:i/>
                <w:iCs/>
                <w:color w:val="000000"/>
                <w:sz w:val="22"/>
                <w:szCs w:val="22"/>
                <w:u w:val="none"/>
              </w:rPr>
            </w:pPr>
          </w:p>
        </w:tc>
      </w:tr>
      <w:tr w14:paraId="705E2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3988D">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F32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724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197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9812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19C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53B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D4B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C2D35">
            <w:pPr>
              <w:rPr>
                <w:rFonts w:hint="eastAsia" w:ascii="黑体" w:hAnsi="黑体" w:eastAsia="黑体" w:cs="黑体"/>
                <w:i/>
                <w:iCs/>
                <w:color w:val="000000"/>
                <w:sz w:val="22"/>
                <w:szCs w:val="22"/>
                <w:u w:val="none"/>
              </w:rPr>
            </w:pPr>
          </w:p>
        </w:tc>
      </w:tr>
      <w:tr w14:paraId="32576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2A85D">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48F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其他资金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EB88">
            <w:pPr>
              <w:jc w:val="center"/>
              <w:rPr>
                <w:rFonts w:hint="eastAsia" w:ascii="微软雅黑" w:hAnsi="微软雅黑" w:eastAsia="微软雅黑" w:cs="微软雅黑"/>
                <w:i/>
                <w:iCs/>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81C44">
            <w:pPr>
              <w:jc w:val="center"/>
              <w:rPr>
                <w:rFonts w:hint="eastAsia" w:ascii="微软雅黑" w:hAnsi="微软雅黑" w:eastAsia="微软雅黑" w:cs="微软雅黑"/>
                <w:i/>
                <w:iCs/>
                <w:color w:val="000000"/>
                <w:sz w:val="22"/>
                <w:szCs w:val="22"/>
                <w:u w:val="none"/>
              </w:rPr>
            </w:pPr>
          </w:p>
        </w:tc>
        <w:tc>
          <w:tcPr>
            <w:tcW w:w="2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7FD614">
            <w:pPr>
              <w:jc w:val="center"/>
              <w:rPr>
                <w:rFonts w:hint="eastAsia" w:ascii="微软雅黑" w:hAnsi="微软雅黑" w:eastAsia="微软雅黑" w:cs="微软雅黑"/>
                <w:i/>
                <w:iCs/>
                <w:color w:val="000000"/>
                <w:sz w:val="22"/>
                <w:szCs w:val="22"/>
                <w:u w:val="none"/>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97E6">
            <w:pPr>
              <w:jc w:val="center"/>
              <w:rPr>
                <w:rFonts w:hint="eastAsia" w:ascii="微软雅黑" w:hAnsi="微软雅黑" w:eastAsia="微软雅黑" w:cs="微软雅黑"/>
                <w:i/>
                <w:iCs/>
                <w:color w:val="000000"/>
                <w:sz w:val="22"/>
                <w:szCs w:val="22"/>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987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0CD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AD197">
            <w:pPr>
              <w:rPr>
                <w:rFonts w:hint="eastAsia" w:ascii="黑体" w:hAnsi="黑体" w:eastAsia="黑体" w:cs="黑体"/>
                <w:i/>
                <w:iCs/>
                <w:color w:val="000000"/>
                <w:sz w:val="22"/>
                <w:szCs w:val="22"/>
                <w:u w:val="none"/>
              </w:rPr>
            </w:pPr>
          </w:p>
        </w:tc>
      </w:tr>
      <w:tr w14:paraId="50154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473C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绩效指标（90分）</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C1F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一级指标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9FE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二级指标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6C7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F6D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指标性质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908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指标值</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1371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度量单位</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196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完成值</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301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权重</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D24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得分</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E50B">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未完成原因分析</w:t>
            </w:r>
          </w:p>
        </w:tc>
      </w:tr>
      <w:tr w14:paraId="0D70F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38E94">
            <w:pPr>
              <w:jc w:val="center"/>
              <w:rPr>
                <w:rFonts w:hint="eastAsia" w:ascii="宋体" w:hAnsi="宋体" w:eastAsia="宋体" w:cs="宋体"/>
                <w:i w:val="0"/>
                <w:iCs w:val="0"/>
                <w:color w:val="000000"/>
                <w:sz w:val="22"/>
                <w:szCs w:val="22"/>
                <w:u w:val="none"/>
              </w:rPr>
            </w:pP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51B1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产出指标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20A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数量指标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908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学生、教师覆盖人数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84C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276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165</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00D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3C4A">
            <w:pPr>
              <w:keepNext w:val="0"/>
              <w:keepLines w:val="0"/>
              <w:widowControl/>
              <w:suppressLineNumbers w:val="0"/>
              <w:jc w:val="center"/>
              <w:textAlignment w:val="center"/>
              <w:rPr>
                <w:rFonts w:hint="eastAsia" w:ascii="微软雅黑" w:hAnsi="微软雅黑" w:eastAsia="微软雅黑" w:cs="微软雅黑"/>
                <w:i/>
                <w:iCs/>
                <w:color w:val="000000"/>
                <w:sz w:val="22"/>
                <w:szCs w:val="22"/>
                <w:u w:val="none"/>
              </w:rPr>
            </w:pPr>
            <w:r>
              <w:rPr>
                <w:rFonts w:hint="eastAsia" w:ascii="微软雅黑" w:hAnsi="微软雅黑" w:eastAsia="微软雅黑" w:cs="微软雅黑"/>
                <w:i/>
                <w:iCs/>
                <w:color w:val="000000"/>
                <w:kern w:val="0"/>
                <w:sz w:val="22"/>
                <w:szCs w:val="2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C61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7403">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42B4">
            <w:pPr>
              <w:jc w:val="center"/>
              <w:rPr>
                <w:rFonts w:hint="eastAsia" w:ascii="微软雅黑" w:hAnsi="微软雅黑" w:eastAsia="微软雅黑" w:cs="微软雅黑"/>
                <w:i/>
                <w:iCs/>
                <w:color w:val="000000"/>
                <w:sz w:val="22"/>
                <w:szCs w:val="22"/>
                <w:u w:val="none"/>
              </w:rPr>
            </w:pPr>
          </w:p>
        </w:tc>
      </w:tr>
      <w:tr w14:paraId="5894F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D2DA6">
            <w:pPr>
              <w:jc w:val="center"/>
              <w:rPr>
                <w:rFonts w:hint="eastAsia" w:ascii="宋体" w:hAnsi="宋体" w:eastAsia="宋体" w:cs="宋体"/>
                <w:i w:val="0"/>
                <w:iCs w:val="0"/>
                <w:color w:val="000000"/>
                <w:sz w:val="22"/>
                <w:szCs w:val="22"/>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80B25">
            <w:pPr>
              <w:jc w:val="center"/>
              <w:rPr>
                <w:rFonts w:hint="eastAsia" w:ascii="宋体" w:hAnsi="宋体" w:eastAsia="宋体" w:cs="宋体"/>
                <w:i w:val="0"/>
                <w:iCs w:val="0"/>
                <w:color w:val="000000"/>
                <w:sz w:val="22"/>
                <w:szCs w:val="22"/>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4B1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时效指标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89E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按时完成划拨</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8CD0">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9A2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A5B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6C24">
            <w:pPr>
              <w:keepNext w:val="0"/>
              <w:keepLines w:val="0"/>
              <w:widowControl/>
              <w:suppressLineNumbers w:val="0"/>
              <w:jc w:val="center"/>
              <w:textAlignment w:val="center"/>
              <w:rPr>
                <w:rFonts w:hint="eastAsia" w:ascii="微软雅黑" w:hAnsi="微软雅黑" w:eastAsia="微软雅黑" w:cs="微软雅黑"/>
                <w:i/>
                <w:iCs/>
                <w:color w:val="000000"/>
                <w:sz w:val="22"/>
                <w:szCs w:val="22"/>
                <w:u w:val="none"/>
              </w:rPr>
            </w:pPr>
            <w:r>
              <w:rPr>
                <w:rFonts w:hint="eastAsia" w:ascii="微软雅黑" w:hAnsi="微软雅黑" w:eastAsia="微软雅黑" w:cs="微软雅黑"/>
                <w:i/>
                <w:iCs/>
                <w:color w:val="000000"/>
                <w:kern w:val="0"/>
                <w:sz w:val="22"/>
                <w:szCs w:val="2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2B9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C0A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B8B1">
            <w:pPr>
              <w:jc w:val="center"/>
              <w:rPr>
                <w:rFonts w:hint="eastAsia" w:ascii="微软雅黑" w:hAnsi="微软雅黑" w:eastAsia="微软雅黑" w:cs="微软雅黑"/>
                <w:i/>
                <w:iCs/>
                <w:color w:val="000000"/>
                <w:sz w:val="22"/>
                <w:szCs w:val="22"/>
                <w:u w:val="none"/>
              </w:rPr>
            </w:pPr>
          </w:p>
        </w:tc>
      </w:tr>
      <w:tr w14:paraId="1FF00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5D33A">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2C2D">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效益指标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E4B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可持续发展指标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D37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项目持续发挥作用</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0C4C">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013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A7C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E34E">
            <w:pPr>
              <w:keepNext w:val="0"/>
              <w:keepLines w:val="0"/>
              <w:widowControl/>
              <w:suppressLineNumbers w:val="0"/>
              <w:jc w:val="center"/>
              <w:textAlignment w:val="center"/>
              <w:rPr>
                <w:rFonts w:hint="eastAsia" w:ascii="微软雅黑" w:hAnsi="微软雅黑" w:eastAsia="微软雅黑" w:cs="微软雅黑"/>
                <w:i/>
                <w:iCs/>
                <w:color w:val="000000"/>
                <w:sz w:val="22"/>
                <w:szCs w:val="22"/>
                <w:u w:val="none"/>
              </w:rPr>
            </w:pPr>
            <w:r>
              <w:rPr>
                <w:rFonts w:hint="eastAsia" w:ascii="微软雅黑" w:hAnsi="微软雅黑" w:eastAsia="微软雅黑" w:cs="微软雅黑"/>
                <w:i/>
                <w:iCs/>
                <w:color w:val="000000"/>
                <w:kern w:val="0"/>
                <w:sz w:val="22"/>
                <w:szCs w:val="2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8DE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163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D300">
            <w:pPr>
              <w:jc w:val="center"/>
              <w:rPr>
                <w:rFonts w:hint="eastAsia" w:ascii="微软雅黑" w:hAnsi="微软雅黑" w:eastAsia="微软雅黑" w:cs="微软雅黑"/>
                <w:i/>
                <w:iCs/>
                <w:color w:val="000000"/>
                <w:sz w:val="22"/>
                <w:szCs w:val="22"/>
                <w:u w:val="none"/>
              </w:rPr>
            </w:pPr>
          </w:p>
        </w:tc>
      </w:tr>
      <w:tr w14:paraId="07999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610B6">
            <w:pPr>
              <w:jc w:val="center"/>
              <w:rPr>
                <w:rFonts w:hint="eastAsia" w:ascii="宋体" w:hAnsi="宋体" w:eastAsia="宋体" w:cs="宋体"/>
                <w:i w:val="0"/>
                <w:iCs w:val="0"/>
                <w:color w:val="000000"/>
                <w:sz w:val="22"/>
                <w:szCs w:val="22"/>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138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满意度指标</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76C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服务对象满意度指标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AC5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师生满意</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A22F">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EB86">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5B6A">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C152">
            <w:pPr>
              <w:keepNext w:val="0"/>
              <w:keepLines w:val="0"/>
              <w:widowControl/>
              <w:suppressLineNumbers w:val="0"/>
              <w:jc w:val="center"/>
              <w:textAlignment w:val="center"/>
              <w:rPr>
                <w:rFonts w:hint="eastAsia" w:ascii="微软雅黑" w:hAnsi="微软雅黑" w:eastAsia="微软雅黑" w:cs="微软雅黑"/>
                <w:i/>
                <w:iCs/>
                <w:color w:val="000000"/>
                <w:sz w:val="22"/>
                <w:szCs w:val="22"/>
                <w:u w:val="none"/>
              </w:rPr>
            </w:pPr>
            <w:r>
              <w:rPr>
                <w:rFonts w:hint="eastAsia" w:ascii="微软雅黑" w:hAnsi="微软雅黑" w:eastAsia="微软雅黑" w:cs="微软雅黑"/>
                <w:i/>
                <w:iCs/>
                <w:color w:val="000000"/>
                <w:kern w:val="0"/>
                <w:sz w:val="22"/>
                <w:szCs w:val="22"/>
                <w:u w:val="none"/>
                <w:lang w:val="en-US" w:eastAsia="zh-CN" w:bidi="ar"/>
              </w:rPr>
              <w:t>100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7F69">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0F7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1CE0">
            <w:pPr>
              <w:jc w:val="center"/>
              <w:rPr>
                <w:rFonts w:hint="eastAsia" w:ascii="微软雅黑" w:hAnsi="微软雅黑" w:eastAsia="微软雅黑" w:cs="微软雅黑"/>
                <w:i/>
                <w:iCs/>
                <w:color w:val="000000"/>
                <w:sz w:val="22"/>
                <w:szCs w:val="22"/>
                <w:u w:val="none"/>
              </w:rPr>
            </w:pPr>
          </w:p>
        </w:tc>
      </w:tr>
      <w:tr w14:paraId="3BF75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62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2C74E1">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9A94">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C93CE">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3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AF12">
            <w:pPr>
              <w:rPr>
                <w:rFonts w:hint="eastAsia" w:ascii="宋体" w:hAnsi="宋体" w:eastAsia="宋体" w:cs="宋体"/>
                <w:i w:val="0"/>
                <w:iCs w:val="0"/>
                <w:color w:val="000000"/>
                <w:sz w:val="22"/>
                <w:szCs w:val="22"/>
                <w:u w:val="none"/>
              </w:rPr>
            </w:pPr>
          </w:p>
        </w:tc>
      </w:tr>
      <w:tr w14:paraId="18269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F0BB2">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评价结论</w:t>
            </w:r>
          </w:p>
        </w:tc>
        <w:tc>
          <w:tcPr>
            <w:tcW w:w="105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A14534">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本年度顺利完成校舍维修改造工程项目，资金到位，支付到位，该项目自评得分10分</w:t>
            </w:r>
          </w:p>
        </w:tc>
      </w:tr>
      <w:tr w14:paraId="585CF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C7F8">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存在问题</w:t>
            </w:r>
          </w:p>
        </w:tc>
        <w:tc>
          <w:tcPr>
            <w:tcW w:w="105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822DAD">
            <w:pPr>
              <w:rPr>
                <w:rFonts w:hint="eastAsia" w:ascii="微软雅黑" w:hAnsi="微软雅黑" w:eastAsia="微软雅黑" w:cs="微软雅黑"/>
                <w:i/>
                <w:iCs/>
                <w:color w:val="000000"/>
                <w:sz w:val="22"/>
                <w:szCs w:val="22"/>
                <w:u w:val="none"/>
              </w:rPr>
            </w:pPr>
          </w:p>
        </w:tc>
      </w:tr>
      <w:tr w14:paraId="5E90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C7C5">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改进措施</w:t>
            </w:r>
          </w:p>
        </w:tc>
        <w:tc>
          <w:tcPr>
            <w:tcW w:w="1058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7CD3B8">
            <w:pPr>
              <w:rPr>
                <w:rFonts w:hint="eastAsia" w:ascii="微软雅黑" w:hAnsi="微软雅黑" w:eastAsia="微软雅黑" w:cs="微软雅黑"/>
                <w:i/>
                <w:iCs/>
                <w:color w:val="000000"/>
                <w:sz w:val="22"/>
                <w:szCs w:val="22"/>
                <w:u w:val="none"/>
              </w:rPr>
            </w:pPr>
          </w:p>
        </w:tc>
      </w:tr>
      <w:tr w14:paraId="4CED7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9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8987D0">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项目负责人：王兴川</w:t>
            </w:r>
          </w:p>
        </w:tc>
        <w:tc>
          <w:tcPr>
            <w:tcW w:w="73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0BD16D">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财务负责人：王善芳</w:t>
            </w:r>
          </w:p>
        </w:tc>
      </w:tr>
    </w:tbl>
    <w:p w14:paraId="322EDC9C">
      <w:pPr>
        <w:pStyle w:val="13"/>
        <w:spacing w:line="560" w:lineRule="exact"/>
        <w:ind w:left="0" w:leftChars="0" w:firstLine="640"/>
        <w:rPr>
          <w:sz w:val="32"/>
        </w:rPr>
      </w:pPr>
    </w:p>
    <w:p w14:paraId="736DA5D7">
      <w:pPr>
        <w:pStyle w:val="5"/>
        <w:spacing w:before="93"/>
        <w:rPr>
          <w:rFonts w:hAnsi="Calibri" w:cs="仿宋"/>
          <w:sz w:val="32"/>
          <w:szCs w:val="32"/>
        </w:rPr>
      </w:pPr>
    </w:p>
    <w:p w14:paraId="5C6072FC">
      <w:pPr>
        <w:pStyle w:val="5"/>
        <w:spacing w:before="93"/>
        <w:rPr>
          <w:rFonts w:hAnsi="Calibri" w:cs="仿宋"/>
          <w:sz w:val="32"/>
          <w:szCs w:val="32"/>
        </w:rPr>
      </w:pPr>
    </w:p>
    <w:p w14:paraId="66388558">
      <w:pPr>
        <w:pStyle w:val="5"/>
        <w:spacing w:before="93"/>
        <w:rPr>
          <w:rFonts w:hAnsi="Calibri" w:cs="仿宋"/>
          <w:sz w:val="32"/>
          <w:szCs w:val="32"/>
        </w:rPr>
      </w:pPr>
    </w:p>
    <w:p w14:paraId="18E9990E">
      <w:pPr>
        <w:pStyle w:val="5"/>
        <w:spacing w:before="93"/>
        <w:rPr>
          <w:rFonts w:hAnsi="Calibri" w:cs="仿宋"/>
          <w:sz w:val="32"/>
          <w:szCs w:val="32"/>
        </w:rPr>
      </w:pPr>
    </w:p>
    <w:p w14:paraId="7E6E92C5">
      <w:pPr>
        <w:pStyle w:val="5"/>
        <w:spacing w:before="93"/>
        <w:rPr>
          <w:rFonts w:hAnsi="Calibri" w:cs="仿宋"/>
          <w:sz w:val="32"/>
          <w:szCs w:val="32"/>
        </w:rPr>
      </w:pPr>
    </w:p>
    <w:p w14:paraId="4C310718">
      <w:pPr>
        <w:pStyle w:val="5"/>
        <w:spacing w:before="93"/>
        <w:rPr>
          <w:rFonts w:hAnsi="Calibri" w:cs="仿宋"/>
          <w:sz w:val="32"/>
          <w:szCs w:val="32"/>
        </w:rPr>
      </w:pPr>
    </w:p>
    <w:p w14:paraId="1BEF47FF">
      <w:pPr>
        <w:spacing w:line="600" w:lineRule="exact"/>
        <w:jc w:val="center"/>
        <w:outlineLvl w:val="0"/>
        <w:rPr>
          <w:rFonts w:ascii="仿宋" w:hAnsi="仿宋" w:eastAsia="仿宋"/>
        </w:rPr>
      </w:pPr>
      <w:bookmarkStart w:id="77" w:name="_Toc20078"/>
      <w:r>
        <w:rPr>
          <w:rStyle w:val="27"/>
          <w:rFonts w:hint="eastAsia" w:ascii="黑体" w:hAnsi="黑体" w:eastAsia="黑体"/>
          <w:b w:val="0"/>
        </w:rPr>
        <w:t>五部分 附表</w:t>
      </w:r>
      <w:bookmarkEnd w:id="74"/>
      <w:bookmarkEnd w:id="76"/>
      <w:bookmarkEnd w:id="77"/>
      <w:bookmarkStart w:id="78" w:name="_Toc15396619"/>
    </w:p>
    <w:p w14:paraId="03BBDC1B">
      <w:pPr>
        <w:pStyle w:val="3"/>
        <w:rPr>
          <w:rFonts w:ascii="仿宋" w:hAnsi="仿宋" w:eastAsia="仿宋"/>
        </w:rPr>
      </w:pPr>
      <w:bookmarkStart w:id="79" w:name="_Toc7585"/>
      <w:r>
        <w:rPr>
          <w:rFonts w:hint="eastAsia" w:ascii="仿宋" w:hAnsi="仿宋" w:eastAsia="仿宋"/>
          <w:b w:val="0"/>
        </w:rPr>
        <w:t>一、收</w:t>
      </w:r>
      <w:r>
        <w:rPr>
          <w:rStyle w:val="28"/>
          <w:rFonts w:hint="eastAsia" w:ascii="仿宋" w:hAnsi="仿宋" w:eastAsia="仿宋"/>
          <w:b w:val="0"/>
          <w:bCs w:val="0"/>
        </w:rPr>
        <w:t>入支出决算总表</w:t>
      </w:r>
      <w:bookmarkEnd w:id="78"/>
      <w:bookmarkEnd w:id="79"/>
    </w:p>
    <w:p w14:paraId="349E55BB">
      <w:pPr>
        <w:pStyle w:val="3"/>
        <w:rPr>
          <w:rFonts w:ascii="仿宋" w:hAnsi="仿宋" w:eastAsia="仿宋"/>
        </w:rPr>
      </w:pPr>
      <w:bookmarkStart w:id="80" w:name="_Toc15396620"/>
      <w:bookmarkStart w:id="81" w:name="_Toc13896"/>
      <w:r>
        <w:rPr>
          <w:rFonts w:hint="eastAsia" w:ascii="仿宋" w:hAnsi="仿宋" w:eastAsia="仿宋"/>
          <w:b w:val="0"/>
        </w:rPr>
        <w:t>二、收</w:t>
      </w:r>
      <w:r>
        <w:rPr>
          <w:rStyle w:val="28"/>
          <w:rFonts w:hint="eastAsia" w:ascii="仿宋" w:hAnsi="仿宋" w:eastAsia="仿宋"/>
          <w:b w:val="0"/>
          <w:bCs w:val="0"/>
        </w:rPr>
        <w:t>入决算表</w:t>
      </w:r>
      <w:bookmarkEnd w:id="80"/>
      <w:bookmarkEnd w:id="81"/>
    </w:p>
    <w:p w14:paraId="6369E3C1">
      <w:pPr>
        <w:pStyle w:val="3"/>
        <w:rPr>
          <w:rFonts w:ascii="仿宋" w:hAnsi="仿宋" w:eastAsia="仿宋"/>
        </w:rPr>
      </w:pPr>
      <w:bookmarkStart w:id="82" w:name="_Toc15396621"/>
      <w:bookmarkStart w:id="83" w:name="_Toc6210"/>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82"/>
      <w:bookmarkEnd w:id="83"/>
    </w:p>
    <w:p w14:paraId="63B74689">
      <w:pPr>
        <w:pStyle w:val="3"/>
        <w:rPr>
          <w:rFonts w:ascii="仿宋" w:hAnsi="仿宋" w:eastAsia="仿宋"/>
          <w:b w:val="0"/>
        </w:rPr>
      </w:pPr>
      <w:bookmarkStart w:id="84" w:name="_Toc15396622"/>
      <w:bookmarkStart w:id="85" w:name="_Toc29299"/>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84"/>
      <w:bookmarkEnd w:id="85"/>
    </w:p>
    <w:p w14:paraId="08F0B1E3">
      <w:pPr>
        <w:pStyle w:val="3"/>
        <w:rPr>
          <w:rStyle w:val="28"/>
          <w:rFonts w:ascii="仿宋" w:hAnsi="仿宋" w:eastAsia="仿宋"/>
          <w:b w:val="0"/>
          <w:bCs w:val="0"/>
        </w:rPr>
      </w:pPr>
      <w:bookmarkStart w:id="86" w:name="_Toc15396623"/>
      <w:bookmarkStart w:id="87" w:name="_Toc6066"/>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86"/>
      <w:bookmarkEnd w:id="87"/>
      <w:bookmarkStart w:id="88" w:name="_Toc15396624"/>
    </w:p>
    <w:p w14:paraId="4F18EE2F">
      <w:pPr>
        <w:pStyle w:val="3"/>
        <w:rPr>
          <w:rFonts w:ascii="仿宋" w:hAnsi="仿宋" w:eastAsia="仿宋"/>
        </w:rPr>
      </w:pPr>
      <w:bookmarkStart w:id="89" w:name="_Toc12272"/>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88"/>
      <w:bookmarkEnd w:id="89"/>
    </w:p>
    <w:p w14:paraId="14F7DE26">
      <w:pPr>
        <w:pStyle w:val="3"/>
        <w:rPr>
          <w:rFonts w:ascii="仿宋" w:hAnsi="仿宋" w:eastAsia="仿宋"/>
        </w:rPr>
      </w:pPr>
      <w:bookmarkStart w:id="90" w:name="_Toc15396625"/>
      <w:bookmarkStart w:id="91" w:name="_Toc9464"/>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90"/>
      <w:bookmarkEnd w:id="91"/>
    </w:p>
    <w:p w14:paraId="23C099F2">
      <w:pPr>
        <w:pStyle w:val="3"/>
        <w:rPr>
          <w:rFonts w:ascii="仿宋" w:hAnsi="仿宋" w:eastAsia="仿宋"/>
        </w:rPr>
      </w:pPr>
      <w:bookmarkStart w:id="92" w:name="_Toc15396626"/>
      <w:bookmarkStart w:id="93" w:name="_Toc19334"/>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92"/>
      <w:bookmarkEnd w:id="93"/>
    </w:p>
    <w:p w14:paraId="33E3F10F">
      <w:pPr>
        <w:pStyle w:val="3"/>
        <w:rPr>
          <w:rFonts w:ascii="仿宋" w:hAnsi="仿宋" w:eastAsia="仿宋"/>
        </w:rPr>
      </w:pPr>
      <w:bookmarkStart w:id="94" w:name="_Toc15396627"/>
      <w:bookmarkStart w:id="95" w:name="_Toc1896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94"/>
      <w:bookmarkEnd w:id="95"/>
    </w:p>
    <w:p w14:paraId="78DBC28B">
      <w:pPr>
        <w:pStyle w:val="3"/>
        <w:rPr>
          <w:rFonts w:ascii="仿宋" w:hAnsi="仿宋" w:eastAsia="仿宋"/>
        </w:rPr>
      </w:pPr>
      <w:bookmarkStart w:id="96" w:name="_Toc15396628"/>
      <w:bookmarkStart w:id="97" w:name="_Toc11813"/>
      <w:r>
        <w:rPr>
          <w:rStyle w:val="28"/>
          <w:rFonts w:hint="eastAsia" w:ascii="仿宋" w:hAnsi="仿宋" w:eastAsia="仿宋"/>
          <w:b w:val="0"/>
          <w:bCs w:val="0"/>
        </w:rPr>
        <w:t>十、</w:t>
      </w:r>
      <w:bookmarkEnd w:id="96"/>
      <w:r>
        <w:rPr>
          <w:rFonts w:hint="eastAsia" w:ascii="仿宋" w:hAnsi="仿宋" w:eastAsia="仿宋"/>
          <w:b w:val="0"/>
        </w:rPr>
        <w:t>政</w:t>
      </w:r>
      <w:r>
        <w:rPr>
          <w:rStyle w:val="28"/>
          <w:rFonts w:hint="eastAsia" w:ascii="仿宋" w:hAnsi="仿宋" w:eastAsia="仿宋"/>
          <w:b w:val="0"/>
          <w:bCs w:val="0"/>
        </w:rPr>
        <w:t>府性基金预算财政拨款收入支出决算表</w:t>
      </w:r>
      <w:bookmarkEnd w:id="97"/>
    </w:p>
    <w:p w14:paraId="3566BDDE">
      <w:pPr>
        <w:pStyle w:val="3"/>
        <w:rPr>
          <w:rFonts w:ascii="仿宋" w:hAnsi="仿宋" w:eastAsia="仿宋"/>
        </w:rPr>
      </w:pPr>
      <w:bookmarkStart w:id="98" w:name="_Toc15396629"/>
      <w:bookmarkStart w:id="99" w:name="_Toc32619"/>
      <w:r>
        <w:rPr>
          <w:rStyle w:val="28"/>
          <w:rFonts w:hint="eastAsia" w:ascii="仿宋" w:hAnsi="仿宋" w:eastAsia="仿宋"/>
          <w:b w:val="0"/>
          <w:bCs w:val="0"/>
        </w:rPr>
        <w:t>十一、</w:t>
      </w:r>
      <w:bookmarkEnd w:id="98"/>
      <w:r>
        <w:rPr>
          <w:rFonts w:hint="eastAsia" w:ascii="仿宋" w:hAnsi="仿宋" w:eastAsia="仿宋"/>
          <w:b w:val="0"/>
        </w:rPr>
        <w:t>国</w:t>
      </w:r>
      <w:r>
        <w:rPr>
          <w:rStyle w:val="28"/>
          <w:rFonts w:hint="eastAsia" w:ascii="仿宋" w:hAnsi="仿宋" w:eastAsia="仿宋"/>
          <w:b w:val="0"/>
          <w:bCs w:val="0"/>
        </w:rPr>
        <w:t>有资本经营预算财政拨款收入支出决算表</w:t>
      </w:r>
      <w:bookmarkEnd w:id="99"/>
    </w:p>
    <w:p w14:paraId="3BCD9D6E">
      <w:pPr>
        <w:pStyle w:val="3"/>
        <w:rPr>
          <w:rFonts w:ascii="仿宋" w:hAnsi="仿宋" w:eastAsia="仿宋"/>
        </w:rPr>
      </w:pPr>
      <w:bookmarkStart w:id="100" w:name="_Toc15396630"/>
      <w:bookmarkStart w:id="101" w:name="_Toc32054"/>
      <w:r>
        <w:rPr>
          <w:rStyle w:val="28"/>
          <w:rFonts w:hint="eastAsia" w:ascii="仿宋" w:hAnsi="仿宋" w:eastAsia="仿宋"/>
          <w:b w:val="0"/>
          <w:bCs w:val="0"/>
        </w:rPr>
        <w:t>十二、</w:t>
      </w:r>
      <w:bookmarkEnd w:id="100"/>
      <w:r>
        <w:rPr>
          <w:rStyle w:val="28"/>
          <w:rFonts w:hint="eastAsia" w:ascii="仿宋" w:hAnsi="仿宋" w:eastAsia="仿宋"/>
          <w:b w:val="0"/>
          <w:bCs w:val="0"/>
        </w:rPr>
        <w:t>国有资本经营预算财政拨款支出决算表</w:t>
      </w:r>
      <w:bookmarkEnd w:id="101"/>
    </w:p>
    <w:p w14:paraId="237C45D2">
      <w:pPr>
        <w:pStyle w:val="3"/>
        <w:rPr>
          <w:rFonts w:eastAsia="仿宋"/>
        </w:rPr>
      </w:pPr>
      <w:bookmarkStart w:id="102" w:name="_Toc15396631"/>
      <w:bookmarkStart w:id="103" w:name="_Toc12596"/>
      <w:r>
        <w:rPr>
          <w:rStyle w:val="28"/>
          <w:rFonts w:hint="eastAsia" w:ascii="仿宋" w:hAnsi="仿宋" w:eastAsia="仿宋"/>
          <w:b w:val="0"/>
          <w:bCs w:val="0"/>
        </w:rPr>
        <w:t>十三、</w:t>
      </w:r>
      <w:bookmarkEnd w:id="102"/>
      <w:r>
        <w:rPr>
          <w:rStyle w:val="28"/>
          <w:rFonts w:hint="eastAsia" w:ascii="仿宋" w:hAnsi="仿宋" w:eastAsia="仿宋"/>
          <w:b w:val="0"/>
          <w:bCs w:val="0"/>
        </w:rPr>
        <w:t>财政拨款“三公”经费支出决算表</w:t>
      </w:r>
      <w:bookmarkEnd w:id="103"/>
    </w:p>
    <w:sectPr>
      <w:footerReference r:id="rId6" w:type="first"/>
      <w:footerReference r:id="rId5"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3B5D7">
    <w:pPr>
      <w:pStyle w:val="9"/>
      <w:jc w:val="center"/>
    </w:pPr>
  </w:p>
  <w:p w14:paraId="3774E09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9F8F7">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1471"/>
                          </w:sdtPr>
                          <w:sdtContent>
                            <w:p w14:paraId="2A660D5B">
                              <w:pPr>
                                <w:pStyle w:val="9"/>
                                <w:jc w:val="center"/>
                              </w:pPr>
                              <w:r>
                                <w:fldChar w:fldCharType="begin"/>
                              </w:r>
                              <w:r>
                                <w:instrText xml:space="preserve">PAGE   \* MERGEFORMAT</w:instrText>
                              </w:r>
                              <w:r>
                                <w:fldChar w:fldCharType="separate"/>
                              </w:r>
                              <w:r>
                                <w:rPr>
                                  <w:lang w:val="zh-CN"/>
                                </w:rPr>
                                <w:t>16</w:t>
                              </w:r>
                              <w:r>
                                <w:fldChar w:fldCharType="end"/>
                              </w:r>
                            </w:p>
                          </w:sdtContent>
                        </w:sdt>
                        <w:p w14:paraId="404D558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51471"/>
                    </w:sdtPr>
                    <w:sdtContent>
                      <w:p w14:paraId="2A660D5B">
                        <w:pPr>
                          <w:pStyle w:val="9"/>
                          <w:jc w:val="center"/>
                        </w:pPr>
                        <w:r>
                          <w:fldChar w:fldCharType="begin"/>
                        </w:r>
                        <w:r>
                          <w:instrText xml:space="preserve">PAGE   \* MERGEFORMAT</w:instrText>
                        </w:r>
                        <w:r>
                          <w:fldChar w:fldCharType="separate"/>
                        </w:r>
                        <w:r>
                          <w:rPr>
                            <w:lang w:val="zh-CN"/>
                          </w:rPr>
                          <w:t>16</w:t>
                        </w:r>
                        <w:r>
                          <w:fldChar w:fldCharType="end"/>
                        </w:r>
                      </w:p>
                    </w:sdtContent>
                  </w:sdt>
                  <w:p w14:paraId="404D5587"/>
                </w:txbxContent>
              </v:textbox>
            </v:shape>
          </w:pict>
        </mc:Fallback>
      </mc:AlternateContent>
    </w:r>
  </w:p>
  <w:p w14:paraId="6942A7E3">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1F609">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6316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D36316C">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39BCE">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38967746"/>
    <w:multiLevelType w:val="singleLevel"/>
    <w:tmpl w:val="38967746"/>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ZjczYmQ0MWNlYTBiYTZjNTEwZGUzNzA0Zjg0OD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077"/>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409E"/>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1C05"/>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9E11BA"/>
    <w:rsid w:val="03DC2831"/>
    <w:rsid w:val="08042541"/>
    <w:rsid w:val="081B5E94"/>
    <w:rsid w:val="0A2032A3"/>
    <w:rsid w:val="0B8A37D8"/>
    <w:rsid w:val="0CAE34DC"/>
    <w:rsid w:val="0F5FFB2F"/>
    <w:rsid w:val="0FB909F1"/>
    <w:rsid w:val="0FFFCF60"/>
    <w:rsid w:val="10C055FF"/>
    <w:rsid w:val="1121215F"/>
    <w:rsid w:val="118107EC"/>
    <w:rsid w:val="11DD6519"/>
    <w:rsid w:val="16BB723D"/>
    <w:rsid w:val="18015F3F"/>
    <w:rsid w:val="1BE8440E"/>
    <w:rsid w:val="1D155CEE"/>
    <w:rsid w:val="1FDBBF84"/>
    <w:rsid w:val="20F57F95"/>
    <w:rsid w:val="21BF1E16"/>
    <w:rsid w:val="240371BF"/>
    <w:rsid w:val="24520004"/>
    <w:rsid w:val="25711CC6"/>
    <w:rsid w:val="25C741E6"/>
    <w:rsid w:val="276F80C0"/>
    <w:rsid w:val="27842671"/>
    <w:rsid w:val="29F53684"/>
    <w:rsid w:val="29FD04D3"/>
    <w:rsid w:val="2ABE7A3E"/>
    <w:rsid w:val="2AFF09B6"/>
    <w:rsid w:val="2CA234A8"/>
    <w:rsid w:val="2D431877"/>
    <w:rsid w:val="2EDF0D59"/>
    <w:rsid w:val="2EFA178C"/>
    <w:rsid w:val="2EFDF86C"/>
    <w:rsid w:val="2F577E2F"/>
    <w:rsid w:val="2F9D17E1"/>
    <w:rsid w:val="30B46D73"/>
    <w:rsid w:val="319F7F4E"/>
    <w:rsid w:val="32CD310A"/>
    <w:rsid w:val="335967DA"/>
    <w:rsid w:val="350E435C"/>
    <w:rsid w:val="356A28F1"/>
    <w:rsid w:val="357C035A"/>
    <w:rsid w:val="368E000D"/>
    <w:rsid w:val="383D272C"/>
    <w:rsid w:val="39AB179F"/>
    <w:rsid w:val="39AE70AB"/>
    <w:rsid w:val="3A4DCE41"/>
    <w:rsid w:val="3BCB56FA"/>
    <w:rsid w:val="3C0C0783"/>
    <w:rsid w:val="3D7128E2"/>
    <w:rsid w:val="3DBA3B84"/>
    <w:rsid w:val="3EE7C2F4"/>
    <w:rsid w:val="3F371B56"/>
    <w:rsid w:val="3F792ED8"/>
    <w:rsid w:val="3F9F3A96"/>
    <w:rsid w:val="3FECA4B2"/>
    <w:rsid w:val="3FF58C48"/>
    <w:rsid w:val="40CE4BEC"/>
    <w:rsid w:val="40FD538C"/>
    <w:rsid w:val="42FF6694"/>
    <w:rsid w:val="44126714"/>
    <w:rsid w:val="48BF60AB"/>
    <w:rsid w:val="493C27E9"/>
    <w:rsid w:val="496F39ED"/>
    <w:rsid w:val="49FF41D3"/>
    <w:rsid w:val="4BE068DB"/>
    <w:rsid w:val="4BF6002B"/>
    <w:rsid w:val="4BFFC6BE"/>
    <w:rsid w:val="4C85762B"/>
    <w:rsid w:val="4E234082"/>
    <w:rsid w:val="4ECE2238"/>
    <w:rsid w:val="4F252B27"/>
    <w:rsid w:val="504727E5"/>
    <w:rsid w:val="51DB4B86"/>
    <w:rsid w:val="51F64DB0"/>
    <w:rsid w:val="53271FC7"/>
    <w:rsid w:val="53562C55"/>
    <w:rsid w:val="55333C3E"/>
    <w:rsid w:val="573D5D23"/>
    <w:rsid w:val="58BC5193"/>
    <w:rsid w:val="5F67802D"/>
    <w:rsid w:val="5F7DC4F2"/>
    <w:rsid w:val="5FB36814"/>
    <w:rsid w:val="5FBB8E56"/>
    <w:rsid w:val="5FFB5535"/>
    <w:rsid w:val="62D4061F"/>
    <w:rsid w:val="648715CC"/>
    <w:rsid w:val="64CA39A1"/>
    <w:rsid w:val="69630ADE"/>
    <w:rsid w:val="69BD5F13"/>
    <w:rsid w:val="69D545FA"/>
    <w:rsid w:val="69FB0B4B"/>
    <w:rsid w:val="6B630BA9"/>
    <w:rsid w:val="6BFFE1FB"/>
    <w:rsid w:val="6C4A05C8"/>
    <w:rsid w:val="6D3B1A89"/>
    <w:rsid w:val="6DB7D8A3"/>
    <w:rsid w:val="6EC78701"/>
    <w:rsid w:val="6F7A5481"/>
    <w:rsid w:val="6FFE07A9"/>
    <w:rsid w:val="71BF4EC2"/>
    <w:rsid w:val="723B2DD9"/>
    <w:rsid w:val="72734D90"/>
    <w:rsid w:val="73E75B71"/>
    <w:rsid w:val="7412278C"/>
    <w:rsid w:val="75DDCDA9"/>
    <w:rsid w:val="75FF44B1"/>
    <w:rsid w:val="77670518"/>
    <w:rsid w:val="777FA627"/>
    <w:rsid w:val="77DF1B5F"/>
    <w:rsid w:val="77EF2D9D"/>
    <w:rsid w:val="78FC70CB"/>
    <w:rsid w:val="79E7B28D"/>
    <w:rsid w:val="7ACFF0C2"/>
    <w:rsid w:val="7AFB9108"/>
    <w:rsid w:val="7BD5340C"/>
    <w:rsid w:val="7BFB19D2"/>
    <w:rsid w:val="7BFD1750"/>
    <w:rsid w:val="7BFDAA1B"/>
    <w:rsid w:val="7CDF9A82"/>
    <w:rsid w:val="7CFFA1BD"/>
    <w:rsid w:val="7D2E3F7A"/>
    <w:rsid w:val="7D6404DE"/>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2"/>
    <w:qFormat/>
    <w:uiPriority w:val="9"/>
    <w:rPr>
      <w:rFonts w:ascii="Times New Roman" w:hAnsi="Times New Roman"/>
      <w:b/>
      <w:bCs/>
      <w:kern w:val="44"/>
      <w:sz w:val="44"/>
      <w:szCs w:val="44"/>
    </w:rPr>
  </w:style>
  <w:style w:type="character" w:customStyle="1" w:styleId="28">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heme="minorHAnsi" w:hAnsiTheme="minorHAnsi" w:eastAsiaTheme="minorEastAsia" w:cstheme="minorBidi"/>
      <w:sz w:val="20"/>
      <w:szCs w:val="20"/>
    </w:rPr>
  </w:style>
  <w:style w:type="paragraph" w:customStyle="1" w:styleId="34">
    <w:name w:val="WPSOffice手动目录 2"/>
    <w:qFormat/>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29579;&#21892;&#33459;1\Desktop\&#33609;&#31295;.xls"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chartUserShapes" Target="../drawings/drawing2.xml"/><Relationship Id="rId1" Type="http://schemas.openxmlformats.org/officeDocument/2006/relationships/oleObject" Target="file:///C:\Users\&#29579;&#21892;&#33459;1\Desktop\&#33609;&#31295;.xls"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chartUserShapes" Target="../drawings/drawing3.xml"/><Relationship Id="rId1" Type="http://schemas.openxmlformats.org/officeDocument/2006/relationships/oleObject" Target="file:///C:\Users\&#29579;&#21892;&#33459;1\Desktop\&#33609;&#31295;.xls"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chartUserShapes" Target="../drawings/drawing4.xml"/><Relationship Id="rId1" Type="http://schemas.openxmlformats.org/officeDocument/2006/relationships/oleObject" Target="file:///C:\Users\&#29579;&#21892;&#33459;1\Desktop\&#33609;&#31295;.xls"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chartUserShapes" Target="../drawings/drawing5.xml"/><Relationship Id="rId1" Type="http://schemas.openxmlformats.org/officeDocument/2006/relationships/oleObject" Target="file:///C:\Users\&#29579;&#21892;&#33459;1\Desktop\&#33609;&#31295;.xls"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chartUserShapes" Target="../drawings/drawing6.xml"/><Relationship Id="rId1" Type="http://schemas.openxmlformats.org/officeDocument/2006/relationships/oleObject" Target="file:///C:\Users\&#29579;&#21892;&#33459;1\Desktop\&#33609;&#31295;.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29579;&#21892;&#33459;1\Desktop\&#33609;&#312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499604117181"/>
          <c:y val="0.180592342884662"/>
          <c:w val="0.865463182897862"/>
          <c:h val="0.590994461834818"/>
        </c:manualLayout>
      </c:layout>
      <c:barChart>
        <c:barDir val="col"/>
        <c:grouping val="clustered"/>
        <c:varyColors val="0"/>
        <c:ser>
          <c:idx val="0"/>
          <c:order val="0"/>
          <c:tx>
            <c:strRef>
              <c:f>[草稿.xls]Sheet1!$B$379</c:f>
              <c:strCache>
                <c:ptCount val="1"/>
                <c:pt idx="0">
                  <c:v>收入（万元）</c:v>
                </c:pt>
              </c:strCache>
            </c:strRef>
          </c:tx>
          <c:spPr>
            <a:solidFill>
              <a:schemeClr val="accent1"/>
            </a:solidFill>
            <a:ln>
              <a:noFill/>
            </a:ln>
            <a:effectLst/>
          </c:spPr>
          <c:invertIfNegative val="0"/>
          <c:dLbls>
            <c:delete val="1"/>
          </c:dLbls>
          <c:cat>
            <c:strRef>
              <c:f>[草稿.xls]Sheet1!$C$378:$D$378</c:f>
              <c:strCache>
                <c:ptCount val="2"/>
                <c:pt idx="0">
                  <c:v>2022年</c:v>
                </c:pt>
                <c:pt idx="1">
                  <c:v>2023年</c:v>
                </c:pt>
              </c:strCache>
            </c:strRef>
          </c:cat>
          <c:val>
            <c:numRef>
              <c:f>[草稿.xls]Sheet1!$C$379:$D$379</c:f>
              <c:numCache>
                <c:formatCode>General</c:formatCode>
                <c:ptCount val="2"/>
                <c:pt idx="0">
                  <c:v>1171.92</c:v>
                </c:pt>
                <c:pt idx="1">
                  <c:v>1270.51</c:v>
                </c:pt>
              </c:numCache>
            </c:numRef>
          </c:val>
        </c:ser>
        <c:ser>
          <c:idx val="1"/>
          <c:order val="1"/>
          <c:tx>
            <c:strRef>
              <c:f>[草稿.xls]Sheet1!$B$380</c:f>
              <c:strCache>
                <c:ptCount val="1"/>
                <c:pt idx="0">
                  <c:v>支出（万元）</c:v>
                </c:pt>
              </c:strCache>
            </c:strRef>
          </c:tx>
          <c:spPr>
            <a:solidFill>
              <a:schemeClr val="accent2"/>
            </a:solidFill>
            <a:ln>
              <a:noFill/>
            </a:ln>
            <a:effectLst/>
          </c:spPr>
          <c:invertIfNegative val="0"/>
          <c:dLbls>
            <c:delete val="1"/>
          </c:dLbls>
          <c:cat>
            <c:strRef>
              <c:f>[草稿.xls]Sheet1!$C$378:$D$378</c:f>
              <c:strCache>
                <c:ptCount val="2"/>
                <c:pt idx="0">
                  <c:v>2022年</c:v>
                </c:pt>
                <c:pt idx="1">
                  <c:v>2023年</c:v>
                </c:pt>
              </c:strCache>
            </c:strRef>
          </c:cat>
          <c:val>
            <c:numRef>
              <c:f>[草稿.xls]Sheet1!$C$380:$D$380</c:f>
              <c:numCache>
                <c:formatCode>General</c:formatCode>
                <c:ptCount val="2"/>
                <c:pt idx="0">
                  <c:v>1171.92</c:v>
                </c:pt>
                <c:pt idx="1">
                  <c:v>1270.51</c:v>
                </c:pt>
              </c:numCache>
            </c:numRef>
          </c:val>
        </c:ser>
        <c:dLbls>
          <c:showLegendKey val="0"/>
          <c:showVal val="0"/>
          <c:showCatName val="0"/>
          <c:showSerName val="0"/>
          <c:showPercent val="0"/>
          <c:showBubbleSize val="0"/>
        </c:dLbls>
        <c:gapWidth val="246"/>
        <c:overlap val="-28"/>
        <c:axId val="648193783"/>
        <c:axId val="352878428"/>
      </c:barChart>
      <c:catAx>
        <c:axId val="648193783"/>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2878428"/>
        <c:crosses val="autoZero"/>
        <c:auto val="1"/>
        <c:lblAlgn val="ctr"/>
        <c:lblOffset val="100"/>
        <c:noMultiLvlLbl val="0"/>
      </c:catAx>
      <c:valAx>
        <c:axId val="352878428"/>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819378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98ea085-7a67-44e2-8fbc-cc84065bb6eb}"/>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[草稿.xls]Sheet1!$B$394</c:f>
              <c:strCache>
                <c:ptCount val="1"/>
                <c:pt idx="0">
                  <c:v>2023年收入决算（万元）</c:v>
                </c:pt>
              </c:strCache>
            </c:strRef>
          </c:tx>
          <c:spPr/>
          <c:explosion val="0"/>
          <c:dPt>
            <c:idx val="0"/>
            <c:bubble3D val="0"/>
            <c:spPr>
              <a:solidFill>
                <a:schemeClr val="accent1"/>
              </a:solidFill>
              <a:ln>
                <a:solidFill>
                  <a:schemeClr val="bg1"/>
                </a:solidFill>
              </a:ln>
              <a:effectLst/>
            </c:spPr>
          </c:dPt>
          <c:dLbls>
            <c:delete val="1"/>
          </c:dLbls>
          <c:val>
            <c:numRef>
              <c:f>[草稿.xls]Sheet1!$C$394</c:f>
              <c:numCache>
                <c:formatCode>General</c:formatCode>
                <c:ptCount val="1"/>
                <c:pt idx="0">
                  <c:v>1232.72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2fad062-73d0-47ae-97a1-42c315a9733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[草稿.xls]Sheet1!$B$402:$B$403</c:f>
              <c:strCache>
                <c:ptCount val="2"/>
                <c:pt idx="0">
                  <c:v>基本支出（万元）</c:v>
                </c:pt>
                <c:pt idx="1">
                  <c:v>项目支出（万元）</c:v>
                </c:pt>
              </c:strCache>
            </c:strRef>
          </c:cat>
          <c:val>
            <c:numRef>
              <c:f>[草稿.xls]Sheet1!$C$402:$C$403</c:f>
              <c:numCache>
                <c:formatCode>General</c:formatCode>
                <c:ptCount val="2"/>
                <c:pt idx="0">
                  <c:v>1196.03</c:v>
                </c:pt>
                <c:pt idx="1">
                  <c:v>74.48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7b04b13-4ea6-4138-90b6-6c0f5a8622b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38947368421053"/>
          <c:y val="0.215277777777778"/>
          <c:w val="0.888210526315789"/>
          <c:h val="0.606805555555556"/>
        </c:manualLayout>
      </c:layout>
      <c:barChart>
        <c:barDir val="col"/>
        <c:grouping val="clustered"/>
        <c:varyColors val="0"/>
        <c:ser>
          <c:idx val="0"/>
          <c:order val="0"/>
          <c:tx>
            <c:strRef>
              <c:f>[草稿.xls]Sheet1!$B$413</c:f>
              <c:strCache>
                <c:ptCount val="1"/>
                <c:pt idx="0">
                  <c:v>财政拨款收入（万元）</c:v>
                </c:pt>
              </c:strCache>
            </c:strRef>
          </c:tx>
          <c:spPr>
            <a:solidFill>
              <a:schemeClr val="accent1"/>
            </a:solidFill>
            <a:ln>
              <a:noFill/>
            </a:ln>
            <a:effectLst/>
          </c:spPr>
          <c:invertIfNegative val="0"/>
          <c:dLbls>
            <c:delete val="1"/>
          </c:dLbls>
          <c:cat>
            <c:strRef>
              <c:f>[草稿.xls]Sheet1!$C$412:$D$412</c:f>
              <c:strCache>
                <c:ptCount val="2"/>
                <c:pt idx="0">
                  <c:v>2023年</c:v>
                </c:pt>
                <c:pt idx="1">
                  <c:v>2022年</c:v>
                </c:pt>
              </c:strCache>
            </c:strRef>
          </c:cat>
          <c:val>
            <c:numRef>
              <c:f>[草稿.xls]Sheet1!$C$413:$D$413</c:f>
              <c:numCache>
                <c:formatCode>General</c:formatCode>
                <c:ptCount val="2"/>
                <c:pt idx="0">
                  <c:v>1270.51</c:v>
                </c:pt>
                <c:pt idx="1">
                  <c:v>1171.92</c:v>
                </c:pt>
              </c:numCache>
            </c:numRef>
          </c:val>
        </c:ser>
        <c:ser>
          <c:idx val="1"/>
          <c:order val="1"/>
          <c:tx>
            <c:strRef>
              <c:f>[草稿.xls]Sheet1!$B$414</c:f>
              <c:strCache>
                <c:ptCount val="1"/>
                <c:pt idx="0">
                  <c:v>财政拨款收入（万元）</c:v>
                </c:pt>
              </c:strCache>
            </c:strRef>
          </c:tx>
          <c:spPr>
            <a:solidFill>
              <a:schemeClr val="accent2"/>
            </a:solidFill>
            <a:ln>
              <a:noFill/>
            </a:ln>
            <a:effectLst/>
          </c:spPr>
          <c:invertIfNegative val="0"/>
          <c:dLbls>
            <c:delete val="1"/>
          </c:dLbls>
          <c:cat>
            <c:strRef>
              <c:f>[草稿.xls]Sheet1!$C$412:$D$412</c:f>
              <c:strCache>
                <c:ptCount val="2"/>
                <c:pt idx="0">
                  <c:v>2023年</c:v>
                </c:pt>
                <c:pt idx="1">
                  <c:v>2022年</c:v>
                </c:pt>
              </c:strCache>
            </c:strRef>
          </c:cat>
          <c:val>
            <c:numRef>
              <c:f>[草稿.xls]Sheet1!$C$414:$D$414</c:f>
              <c:numCache>
                <c:formatCode>General</c:formatCode>
                <c:ptCount val="2"/>
                <c:pt idx="0">
                  <c:v>1270.51</c:v>
                </c:pt>
                <c:pt idx="1">
                  <c:v>1171.92</c:v>
                </c:pt>
              </c:numCache>
            </c:numRef>
          </c:val>
        </c:ser>
        <c:dLbls>
          <c:showLegendKey val="0"/>
          <c:showVal val="0"/>
          <c:showCatName val="0"/>
          <c:showSerName val="0"/>
          <c:showPercent val="0"/>
          <c:showBubbleSize val="0"/>
        </c:dLbls>
        <c:gapWidth val="246"/>
        <c:overlap val="-28"/>
        <c:axId val="215456609"/>
        <c:axId val="781458458"/>
      </c:barChart>
      <c:catAx>
        <c:axId val="2154566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1458458"/>
        <c:crosses val="autoZero"/>
        <c:auto val="1"/>
        <c:lblAlgn val="ctr"/>
        <c:lblOffset val="100"/>
        <c:noMultiLvlLbl val="0"/>
      </c:catAx>
      <c:valAx>
        <c:axId val="78145845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545660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f25ae4d-74d9-4e2f-a166-915baaf28bf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一般公共预算财政拨款支出（万元）</a:t>
            </a:r>
          </a:p>
        </c:rich>
      </c:tx>
      <c:layout/>
      <c:overlay val="0"/>
      <c:spPr>
        <a:noFill/>
        <a:ln>
          <a:noFill/>
        </a:ln>
        <a:effectLst/>
      </c:spPr>
    </c:title>
    <c:autoTitleDeleted val="0"/>
    <c:plotArea>
      <c:layout/>
      <c:barChart>
        <c:barDir val="col"/>
        <c:grouping val="clustered"/>
        <c:varyColors val="0"/>
        <c:ser>
          <c:idx val="0"/>
          <c:order val="0"/>
          <c:tx>
            <c:strRef>
              <c:f>[草稿.xls]Sheet1!$B$430</c:f>
              <c:strCache>
                <c:ptCount val="1"/>
                <c:pt idx="0">
                  <c:v>般公共预算财政拨款支出（万元）</c:v>
                </c:pt>
              </c:strCache>
            </c:strRef>
          </c:tx>
          <c:spPr>
            <a:solidFill>
              <a:schemeClr val="accent1"/>
            </a:solidFill>
            <a:ln>
              <a:noFill/>
            </a:ln>
            <a:effectLst/>
          </c:spPr>
          <c:invertIfNegative val="0"/>
          <c:dLbls>
            <c:delete val="1"/>
          </c:dLbls>
          <c:cat>
            <c:strRef>
              <c:f>[草稿.xls]Sheet1!$C$429:$D$429</c:f>
              <c:strCache>
                <c:ptCount val="2"/>
                <c:pt idx="0">
                  <c:v>2023年</c:v>
                </c:pt>
                <c:pt idx="1">
                  <c:v>2022年</c:v>
                </c:pt>
              </c:strCache>
            </c:strRef>
          </c:cat>
          <c:val>
            <c:numRef>
              <c:f>[草稿.xls]Sheet1!$C$430:$D$430</c:f>
              <c:numCache>
                <c:formatCode>General</c:formatCode>
                <c:ptCount val="2"/>
                <c:pt idx="0">
                  <c:v>1270.51</c:v>
                </c:pt>
                <c:pt idx="1">
                  <c:v>1171.92</c:v>
                </c:pt>
              </c:numCache>
            </c:numRef>
          </c:val>
        </c:ser>
        <c:dLbls>
          <c:showLegendKey val="0"/>
          <c:showVal val="0"/>
          <c:showCatName val="0"/>
          <c:showSerName val="0"/>
          <c:showPercent val="0"/>
          <c:showBubbleSize val="0"/>
        </c:dLbls>
        <c:gapWidth val="246"/>
        <c:overlap val="-28"/>
        <c:axId val="801417505"/>
        <c:axId val="180036234"/>
      </c:barChart>
      <c:catAx>
        <c:axId val="8014175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0036234"/>
        <c:crosses val="autoZero"/>
        <c:auto val="1"/>
        <c:lblAlgn val="ctr"/>
        <c:lblOffset val="100"/>
        <c:noMultiLvlLbl val="0"/>
      </c:catAx>
      <c:valAx>
        <c:axId val="18003623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14175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b8dad11-b4a6-4c17-9436-09d9d281701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elete val="1"/>
          </c:dLbls>
          <c:cat>
            <c:strRef>
              <c:f>[草稿.xls]Sheet1!$B$443:$B$447</c:f>
              <c:strCache>
                <c:ptCount val="5"/>
                <c:pt idx="0">
                  <c:v>教育支出（万元）</c:v>
                </c:pt>
                <c:pt idx="1">
                  <c:v>文化旅游体育与传媒支出（万元）</c:v>
                </c:pt>
                <c:pt idx="2">
                  <c:v>社会保障和就业支出（万元）</c:v>
                </c:pt>
                <c:pt idx="3">
                  <c:v>卫生健康支出（万元）</c:v>
                </c:pt>
                <c:pt idx="4">
                  <c:v>住房保障支出（万元）</c:v>
                </c:pt>
              </c:strCache>
            </c:strRef>
          </c:cat>
          <c:val>
            <c:numRef>
              <c:f>[草稿.xls]Sheet1!$C$443:$C$447</c:f>
              <c:numCache>
                <c:formatCode>General</c:formatCode>
                <c:ptCount val="5"/>
                <c:pt idx="0">
                  <c:v>881.25</c:v>
                </c:pt>
                <c:pt idx="1">
                  <c:v>2.5</c:v>
                </c:pt>
                <c:pt idx="2">
                  <c:v>275.53</c:v>
                </c:pt>
                <c:pt idx="3">
                  <c:v>39.32</c:v>
                </c:pt>
                <c:pt idx="4">
                  <c:v>71.91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eb6ba15-78f5-49f3-b8cb-9da87492139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289473684210526"/>
          <c:y val="0.34212962962963"/>
          <c:w val="0.942105263157895"/>
          <c:h val="0.604166666666667"/>
        </c:manualLayout>
      </c:layout>
      <c:pie3DChart>
        <c:varyColors val="1"/>
        <c:ser>
          <c:idx val="0"/>
          <c:order val="0"/>
          <c:spPr>
            <a:scene3d>
              <a:camera prst="orthographicFront"/>
              <a:lightRig rig="threePt" dir="t"/>
            </a:scene3d>
            <a:sp3d contourW="9525"/>
          </c:spPr>
          <c:explosion val="0"/>
          <c:dPt>
            <c:idx val="0"/>
            <c:bubble3D val="0"/>
            <c:spPr>
              <a:solidFill>
                <a:schemeClr val="accent1"/>
              </a:solidFill>
              <a:ln>
                <a:solidFill>
                  <a:schemeClr val="bg1"/>
                </a:solidFill>
              </a:ln>
              <a:effectLst/>
              <a:scene3d>
                <a:camera prst="orthographicFront"/>
                <a:lightRig rig="threePt" dir="t"/>
              </a:scene3d>
              <a:sp3d contourW="9525"/>
            </c:spPr>
          </c:dPt>
          <c:dPt>
            <c:idx val="1"/>
            <c:bubble3D val="0"/>
            <c:spPr>
              <a:solidFill>
                <a:schemeClr val="accent2"/>
              </a:solidFill>
              <a:ln>
                <a:solidFill>
                  <a:schemeClr val="bg1"/>
                </a:solidFill>
              </a:ln>
              <a:effectLst/>
              <a:scene3d>
                <a:camera prst="orthographicFront"/>
                <a:lightRig rig="threePt" dir="t"/>
              </a:scene3d>
              <a:sp3d contourW="9525"/>
            </c:spPr>
          </c:dPt>
          <c:dPt>
            <c:idx val="2"/>
            <c:bubble3D val="0"/>
            <c:spPr>
              <a:solidFill>
                <a:schemeClr val="accent3"/>
              </a:solidFill>
              <a:ln>
                <a:solidFill>
                  <a:schemeClr val="bg1"/>
                </a:solidFill>
              </a:ln>
              <a:effectLst/>
              <a:scene3d>
                <a:camera prst="orthographicFront"/>
                <a:lightRig rig="threePt" dir="t"/>
              </a:scene3d>
              <a:sp3d contourW="9525"/>
            </c:spPr>
          </c:dPt>
          <c:dLbls>
            <c:delete val="1"/>
          </c:dLbls>
          <c:cat>
            <c:strRef>
              <c:f>[草稿.xls]Sheet1!$B$456:$B$458</c:f>
              <c:strCache>
                <c:ptCount val="3"/>
                <c:pt idx="0">
                  <c:v>因公出国（境）费（万元）</c:v>
                </c:pt>
                <c:pt idx="1">
                  <c:v>公务用车购置及运行维护费（万元）</c:v>
                </c:pt>
                <c:pt idx="2">
                  <c:v>公务接待费（万元）</c:v>
                </c:pt>
              </c:strCache>
            </c:strRef>
          </c:cat>
          <c:val>
            <c:numRef>
              <c:f>[草稿.xls]Sheet1!$C$456:$C$458</c:f>
              <c:numCache>
                <c:formatCode>General</c:formatCode>
                <c:ptCount val="3"/>
                <c:pt idx="0">
                  <c:v>0</c:v>
                </c:pt>
                <c:pt idx="1">
                  <c:v>0</c:v>
                </c:pt>
                <c:pt idx="2">
                  <c:v>0</c:v>
                </c:pt>
              </c:numCache>
            </c:numRef>
          </c:val>
        </c:ser>
        <c:dLbls>
          <c:showLegendKey val="0"/>
          <c:showVal val="0"/>
          <c:showCatName val="0"/>
          <c:showSerName val="0"/>
          <c:showPercent val="0"/>
          <c:showBubbleSize val="0"/>
        </c:dLbls>
      </c:pie3D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787f46c-15a6-4dfe-979d-7a4837b9b5e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0.190973871733967</cdr:x>
      <cdr:y>0.506380929448591</cdr:y>
    </cdr:from>
    <cdr:to>
      <cdr:x>0.347743467933492</cdr:x>
      <cdr:y>0.597399470262461</cdr:y>
    </cdr:to>
    <cdr:sp>
      <cdr:nvSpPr>
        <cdr:cNvPr id="2" name="矩形 1"/>
        <cdr:cNvSpPr/>
      </cdr:nvSpPr>
      <cdr:spPr xmlns:a="http://schemas.openxmlformats.org/drawingml/2006/main">
        <a:xfrm xmlns:a="http://schemas.openxmlformats.org/drawingml/2006/main">
          <a:off x="765810" y="1335405"/>
          <a:ext cx="628650" cy="24003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900"/>
            <a:t>1171.92</a:t>
          </a:r>
          <a:endParaRPr lang="en-US" altLang="zh-CN" sz="900"/>
        </a:p>
      </cdr:txBody>
    </cdr:sp>
  </cdr:relSizeAnchor>
  <cdr:relSizeAnchor xmlns:cdr="http://schemas.openxmlformats.org/drawingml/2006/chartDrawing">
    <cdr:from>
      <cdr:x>0.338558986539984</cdr:x>
      <cdr:y>0.527811220804238</cdr:y>
    </cdr:from>
    <cdr:to>
      <cdr:x>0.49612034837688</cdr:x>
      <cdr:y>0.607271851673489</cdr:y>
    </cdr:to>
    <cdr:sp>
      <cdr:nvSpPr>
        <cdr:cNvPr id="3" name="矩形 2"/>
        <cdr:cNvSpPr/>
      </cdr:nvSpPr>
      <cdr:spPr xmlns:a="http://schemas.openxmlformats.org/drawingml/2006/main">
        <a:xfrm xmlns:a="http://schemas.openxmlformats.org/drawingml/2006/main">
          <a:off x="1357630" y="1391920"/>
          <a:ext cx="631825"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endParaRPr lang="zh-CN" altLang="en-US"/>
        </a:p>
      </cdr:txBody>
    </cdr:sp>
  </cdr:relSizeAnchor>
  <cdr:relSizeAnchor xmlns:cdr="http://schemas.openxmlformats.org/drawingml/2006/chartDrawing">
    <cdr:from>
      <cdr:x>0.323515439429929</cdr:x>
      <cdr:y>0.504936190705514</cdr:y>
    </cdr:from>
    <cdr:to>
      <cdr:x>0.481076801266825</cdr:x>
      <cdr:y>0.604382374187334</cdr:y>
    </cdr:to>
    <cdr:sp>
      <cdr:nvSpPr>
        <cdr:cNvPr id="4" name="矩形 3"/>
        <cdr:cNvSpPr/>
      </cdr:nvSpPr>
      <cdr:spPr xmlns:a="http://schemas.openxmlformats.org/drawingml/2006/main">
        <a:xfrm xmlns:a="http://schemas.openxmlformats.org/drawingml/2006/main">
          <a:off x="1297305" y="1331595"/>
          <a:ext cx="631825" cy="26225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900"/>
            <a:t>1171.92</a:t>
          </a:r>
          <a:endParaRPr lang="en-US" altLang="zh-CN" sz="900"/>
        </a:p>
      </cdr:txBody>
    </cdr:sp>
  </cdr:relSizeAnchor>
  <cdr:relSizeAnchor xmlns:cdr="http://schemas.openxmlformats.org/drawingml/2006/chartDrawing">
    <cdr:from>
      <cdr:x>0.619794140934283</cdr:x>
      <cdr:y>0.155068625090296</cdr:y>
    </cdr:from>
    <cdr:to>
      <cdr:x>0.773713380839272</cdr:x>
      <cdr:y>0.234529255959547</cdr:y>
    </cdr:to>
    <cdr:sp>
      <cdr:nvSpPr>
        <cdr:cNvPr id="5" name="矩形 4"/>
        <cdr:cNvSpPr/>
      </cdr:nvSpPr>
      <cdr:spPr xmlns:a="http://schemas.openxmlformats.org/drawingml/2006/main">
        <a:xfrm xmlns:a="http://schemas.openxmlformats.org/drawingml/2006/main">
          <a:off x="2485390" y="408940"/>
          <a:ext cx="617220"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900"/>
            <a:t>1270.51</a:t>
          </a:r>
          <a:endParaRPr lang="en-US" altLang="zh-CN" sz="900"/>
        </a:p>
      </cdr:txBody>
    </cdr:sp>
  </cdr:relSizeAnchor>
  <cdr:relSizeAnchor xmlns:cdr="http://schemas.openxmlformats.org/drawingml/2006/chartDrawing">
    <cdr:from>
      <cdr:x>0.739667458432304</cdr:x>
      <cdr:y>0.146881772212858</cdr:y>
    </cdr:from>
    <cdr:to>
      <cdr:x>0.885827395091053</cdr:x>
      <cdr:y>0.257645075848784</cdr:y>
    </cdr:to>
    <cdr:sp>
      <cdr:nvSpPr>
        <cdr:cNvPr id="6" name="矩形 5"/>
        <cdr:cNvSpPr/>
      </cdr:nvSpPr>
      <cdr:spPr xmlns:a="http://schemas.openxmlformats.org/drawingml/2006/main">
        <a:xfrm xmlns:a="http://schemas.openxmlformats.org/drawingml/2006/main">
          <a:off x="2966085" y="387350"/>
          <a:ext cx="586105" cy="29210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900"/>
            <a:t>1270.51</a:t>
          </a:r>
          <a:endParaRPr lang="en-US" altLang="zh-CN" sz="900"/>
        </a:p>
      </cdr:txBody>
    </cdr:sp>
  </cdr:relSizeAnchor>
</c:userShapes>
</file>

<file path=word/drawings/drawing2.xml><?xml version="1.0" encoding="utf-8"?>
<c:userShapes xmlns:c="http://schemas.openxmlformats.org/drawingml/2006/chart">
  <cdr:relSizeAnchor xmlns:cdr="http://schemas.openxmlformats.org/drawingml/2006/chartDrawing">
    <cdr:from>
      <cdr:x>0.453684210526316</cdr:x>
      <cdr:y>0.684259259259259</cdr:y>
    </cdr:from>
    <cdr:to>
      <cdr:x>0.617894736842105</cdr:x>
      <cdr:y>0.767592592592593</cdr:y>
    </cdr:to>
    <cdr:sp>
      <cdr:nvSpPr>
        <cdr:cNvPr id="2" name="矩形 1"/>
        <cdr:cNvSpPr/>
      </cdr:nvSpPr>
      <cdr:spPr xmlns:a="http://schemas.openxmlformats.org/drawingml/2006/main">
        <a:xfrm xmlns:a="http://schemas.openxmlformats.org/drawingml/2006/main">
          <a:off x="2189480" y="1877060"/>
          <a:ext cx="792480" cy="22860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a:t>1232.72</a:t>
          </a:r>
          <a:endParaRPr lang="en-US" altLang="zh-CN"/>
        </a:p>
      </cdr:txBody>
    </cdr:sp>
  </cdr:relSizeAnchor>
</c:userShapes>
</file>

<file path=word/drawings/drawing3.xml><?xml version="1.0" encoding="utf-8"?>
<c:userShapes xmlns:c="http://schemas.openxmlformats.org/drawingml/2006/chart">
  <cdr:relSizeAnchor xmlns:cdr="http://schemas.openxmlformats.org/drawingml/2006/chartDrawing">
    <cdr:from>
      <cdr:x>0.44</cdr:x>
      <cdr:y>0.626851851851852</cdr:y>
    </cdr:from>
    <cdr:to>
      <cdr:x>0.642105263157895</cdr:x>
      <cdr:y>0.75462962962963</cdr:y>
    </cdr:to>
    <cdr:sp>
      <cdr:nvSpPr>
        <cdr:cNvPr id="2" name="矩形 1"/>
        <cdr:cNvSpPr/>
      </cdr:nvSpPr>
      <cdr:spPr xmlns:a="http://schemas.openxmlformats.org/drawingml/2006/main">
        <a:xfrm xmlns:a="http://schemas.openxmlformats.org/drawingml/2006/main">
          <a:off x="2123440" y="1719580"/>
          <a:ext cx="975360" cy="35052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a:t>1196.03</a:t>
          </a:r>
          <a:endParaRPr lang="en-US" altLang="zh-CN"/>
        </a:p>
      </cdr:txBody>
    </cdr:sp>
  </cdr:relSizeAnchor>
  <cdr:relSizeAnchor xmlns:cdr="http://schemas.openxmlformats.org/drawingml/2006/chartDrawing">
    <cdr:from>
      <cdr:x>0.430526315789474</cdr:x>
      <cdr:y>0.187962962962963</cdr:y>
    </cdr:from>
    <cdr:to>
      <cdr:x>0.555131578947368</cdr:x>
      <cdr:y>0.286342592592593</cdr:y>
    </cdr:to>
    <cdr:sp>
      <cdr:nvSpPr>
        <cdr:cNvPr id="3" name="矩形 2"/>
        <cdr:cNvSpPr/>
      </cdr:nvSpPr>
      <cdr:spPr xmlns:a="http://schemas.openxmlformats.org/drawingml/2006/main">
        <a:xfrm xmlns:a="http://schemas.openxmlformats.org/drawingml/2006/main">
          <a:off x="2077720" y="515620"/>
          <a:ext cx="601345" cy="26987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900"/>
            <a:t>74.48</a:t>
          </a:r>
          <a:endParaRPr lang="en-US" altLang="zh-CN" sz="900"/>
        </a:p>
      </cdr:txBody>
    </cdr:sp>
  </cdr:relSizeAnchor>
</c:userShapes>
</file>

<file path=word/drawings/drawing4.xml><?xml version="1.0" encoding="utf-8"?>
<c:userShapes xmlns:c="http://schemas.openxmlformats.org/drawingml/2006/chart">
  <cdr:relSizeAnchor xmlns:cdr="http://schemas.openxmlformats.org/drawingml/2006/chartDrawing">
    <cdr:from>
      <cdr:x>0.171578947368421</cdr:x>
      <cdr:y>0.171990740740741</cdr:y>
    </cdr:from>
    <cdr:to>
      <cdr:x>0.307236842105263</cdr:x>
      <cdr:y>0.24837962962963</cdr:y>
    </cdr:to>
    <cdr:sp>
      <cdr:nvSpPr>
        <cdr:cNvPr id="2" name="矩形 1"/>
        <cdr:cNvSpPr/>
      </cdr:nvSpPr>
      <cdr:spPr xmlns:a="http://schemas.openxmlformats.org/drawingml/2006/main">
        <a:xfrm xmlns:a="http://schemas.openxmlformats.org/drawingml/2006/main">
          <a:off x="828040" y="471805"/>
          <a:ext cx="654685"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900"/>
            <a:t>1270.51</a:t>
          </a:r>
          <a:endParaRPr lang="en-US" altLang="zh-CN" sz="900"/>
        </a:p>
      </cdr:txBody>
    </cdr:sp>
  </cdr:relSizeAnchor>
  <cdr:relSizeAnchor xmlns:cdr="http://schemas.openxmlformats.org/drawingml/2006/chartDrawing">
    <cdr:from>
      <cdr:x>0.310526315789474</cdr:x>
      <cdr:y>0.174768518518519</cdr:y>
    </cdr:from>
    <cdr:to>
      <cdr:x>0.447631578947368</cdr:x>
      <cdr:y>0.265046296296296</cdr:y>
    </cdr:to>
    <cdr:sp>
      <cdr:nvSpPr>
        <cdr:cNvPr id="3" name="矩形 2"/>
        <cdr:cNvSpPr/>
      </cdr:nvSpPr>
      <cdr:spPr xmlns:a="http://schemas.openxmlformats.org/drawingml/2006/main">
        <a:xfrm xmlns:a="http://schemas.openxmlformats.org/drawingml/2006/main">
          <a:off x="1498600" y="479425"/>
          <a:ext cx="661670" cy="2476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900"/>
            <a:t>1270.51</a:t>
          </a:r>
          <a:endParaRPr lang="en-US" altLang="zh-CN" sz="900"/>
        </a:p>
      </cdr:txBody>
    </cdr:sp>
  </cdr:relSizeAnchor>
  <cdr:relSizeAnchor xmlns:cdr="http://schemas.openxmlformats.org/drawingml/2006/chartDrawing">
    <cdr:from>
      <cdr:x>0.610657894736842</cdr:x>
      <cdr:y>0.547222222222222</cdr:y>
    </cdr:from>
    <cdr:to>
      <cdr:x>0.752631578947368</cdr:x>
      <cdr:y>0.625</cdr:y>
    </cdr:to>
    <cdr:sp>
      <cdr:nvSpPr>
        <cdr:cNvPr id="4" name="矩形 3"/>
        <cdr:cNvSpPr/>
      </cdr:nvSpPr>
      <cdr:spPr xmlns:a="http://schemas.openxmlformats.org/drawingml/2006/main">
        <a:xfrm xmlns:a="http://schemas.openxmlformats.org/drawingml/2006/main">
          <a:off x="2947035" y="1501140"/>
          <a:ext cx="685165" cy="21336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900"/>
            <a:t>1171.92</a:t>
          </a:r>
          <a:endParaRPr lang="en-US" altLang="zh-CN" sz="900"/>
        </a:p>
      </cdr:txBody>
    </cdr:sp>
  </cdr:relSizeAnchor>
  <cdr:relSizeAnchor xmlns:cdr="http://schemas.openxmlformats.org/drawingml/2006/chartDrawing">
    <cdr:from>
      <cdr:x>0.746447368421053</cdr:x>
      <cdr:y>0.541898148148148</cdr:y>
    </cdr:from>
    <cdr:to>
      <cdr:x>0.894736842105263</cdr:x>
      <cdr:y>0.640277777777778</cdr:y>
    </cdr:to>
    <cdr:sp>
      <cdr:nvSpPr>
        <cdr:cNvPr id="5" name="矩形 4"/>
        <cdr:cNvSpPr/>
      </cdr:nvSpPr>
      <cdr:spPr xmlns:a="http://schemas.openxmlformats.org/drawingml/2006/main">
        <a:xfrm xmlns:a="http://schemas.openxmlformats.org/drawingml/2006/main">
          <a:off x="3602355" y="1486535"/>
          <a:ext cx="715645" cy="26987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900"/>
            <a:t>1171.92</a:t>
          </a:r>
          <a:endParaRPr lang="en-US" altLang="zh-CN" sz="900"/>
        </a:p>
      </cdr:txBody>
    </cdr:sp>
  </cdr:relSizeAnchor>
</c:userShapes>
</file>

<file path=word/drawings/drawing5.xml><?xml version="1.0" encoding="utf-8"?>
<c:userShapes xmlns:c="http://schemas.openxmlformats.org/drawingml/2006/chart">
  <cdr:relSizeAnchor xmlns:cdr="http://schemas.openxmlformats.org/drawingml/2006/chartDrawing">
    <cdr:from>
      <cdr:x>0.239473684210526</cdr:x>
      <cdr:y>0.144444444444444</cdr:y>
    </cdr:from>
    <cdr:to>
      <cdr:x>0.362631578947368</cdr:x>
      <cdr:y>0.220833333333333</cdr:y>
    </cdr:to>
    <cdr:sp>
      <cdr:nvSpPr>
        <cdr:cNvPr id="2" name="矩形 1"/>
        <cdr:cNvSpPr/>
      </cdr:nvSpPr>
      <cdr:spPr xmlns:a="http://schemas.openxmlformats.org/drawingml/2006/main">
        <a:xfrm xmlns:a="http://schemas.openxmlformats.org/drawingml/2006/main">
          <a:off x="1155700" y="396240"/>
          <a:ext cx="594360"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900"/>
            <a:t>1270.51</a:t>
          </a:r>
          <a:endParaRPr lang="en-US" altLang="zh-CN" sz="900"/>
        </a:p>
      </cdr:txBody>
    </cdr:sp>
  </cdr:relSizeAnchor>
  <cdr:relSizeAnchor xmlns:cdr="http://schemas.openxmlformats.org/drawingml/2006/chartDrawing">
    <cdr:from>
      <cdr:x>0.689473684210526</cdr:x>
      <cdr:y>0.497222222222222</cdr:y>
    </cdr:from>
    <cdr:to>
      <cdr:x>0.792105263157895</cdr:x>
      <cdr:y>0.575</cdr:y>
    </cdr:to>
    <cdr:sp>
      <cdr:nvSpPr>
        <cdr:cNvPr id="3" name="矩形 2"/>
        <cdr:cNvSpPr/>
      </cdr:nvSpPr>
      <cdr:spPr xmlns:a="http://schemas.openxmlformats.org/drawingml/2006/main">
        <a:xfrm xmlns:a="http://schemas.openxmlformats.org/drawingml/2006/main">
          <a:off x="3327400" y="1363980"/>
          <a:ext cx="495300" cy="21336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endParaRPr lang="zh-CN" altLang="en-US"/>
        </a:p>
      </cdr:txBody>
    </cdr:sp>
  </cdr:relSizeAnchor>
  <cdr:relSizeAnchor xmlns:cdr="http://schemas.openxmlformats.org/drawingml/2006/chartDrawing">
    <cdr:from>
      <cdr:x>0.670526315789474</cdr:x>
      <cdr:y>0.497222222222222</cdr:y>
    </cdr:from>
    <cdr:to>
      <cdr:x>0.78578947368421</cdr:x>
      <cdr:y>0.597222222222222</cdr:y>
    </cdr:to>
    <cdr:sp>
      <cdr:nvSpPr>
        <cdr:cNvPr id="4" name="矩形 3"/>
        <cdr:cNvSpPr/>
      </cdr:nvSpPr>
      <cdr:spPr xmlns:a="http://schemas.openxmlformats.org/drawingml/2006/main">
        <a:xfrm xmlns:a="http://schemas.openxmlformats.org/drawingml/2006/main">
          <a:off x="3235960" y="1363980"/>
          <a:ext cx="556260" cy="27432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endParaRPr lang="zh-CN" altLang="en-US"/>
        </a:p>
      </cdr:txBody>
    </cdr:sp>
  </cdr:relSizeAnchor>
  <cdr:relSizeAnchor xmlns:cdr="http://schemas.openxmlformats.org/drawingml/2006/chartDrawing">
    <cdr:from>
      <cdr:x>0.684736842105263</cdr:x>
      <cdr:y>0.525</cdr:y>
    </cdr:from>
    <cdr:to>
      <cdr:x>0.852105263157895</cdr:x>
      <cdr:y>0.601388888888889</cdr:y>
    </cdr:to>
    <cdr:sp>
      <cdr:nvSpPr>
        <cdr:cNvPr id="5" name="矩形 4"/>
        <cdr:cNvSpPr/>
      </cdr:nvSpPr>
      <cdr:spPr xmlns:a="http://schemas.openxmlformats.org/drawingml/2006/main">
        <a:xfrm xmlns:a="http://schemas.openxmlformats.org/drawingml/2006/main">
          <a:off x="3304540" y="1440180"/>
          <a:ext cx="807720"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900"/>
            <a:t>1171.92</a:t>
          </a:r>
          <a:endParaRPr lang="en-US" altLang="zh-CN" sz="900"/>
        </a:p>
      </cdr:txBody>
    </cdr:sp>
  </cdr:relSizeAnchor>
</c:userShapes>
</file>

<file path=word/drawings/drawing6.xml><?xml version="1.0" encoding="utf-8"?>
<c:userShapes xmlns:c="http://schemas.openxmlformats.org/drawingml/2006/chart">
  <cdr:relSizeAnchor xmlns:cdr="http://schemas.openxmlformats.org/drawingml/2006/chartDrawing">
    <cdr:from>
      <cdr:x>0.414736842105263</cdr:x>
      <cdr:y>0.802777777777778</cdr:y>
    </cdr:from>
    <cdr:to>
      <cdr:x>0.569473684210526</cdr:x>
      <cdr:y>0.891666666666667</cdr:y>
    </cdr:to>
    <cdr:sp>
      <cdr:nvSpPr>
        <cdr:cNvPr id="2" name="矩形 1"/>
        <cdr:cNvSpPr/>
      </cdr:nvSpPr>
      <cdr:spPr xmlns:a="http://schemas.openxmlformats.org/drawingml/2006/main">
        <a:xfrm xmlns:a="http://schemas.openxmlformats.org/drawingml/2006/main">
          <a:off x="2001520" y="2202180"/>
          <a:ext cx="746760" cy="24384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900"/>
            <a:t>881.25</a:t>
          </a:r>
          <a:endParaRPr lang="en-US" altLang="zh-CN" sz="900"/>
        </a:p>
      </cdr:txBody>
    </cdr:sp>
  </cdr:relSizeAnchor>
  <cdr:relSizeAnchor xmlns:cdr="http://schemas.openxmlformats.org/drawingml/2006/chartDrawing">
    <cdr:from>
      <cdr:x>0.356315789473684</cdr:x>
      <cdr:y>0.602777777777778</cdr:y>
    </cdr:from>
    <cdr:to>
      <cdr:x>0.465263157894737</cdr:x>
      <cdr:y>0.705555555555556</cdr:y>
    </cdr:to>
    <cdr:sp>
      <cdr:nvSpPr>
        <cdr:cNvPr id="3" name="矩形 2"/>
        <cdr:cNvSpPr/>
      </cdr:nvSpPr>
      <cdr:spPr xmlns:a="http://schemas.openxmlformats.org/drawingml/2006/main">
        <a:xfrm xmlns:a="http://schemas.openxmlformats.org/drawingml/2006/main">
          <a:off x="1719580" y="1653540"/>
          <a:ext cx="525780" cy="28194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900"/>
            <a:t>275.53</a:t>
          </a:r>
          <a:endParaRPr lang="en-US" altLang="zh-CN" sz="900"/>
        </a:p>
      </cdr:txBody>
    </cdr:sp>
  </cdr:relSizeAnchor>
  <cdr:relSizeAnchor xmlns:cdr="http://schemas.openxmlformats.org/drawingml/2006/chartDrawing">
    <cdr:from>
      <cdr:x>0.438421052631579</cdr:x>
      <cdr:y>0.416666666666667</cdr:y>
    </cdr:from>
    <cdr:to>
      <cdr:x>0.537894736842105</cdr:x>
      <cdr:y>0.513888888888889</cdr:y>
    </cdr:to>
    <cdr:sp>
      <cdr:nvSpPr>
        <cdr:cNvPr id="4" name="矩形 3"/>
        <cdr:cNvSpPr/>
      </cdr:nvSpPr>
      <cdr:spPr xmlns:a="http://schemas.openxmlformats.org/drawingml/2006/main">
        <a:xfrm xmlns:a="http://schemas.openxmlformats.org/drawingml/2006/main">
          <a:off x="2115820" y="1143000"/>
          <a:ext cx="480060" cy="26670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900"/>
            <a:t>71.91</a:t>
          </a:r>
          <a:endParaRPr lang="en-US" altLang="zh-CN" sz="900"/>
        </a:p>
      </cdr:txBody>
    </cdr:sp>
  </cdr:relSizeAnchor>
  <cdr:relSizeAnchor xmlns:cdr="http://schemas.openxmlformats.org/drawingml/2006/chartDrawing">
    <cdr:from>
      <cdr:x>0.375263157894737</cdr:x>
      <cdr:y>0.394212962962963</cdr:y>
    </cdr:from>
    <cdr:to>
      <cdr:x>0.493684210526316</cdr:x>
      <cdr:y>0.484722222222222</cdr:y>
    </cdr:to>
    <cdr:sp>
      <cdr:nvSpPr>
        <cdr:cNvPr id="5" name="矩形 4"/>
        <cdr:cNvSpPr/>
      </cdr:nvSpPr>
      <cdr:spPr xmlns:a="http://schemas.openxmlformats.org/drawingml/2006/main">
        <a:xfrm xmlns:a="http://schemas.openxmlformats.org/drawingml/2006/main">
          <a:off x="1811020" y="1081405"/>
          <a:ext cx="571500" cy="24828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900"/>
            <a:t>39.32</a:t>
          </a:r>
          <a:endParaRPr lang="en-US" altLang="zh-CN" sz="900"/>
        </a:p>
      </cdr:txBody>
    </cdr:sp>
  </cdr:relSizeAnchor>
  <cdr:relSizeAnchor xmlns:cdr="http://schemas.openxmlformats.org/drawingml/2006/chartDrawing">
    <cdr:from>
      <cdr:x>0.267631578947368</cdr:x>
      <cdr:y>0.678240740740741</cdr:y>
    </cdr:from>
    <cdr:to>
      <cdr:x>0.372105263157895</cdr:x>
      <cdr:y>0.843055555555556</cdr:y>
    </cdr:to>
    <cdr:sp>
      <cdr:nvSpPr>
        <cdr:cNvPr id="6" name="矩形 5"/>
        <cdr:cNvSpPr/>
      </cdr:nvSpPr>
      <cdr:spPr xmlns:a="http://schemas.openxmlformats.org/drawingml/2006/main">
        <a:xfrm xmlns:a="http://schemas.openxmlformats.org/drawingml/2006/main">
          <a:off x="1291590" y="1860550"/>
          <a:ext cx="504190" cy="45212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en-US" altLang="zh-CN" sz="900"/>
            <a:t>2.5</a:t>
          </a:r>
          <a:endParaRPr lang="en-US" altLang="zh-CN"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26</Pages>
  <Words>4603</Words>
  <Characters>5171</Characters>
  <Lines>42</Lines>
  <Paragraphs>11</Paragraphs>
  <TotalTime>1</TotalTime>
  <ScaleCrop>false</ScaleCrop>
  <LinksUpToDate>false</LinksUpToDate>
  <CharactersWithSpaces>5290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2024-10-12T07:21:00Z</dcterms:created>
  <dc:creator>曹颖</dc:creator>
  <cp:lastModifiedBy>。。</cp:lastModifiedBy>
  <cp:lastPrinted>2023-08-03T02:35:00Z</cp:lastPrinted>
  <dcterms:modified xsi:type="dcterms:W3CDTF">2024-10-25T08:11:20Z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1081A7577DED4E65B74FA568438E26F3_13</vt:lpwstr>
  </property>
</Properties>
</file>