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475"/>
      <w:bookmarkStart w:id="3" w:name="_Toc15377425"/>
      <w:bookmarkStart w:id="4" w:name="_Toc15378441"/>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color w:val="auto"/>
          <w:sz w:val="72"/>
          <w:szCs w:val="72"/>
          <w:highlight w:val="none"/>
          <w:lang w:eastAsia="zh-CN"/>
        </w:rPr>
        <w:t>大竹县</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综合行政执法局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sz w:val="24"/>
          <w:lang w:val="en-US" w:eastAsia="zh-CN"/>
        </w:rPr>
        <w:t>....................................................................................................4</w:t>
      </w:r>
    </w:p>
    <w:p>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sz w:val="24"/>
          <w:lang w:val="en-US" w:eastAsia="zh-CN"/>
        </w:rPr>
        <w:t>.......................................................................4</w:t>
      </w:r>
    </w:p>
    <w:p>
      <w:pPr>
        <w:pStyle w:val="11"/>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sz w:val="24"/>
          <w:lang w:val="en-US" w:eastAsia="zh-CN"/>
        </w:rPr>
        <w:t>....................................................................7</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sz w:val="24"/>
          <w:lang w:val="en-US" w:eastAsia="zh-CN"/>
        </w:rPr>
        <w:t>....................................................................................7</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sz w:val="24"/>
          <w:lang w:val="en-US" w:eastAsia="zh-CN"/>
        </w:rPr>
        <w:t>....................................................................................8</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sz w:val="24"/>
          <w:lang w:val="en-US" w:eastAsia="zh-CN"/>
        </w:rPr>
        <w:t>....................................................9</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sz w:val="24"/>
          <w:lang w:val="en-US" w:eastAsia="zh-CN"/>
        </w:rPr>
        <w:t>............................................9</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sz w:val="24"/>
          <w:lang w:val="en-US" w:eastAsia="zh-CN"/>
        </w:rPr>
        <w:t>...................................12</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sz w:val="24"/>
          <w:lang w:val="en-US" w:eastAsia="zh-CN"/>
        </w:rPr>
        <w:t>...........................................</w:t>
      </w:r>
      <w:bookmarkStart w:id="67" w:name="_GoBack"/>
      <w:bookmarkEnd w:id="67"/>
      <w:r>
        <w:rPr>
          <w:rFonts w:hint="eastAsia"/>
          <w:sz w:val="24"/>
          <w:lang w:val="en-US" w:eastAsia="zh-CN"/>
        </w:rPr>
        <w:t>13</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sz w:val="24"/>
          <w:lang w:val="en-US" w:eastAsia="zh-CN"/>
        </w:rPr>
        <w:t>.......................................................15</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sz w:val="24"/>
          <w:lang w:val="en-US" w:eastAsia="zh-CN"/>
        </w:rPr>
        <w:t>...................................................15</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sz w:val="24"/>
          <w:lang w:val="en-US" w:eastAsia="zh-CN"/>
        </w:rPr>
        <w:t>.......................................................................15</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sz w:val="24"/>
          <w:lang w:val="en-US" w:eastAsia="zh-CN"/>
        </w:rPr>
        <w:t>................................................19</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sz w:val="24"/>
          <w:lang w:val="en-US" w:eastAsia="zh-CN"/>
        </w:rPr>
        <w:t>....................................................22</w:t>
      </w:r>
    </w:p>
    <w:p>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八、一般公共预算财政拨款基本支出决算表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十、一般公共预算财政拨款“三公”经费支出决算表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十一、政府性基金预算财政拨款收入支出决算表</w:t>
      </w:r>
      <w:r>
        <w:rPr>
          <w:rFonts w:hint="eastAsia"/>
          <w:sz w:val="24"/>
          <w:lang w:val="en-US" w:eastAsia="zh-CN"/>
        </w:rPr>
        <w:t>.....................................42</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.....................42</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sz w:val="24"/>
          <w:lang w:val="en-US" w:eastAsia="zh-CN"/>
        </w:rPr>
        <w:t>.................................42</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rPr>
          <w:rFonts w:hint="eastAsia"/>
          <w:sz w:val="24"/>
          <w:lang w:val="en-US" w:eastAsia="zh-CN"/>
        </w:rPr>
        <w:t>.........................................42</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0"/>
        </w:numPr>
        <w:rPr>
          <w:rStyle w:val="27"/>
          <w:rFonts w:hint="eastAsia" w:ascii="黑体" w:hAnsi="黑体" w:eastAsia="黑体"/>
          <w:b w:val="0"/>
          <w:bCs w:val="0"/>
          <w:color w:val="000000" w:themeColor="text1"/>
          <w:highlight w:val="none"/>
          <w:lang w:eastAsia="zh-CN"/>
          <w14:textFill>
            <w14:solidFill>
              <w14:schemeClr w14:val="tx1"/>
            </w14:solidFill>
          </w14:textFill>
        </w:rPr>
      </w:pPr>
      <w:bookmarkStart w:id="14" w:name="_Toc15396600"/>
      <w:bookmarkStart w:id="15" w:name="_Toc15377197"/>
      <w:r>
        <w:rPr>
          <w:rStyle w:val="27"/>
          <w:rFonts w:hint="eastAsia" w:ascii="黑体" w:hAnsi="黑体" w:eastAsia="黑体"/>
          <w:b w:val="0"/>
          <w:bCs w:val="0"/>
          <w:color w:val="000000" w:themeColor="text1"/>
          <w:highlight w:val="none"/>
          <w:lang w:eastAsia="zh-CN"/>
          <w14:textFill>
            <w14:solidFill>
              <w14:schemeClr w14:val="tx1"/>
            </w14:solidFill>
          </w14:textFill>
        </w:rPr>
        <w:t>一、</w:t>
      </w:r>
      <w:r>
        <w:rPr>
          <w:rStyle w:val="27"/>
          <w:rFonts w:hint="eastAsia" w:ascii="黑体" w:hAnsi="黑体" w:eastAsia="黑体"/>
          <w:b w:val="0"/>
          <w:bCs w:val="0"/>
          <w:color w:val="000000" w:themeColor="text1"/>
          <w:highlight w:val="none"/>
          <w14:textFill>
            <w14:solidFill>
              <w14:schemeClr w14:val="tx1"/>
            </w14:solidFill>
          </w14:textFill>
        </w:rPr>
        <w:t>职能</w:t>
      </w:r>
      <w:r>
        <w:rPr>
          <w:rStyle w:val="27"/>
          <w:rFonts w:hint="eastAsia" w:ascii="黑体" w:hAnsi="黑体" w:eastAsia="黑体"/>
          <w:b w:val="0"/>
          <w:bCs w:val="0"/>
          <w:color w:val="000000" w:themeColor="text1"/>
          <w:highlight w:val="none"/>
          <w:lang w:eastAsia="zh-CN"/>
          <w14:textFill>
            <w14:solidFill>
              <w14:schemeClr w14:val="tx1"/>
            </w14:solidFill>
          </w14:textFill>
        </w:rPr>
        <w:t>简介</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大竹县</w:t>
      </w:r>
      <w:r>
        <w:rPr>
          <w:rFonts w:hint="eastAsia" w:ascii="仿宋" w:hAnsi="仿宋" w:eastAsia="仿宋"/>
          <w:sz w:val="32"/>
          <w:szCs w:val="32"/>
          <w:lang w:eastAsia="zh-CN"/>
        </w:rPr>
        <w:t>综合</w:t>
      </w:r>
      <w:r>
        <w:rPr>
          <w:rFonts w:hint="eastAsia" w:ascii="仿宋" w:hAnsi="仿宋" w:eastAsia="仿宋"/>
          <w:sz w:val="32"/>
          <w:szCs w:val="32"/>
        </w:rPr>
        <w:t>行政执法局</w:t>
      </w:r>
      <w:r>
        <w:rPr>
          <w:rFonts w:hint="eastAsia" w:ascii="仿宋_GB2312" w:eastAsia="仿宋_GB2312"/>
          <w:sz w:val="32"/>
          <w:szCs w:val="32"/>
        </w:rPr>
        <w:t>主要行使城市市容环境卫生管理职能；行使市容环境卫生、市政管理、园林绿化方面法律法规规定的行政处罚权；行使环境保护、市场监督管理、公安交通管理、水务管理方面法律法规规章规定的部分行政处罚权。</w:t>
      </w:r>
    </w:p>
    <w:p>
      <w:pPr>
        <w:pStyle w:val="4"/>
        <w:numPr>
          <w:ilvl w:val="0"/>
          <w:numId w:val="0"/>
        </w:numPr>
        <w:rPr>
          <w:rFonts w:hint="eastAsia" w:ascii="黑体" w:hAnsi="黑体" w:eastAsia="黑体"/>
          <w:b w:val="0"/>
          <w:color w:val="000000" w:themeColor="text1"/>
          <w:highlight w:val="none"/>
          <w:lang w:eastAsia="zh-CN"/>
          <w14:textFill>
            <w14:solidFill>
              <w14:schemeClr w14:val="tx1"/>
            </w14:solidFill>
          </w14:textFill>
        </w:rPr>
      </w:pPr>
      <w:r>
        <w:rPr>
          <w:rFonts w:hint="eastAsia" w:ascii="黑体" w:hAnsi="黑体" w:eastAsia="黑体"/>
          <w:b w:val="0"/>
          <w:color w:val="000000" w:themeColor="text1"/>
          <w:highlight w:val="none"/>
          <w:lang w:val="en-US" w:eastAsia="zh-CN"/>
          <w14:textFill>
            <w14:solidFill>
              <w14:schemeClr w14:val="tx1"/>
            </w14:solidFill>
          </w14:textFill>
        </w:rPr>
        <w:t>二、2021年重点</w:t>
      </w:r>
      <w:r>
        <w:rPr>
          <w:rFonts w:hint="eastAsia" w:ascii="黑体" w:hAnsi="黑体" w:eastAsia="黑体"/>
          <w:b w:val="0"/>
          <w:color w:val="000000" w:themeColor="text1"/>
          <w:highlight w:val="none"/>
          <w14:textFill>
            <w14:solidFill>
              <w14:schemeClr w14:val="tx1"/>
            </w14:solidFill>
          </w14:textFill>
        </w:rPr>
        <w:t>工作</w:t>
      </w:r>
      <w:bookmarkEnd w:id="14"/>
      <w:bookmarkEnd w:id="15"/>
      <w:r>
        <w:rPr>
          <w:rFonts w:hint="eastAsia" w:ascii="黑体" w:hAnsi="黑体" w:eastAsia="黑体"/>
          <w:b w:val="0"/>
          <w:color w:val="000000" w:themeColor="text1"/>
          <w:highlight w:val="none"/>
          <w:lang w:eastAsia="zh-CN"/>
          <w14:textFill>
            <w14:solidFill>
              <w14:schemeClr w14:val="tx1"/>
            </w14:solidFill>
          </w14:textFill>
        </w:rPr>
        <w:t>完成情况</w:t>
      </w:r>
    </w:p>
    <w:p>
      <w:pPr>
        <w:keepNext w:val="0"/>
        <w:keepLines w:val="0"/>
        <w:pageBreakBefore w:val="0"/>
        <w:widowControl w:val="0"/>
        <w:numPr>
          <w:ilvl w:val="0"/>
          <w:numId w:val="0"/>
        </w:numPr>
        <w:kinsoku/>
        <w:wordWrap/>
        <w:overflowPunct/>
        <w:topLinePunct w:val="0"/>
        <w:autoSpaceDE w:val="0"/>
        <w:autoSpaceDN/>
        <w:bidi w:val="0"/>
        <w:adjustRightInd/>
        <w:snapToGrid/>
        <w:spacing w:line="578"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eastAsia" w:ascii="楷体" w:hAnsi="楷体" w:eastAsia="楷体"/>
          <w:sz w:val="32"/>
          <w:szCs w:val="32"/>
        </w:rPr>
        <w:t>（一）坚持精管善治，管理突出精度。</w:t>
      </w:r>
      <w:r>
        <w:rPr>
          <w:rFonts w:hint="eastAsia" w:ascii="Times New Roman" w:hAnsi="Times New Roman" w:eastAsia="仿宋" w:cs="Times New Roman"/>
          <w:color w:val="000000"/>
          <w:sz w:val="32"/>
          <w:szCs w:val="32"/>
          <w:lang w:val="en-US" w:eastAsia="zh-CN"/>
        </w:rPr>
        <w:t>围绕全国文明城市创建测评体系，秉持</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常态最佳</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的理念，以</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每天归零</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的精神状态，聚力整治</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城市管理不精细</w:t>
      </w:r>
      <w:r>
        <w:rPr>
          <w:rFonts w:hint="default" w:ascii="Times New Roman" w:hAnsi="Times New Roman" w:eastAsia="仿宋" w:cs="Times New Roman"/>
          <w:color w:val="000000"/>
          <w:sz w:val="32"/>
          <w:szCs w:val="32"/>
          <w:lang w:val="en-US" w:eastAsia="zh-CN"/>
        </w:rPr>
        <w:t>”</w:t>
      </w:r>
      <w:r>
        <w:rPr>
          <w:rFonts w:hint="eastAsia" w:ascii="Times New Roman" w:hAnsi="Times New Roman" w:eastAsia="仿宋" w:cs="Times New Roman"/>
          <w:color w:val="000000"/>
          <w:sz w:val="32"/>
          <w:szCs w:val="32"/>
          <w:lang w:val="en-US" w:eastAsia="zh-CN"/>
        </w:rPr>
        <w:t>问题。对农贸市场、小街小巷、校园周边、城郊结合部等重点区域，整合现有的人员力量，打破日常工作制，采取联合执法、延时管理、错峰作业、定点值守的方式，因地制宜、分类施治，拆除破损广告300余处，清除“牛皮癣”80000余张、占道杂物石墩600余处，规范骑门摊点8000余个，取缔流动摊点</w:t>
      </w:r>
      <w:r>
        <w:rPr>
          <w:rFonts w:hint="default" w:ascii="Times New Roman" w:hAnsi="Times New Roman" w:eastAsia="仿宋" w:cs="Times New Roman"/>
          <w:color w:val="000000"/>
          <w:sz w:val="32"/>
          <w:szCs w:val="32"/>
          <w:lang w:val="en-US" w:eastAsia="zh-CN"/>
        </w:rPr>
        <w:t>7000</w:t>
      </w:r>
      <w:r>
        <w:rPr>
          <w:rFonts w:hint="eastAsia" w:ascii="Times New Roman" w:hAnsi="Times New Roman" w:eastAsia="仿宋" w:cs="Times New Roman"/>
          <w:color w:val="000000"/>
          <w:sz w:val="32"/>
          <w:szCs w:val="32"/>
          <w:lang w:val="en-US" w:eastAsia="zh-CN"/>
        </w:rPr>
        <w:t>余个。建立环卫分区作业标准，提高机械作业频次，实行延时错峰作业，规范环卫设施摆放，清除卫生死角，主次干道每天冲洗2次、机扫3次，背街小巷每周冲洗2次，清除卫生死角500余处，市容环境卫生质量大幅提升。</w:t>
      </w:r>
    </w:p>
    <w:p>
      <w:pPr>
        <w:keepNext w:val="0"/>
        <w:keepLines w:val="0"/>
        <w:pageBreakBefore w:val="0"/>
        <w:widowControl w:val="0"/>
        <w:kinsoku/>
        <w:wordWrap/>
        <w:overflowPunct/>
        <w:topLinePunct w:val="0"/>
        <w:autoSpaceDE w:val="0"/>
        <w:autoSpaceDN/>
        <w:bidi w:val="0"/>
        <w:adjustRightInd/>
        <w:snapToGrid/>
        <w:spacing w:line="578" w:lineRule="exact"/>
        <w:ind w:firstLine="640" w:firstLineChars="200"/>
        <w:jc w:val="left"/>
        <w:textAlignment w:val="auto"/>
        <w:rPr>
          <w:rFonts w:hint="eastAsia" w:ascii="Times New Roman" w:hAnsi="Times New Roman" w:eastAsia="仿宋" w:cs="Times New Roman"/>
          <w:color w:val="000000"/>
          <w:sz w:val="32"/>
          <w:szCs w:val="32"/>
          <w:lang w:val="en-US" w:eastAsia="zh-CN"/>
        </w:rPr>
      </w:pPr>
      <w:r>
        <w:rPr>
          <w:rFonts w:hint="eastAsia" w:ascii="楷体_GB2312" w:eastAsia="楷体_GB2312"/>
          <w:bCs/>
          <w:sz w:val="32"/>
          <w:szCs w:val="32"/>
        </w:rPr>
        <w:t>（二）坚持民生为本，服务彰显热度。</w:t>
      </w:r>
      <w:r>
        <w:rPr>
          <w:rFonts w:hint="eastAsia" w:ascii="Times New Roman" w:hAnsi="Times New Roman" w:eastAsia="仿宋" w:cs="Times New Roman"/>
          <w:color w:val="000000"/>
          <w:sz w:val="32"/>
          <w:szCs w:val="32"/>
          <w:lang w:val="en-US" w:eastAsia="zh-CN"/>
        </w:rPr>
        <w:t>坚持“疏堵结合，管服并举”理念，大力推行“划片分级延时错峰”为主的精细化管理模式和“步行看市容，一线看管理”的“一线工作法”，创新开展“城管与商户共建、党员服务在一线”活动，密切联系群众，回应群众关切。聚焦城市管理热点问题，大力实施游摊“安家”、小广告定点、非机动车归位、垃圾进箱、公厕革命等“五大”工程，设置便民摊区20处、小广告张贴栏36处、非机动车停放区800余处、垃圾分类桶580余组，改造升级公厕2座、改造旱厕2座，编制《大竹县城市规划区户外广告、店招店牌专项设置规划》等，完善城市配套功能。</w:t>
      </w:r>
    </w:p>
    <w:p>
      <w:pPr>
        <w:keepNext w:val="0"/>
        <w:keepLines w:val="0"/>
        <w:pageBreakBefore w:val="0"/>
        <w:widowControl w:val="0"/>
        <w:kinsoku/>
        <w:wordWrap/>
        <w:overflowPunct/>
        <w:topLinePunct w:val="0"/>
        <w:autoSpaceDE w:val="0"/>
        <w:autoSpaceDN/>
        <w:bidi w:val="0"/>
        <w:adjustRightInd/>
        <w:snapToGrid/>
        <w:spacing w:line="578" w:lineRule="exact"/>
        <w:ind w:firstLine="640" w:firstLineChars="200"/>
        <w:jc w:val="left"/>
        <w:textAlignment w:val="auto"/>
        <w:rPr>
          <w:rFonts w:hint="eastAsia" w:ascii="Times New Roman" w:hAnsi="Times New Roman" w:eastAsia="仿宋" w:cs="Times New Roman"/>
          <w:color w:val="000000"/>
          <w:sz w:val="32"/>
          <w:szCs w:val="32"/>
          <w:lang w:val="en-US" w:eastAsia="zh-CN"/>
        </w:rPr>
      </w:pPr>
      <w:r>
        <w:rPr>
          <w:rFonts w:hint="eastAsia" w:ascii="楷体_GB2312" w:eastAsia="楷体_GB2312"/>
          <w:bCs/>
          <w:sz w:val="32"/>
          <w:szCs w:val="32"/>
        </w:rPr>
        <w:t>（三）</w:t>
      </w:r>
      <w:r>
        <w:rPr>
          <w:rFonts w:hint="eastAsia" w:ascii="楷体" w:hAnsi="楷体" w:eastAsia="楷体" w:cs="楷体_GB2312"/>
          <w:bCs/>
          <w:sz w:val="32"/>
          <w:szCs w:val="32"/>
        </w:rPr>
        <w:t>坚持审慎包容，执法带着温度。</w:t>
      </w:r>
      <w:r>
        <w:rPr>
          <w:rFonts w:hint="eastAsia" w:ascii="Times New Roman" w:hAnsi="Times New Roman" w:eastAsia="仿宋" w:cs="Times New Roman"/>
          <w:color w:val="000000"/>
          <w:sz w:val="32"/>
          <w:szCs w:val="32"/>
          <w:lang w:val="en-US" w:eastAsia="zh-CN"/>
        </w:rPr>
        <w:t>认真践行“721”工作法，坚持“先服务、再管理、后执法”，实行一次教育劝导、二次责令改正、三次依法处罚的渐进式执法方式，减少执法纠纷。对群众关心的焦点问题和生态环保、民生关联度高的扬尘、噪声污染等敏感问题，我们与生态环境、交警、交通等部门常态联合执法，提升执法效能。一年来，实施行政处罚378件，罚款306940元，案件数同比增长135%，罚款金额同比增长306%，无一件行政复议和行政诉讼案件。</w:t>
      </w:r>
    </w:p>
    <w:p>
      <w:pPr>
        <w:keepNext w:val="0"/>
        <w:keepLines w:val="0"/>
        <w:pageBreakBefore w:val="0"/>
        <w:widowControl w:val="0"/>
        <w:kinsoku/>
        <w:wordWrap/>
        <w:overflowPunct/>
        <w:topLinePunct w:val="0"/>
        <w:autoSpaceDE w:val="0"/>
        <w:autoSpaceDN/>
        <w:bidi w:val="0"/>
        <w:adjustRightInd/>
        <w:snapToGrid/>
        <w:spacing w:line="578" w:lineRule="exact"/>
        <w:ind w:firstLine="640" w:firstLineChars="200"/>
        <w:textAlignment w:val="auto"/>
        <w:rPr>
          <w:rFonts w:hint="eastAsia" w:ascii="Times New Roman" w:hAnsi="Times New Roman" w:eastAsia="仿宋" w:cs="Times New Roman"/>
          <w:color w:val="000000"/>
          <w:sz w:val="32"/>
          <w:szCs w:val="32"/>
          <w:lang w:val="en-US" w:eastAsia="zh-CN"/>
        </w:rPr>
      </w:pPr>
      <w:r>
        <w:rPr>
          <w:rFonts w:hint="eastAsia" w:ascii="楷体_GB2312" w:eastAsia="楷体_GB2312"/>
          <w:bCs/>
          <w:sz w:val="32"/>
          <w:szCs w:val="32"/>
          <w:lang w:eastAsia="zh-CN"/>
        </w:rPr>
        <w:t>（</w:t>
      </w:r>
      <w:r>
        <w:rPr>
          <w:rFonts w:hint="eastAsia" w:ascii="楷体_GB2312" w:eastAsia="楷体_GB2312"/>
          <w:bCs/>
          <w:sz w:val="32"/>
          <w:szCs w:val="32"/>
          <w:lang w:val="en-US" w:eastAsia="zh-CN"/>
        </w:rPr>
        <w:t>四</w:t>
      </w:r>
      <w:r>
        <w:rPr>
          <w:rFonts w:hint="eastAsia" w:ascii="楷体_GB2312" w:eastAsia="楷体_GB2312"/>
          <w:bCs/>
          <w:sz w:val="32"/>
          <w:szCs w:val="32"/>
          <w:lang w:eastAsia="zh-CN"/>
        </w:rPr>
        <w:t>）</w:t>
      </w:r>
      <w:r>
        <w:rPr>
          <w:rFonts w:hint="eastAsia" w:ascii="楷体_GB2312" w:eastAsia="楷体_GB2312"/>
          <w:bCs/>
          <w:sz w:val="32"/>
          <w:szCs w:val="32"/>
        </w:rPr>
        <w:t>坚持生态优先，发展立足高度。</w:t>
      </w:r>
      <w:r>
        <w:rPr>
          <w:rFonts w:hint="eastAsia" w:ascii="Times New Roman" w:hAnsi="Times New Roman" w:eastAsia="仿宋" w:cs="Times New Roman"/>
          <w:color w:val="000000"/>
          <w:sz w:val="32"/>
          <w:szCs w:val="32"/>
          <w:lang w:val="en-US" w:eastAsia="zh-CN"/>
        </w:rPr>
        <w:t>践行绿色发展理念，围绕生态宜居目标，通过常态管理、铁腕治理、执法处理等方式加大环境污染防治力度，提升人居环境质量。严管广场舞、歌厅、建筑施工等噪声源，城区KTV、建筑工地和10个主要广场全部安装噪声自动检测系统，控噪降噪效果良好。强化大气污染防治，建设脏车入城清洗站2个、设置脏车入城劝导岗2个、扬尘治理检查点2个，重污染预警天气，增设脏车入城临时冲洗点1个，设置腌腊制品集中熏制（烘干）点3个，与交通、交警等部门常态联合执法，检查运输车辆3600余辆次，劝导入城脏车860余辆次，严禁“五烧”现象1200余次，巡查餐饮油烟800余次。规范生活垃圾收运处置，大竹—渠县垃圾焚烧发电厂建成使用，新建垃圾压缩中转站21个，城乡生活垃圾收运处置体系实现全覆盖。加快推进环保基础设施建设，厨余垃圾、建筑垃圾、大件垃圾处置设施建设项目，正在进行选址、立项等前期筹备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 w:hAnsi="仿宋" w:eastAsia="仿宋" w:cs="Times New Roman"/>
          <w:bCs/>
          <w:sz w:val="32"/>
          <w:szCs w:val="32"/>
          <w:lang w:val="en-US" w:eastAsia="zh-CN"/>
        </w:rPr>
      </w:pPr>
      <w:r>
        <w:rPr>
          <w:rFonts w:hint="eastAsia" w:ascii="楷体" w:hAnsi="楷体" w:eastAsia="楷体" w:cs="楷体_GB2312"/>
          <w:bCs/>
          <w:kern w:val="2"/>
          <w:sz w:val="32"/>
          <w:szCs w:val="32"/>
          <w:lang w:val="en-US" w:eastAsia="zh-CN" w:bidi="ar-SA"/>
        </w:rPr>
        <w:t>（五）坚持政治引领，队伍展现新度。</w:t>
      </w:r>
      <w:r>
        <w:rPr>
          <w:rFonts w:hint="eastAsia" w:ascii="仿宋" w:hAnsi="仿宋" w:eastAsia="仿宋" w:cs="Times New Roman"/>
          <w:bCs/>
          <w:sz w:val="32"/>
          <w:szCs w:val="32"/>
          <w:lang w:val="en-US" w:eastAsia="zh-CN"/>
        </w:rPr>
        <w:t>认真践行“三讲三有”新作风，以党史学习教育和“三大”活动为抓手，严明政治纪律和政治规矩，加强政治引领和思想教育，注重人文关怀和心理疏导，通过谈心谈话、工会活动、党员活动日等，建立干部职工交流畅谈的“连心桥”，</w:t>
      </w:r>
      <w:r>
        <w:rPr>
          <w:rFonts w:hint="eastAsia" w:ascii="仿宋_GB2312" w:hAnsi="仿宋_GB2312" w:eastAsia="仿宋_GB2312" w:cs="仿宋_GB2312"/>
          <w:sz w:val="32"/>
          <w:szCs w:val="32"/>
          <w:lang w:val="en-US" w:eastAsia="zh-CN"/>
        </w:rPr>
        <w:t>增强干部</w:t>
      </w:r>
      <w:r>
        <w:rPr>
          <w:rFonts w:hint="eastAsia" w:ascii="仿宋_GB2312" w:hAnsi="仿宋_GB2312" w:eastAsia="仿宋_GB2312" w:cs="仿宋_GB2312"/>
          <w:sz w:val="32"/>
          <w:szCs w:val="32"/>
        </w:rPr>
        <w:t>政治</w:t>
      </w:r>
      <w:r>
        <w:rPr>
          <w:rFonts w:hint="eastAsia" w:ascii="仿宋_GB2312" w:hAnsi="仿宋_GB2312" w:eastAsia="仿宋_GB2312" w:cs="仿宋_GB2312"/>
          <w:sz w:val="32"/>
          <w:szCs w:val="32"/>
          <w:lang w:val="en-US" w:eastAsia="zh-CN"/>
        </w:rPr>
        <w:t>意识、大局意识、规矩意识</w:t>
      </w:r>
      <w:r>
        <w:rPr>
          <w:rFonts w:hint="eastAsia" w:ascii="仿宋" w:hAnsi="仿宋" w:eastAsia="仿宋" w:cs="Times New Roman"/>
          <w:bCs/>
          <w:sz w:val="32"/>
          <w:szCs w:val="32"/>
          <w:lang w:val="en-US" w:eastAsia="zh-CN"/>
        </w:rPr>
        <w:t>，提升队伍正能量。</w:t>
      </w:r>
      <w:r>
        <w:rPr>
          <w:rFonts w:hint="eastAsia" w:ascii="仿宋_GB2312" w:eastAsia="仿宋_GB2312"/>
          <w:sz w:val="32"/>
          <w:szCs w:val="32"/>
        </w:rPr>
        <w:t>深入推进“强转树”活动，</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rPr>
        <w:t>统一训练标准、纪律要求、</w:t>
      </w:r>
      <w:r>
        <w:rPr>
          <w:rFonts w:hint="eastAsia" w:ascii="仿宋_GB2312" w:hAnsi="仿宋_GB2312" w:eastAsia="仿宋_GB2312" w:cs="仿宋_GB2312"/>
          <w:sz w:val="32"/>
          <w:szCs w:val="32"/>
          <w:lang w:val="en-US" w:eastAsia="zh-CN"/>
        </w:rPr>
        <w:t>着装</w:t>
      </w:r>
      <w:r>
        <w:rPr>
          <w:rFonts w:hint="eastAsia" w:ascii="仿宋_GB2312" w:hAnsi="仿宋_GB2312" w:eastAsia="仿宋_GB2312" w:cs="仿宋_GB2312"/>
          <w:sz w:val="32"/>
          <w:szCs w:val="32"/>
        </w:rPr>
        <w:t>标识</w:t>
      </w:r>
      <w:r>
        <w:rPr>
          <w:rFonts w:hint="eastAsia" w:ascii="仿宋_GB2312" w:hAnsi="仿宋_GB2312" w:eastAsia="仿宋_GB2312" w:cs="仿宋_GB2312"/>
          <w:sz w:val="32"/>
          <w:szCs w:val="32"/>
          <w:lang w:val="en-US" w:eastAsia="zh-CN"/>
        </w:rPr>
        <w:t>等方面着力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修订完善管理制度，</w:t>
      </w:r>
      <w:r>
        <w:rPr>
          <w:rFonts w:hint="eastAsia" w:ascii="仿宋" w:hAnsi="仿宋" w:eastAsia="仿宋" w:cs="Times New Roman"/>
          <w:bCs/>
          <w:sz w:val="32"/>
          <w:szCs w:val="32"/>
        </w:rPr>
        <w:t>半军事化管理队伍</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强化作风养成，规范言行举止，</w:t>
      </w:r>
      <w:r>
        <w:rPr>
          <w:rFonts w:hint="eastAsia" w:ascii="仿宋_GB2312" w:eastAsia="仿宋_GB2312"/>
          <w:sz w:val="32"/>
          <w:szCs w:val="32"/>
        </w:rPr>
        <w:t>培育行业文化，</w:t>
      </w:r>
      <w:r>
        <w:rPr>
          <w:rFonts w:hint="eastAsia" w:ascii="仿宋" w:hAnsi="仿宋" w:eastAsia="仿宋" w:cs="Times New Roman"/>
          <w:bCs/>
          <w:sz w:val="32"/>
          <w:szCs w:val="32"/>
          <w:lang w:val="en-US" w:eastAsia="zh-CN"/>
        </w:rPr>
        <w:t>提振队伍精气神。</w:t>
      </w:r>
    </w:p>
    <w:p>
      <w:pPr>
        <w:rPr>
          <w:rFonts w:hint="eastAsia"/>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6"/>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w:t>
      </w:r>
      <w:r>
        <w:rPr>
          <w:rFonts w:hint="eastAsia" w:ascii="仿宋" w:hAnsi="仿宋" w:eastAsia="仿宋"/>
          <w:color w:val="auto"/>
          <w:sz w:val="32"/>
          <w:szCs w:val="32"/>
          <w:highlight w:val="none"/>
          <w:lang w:eastAsia="zh-CN"/>
        </w:rPr>
        <w:t>分别</w:t>
      </w:r>
      <w:r>
        <w:rPr>
          <w:rFonts w:hint="eastAsia" w:ascii="仿宋" w:hAnsi="仿宋" w:eastAsia="仿宋"/>
          <w:color w:val="auto"/>
          <w:sz w:val="32"/>
          <w:szCs w:val="32"/>
          <w:highlight w:val="none"/>
        </w:rPr>
        <w:t>总计3840.82万元</w:t>
      </w:r>
      <w:r>
        <w:rPr>
          <w:rFonts w:hint="eastAsia" w:ascii="仿宋" w:hAnsi="仿宋" w:eastAsia="仿宋"/>
          <w:color w:val="auto"/>
          <w:sz w:val="32"/>
          <w:szCs w:val="32"/>
          <w:highlight w:val="none"/>
          <w:lang w:eastAsia="zh-CN"/>
        </w:rPr>
        <w:t>、3871.53万元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2317.98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2447.65万元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各</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37.63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38.73%</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减少</w:t>
      </w:r>
      <w:r>
        <w:rPr>
          <w:rFonts w:hint="eastAsia" w:ascii="仿宋" w:hAnsi="仿宋" w:eastAsia="仿宋"/>
          <w:sz w:val="32"/>
          <w:szCs w:val="32"/>
          <w:lang w:eastAsia="zh-CN"/>
        </w:rPr>
        <w:t>下属国有公司双马垃圾处理有限责任公司垃圾运输处置费</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：收、支决算总计变动情况图）（柱状图）</w:t>
      </w:r>
    </w:p>
    <w:p>
      <w:pPr>
        <w:pStyle w:val="2"/>
      </w:pPr>
      <w:r>
        <w:drawing>
          <wp:inline distT="0" distB="0" distL="114300" distR="114300">
            <wp:extent cx="4572000" cy="272415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3840.82</w:t>
      </w:r>
      <w:r>
        <w:rPr>
          <w:rFonts w:hint="eastAsia" w:ascii="仿宋" w:hAnsi="仿宋" w:eastAsia="仿宋"/>
          <w:color w:val="auto"/>
          <w:sz w:val="32"/>
          <w:szCs w:val="32"/>
          <w:highlight w:val="none"/>
        </w:rPr>
        <w:t>万元，其中：一般公共预算财政拨款收入2130.9万元，占</w:t>
      </w:r>
      <w:r>
        <w:rPr>
          <w:rFonts w:hint="eastAsia" w:ascii="仿宋" w:hAnsi="仿宋" w:eastAsia="仿宋"/>
          <w:color w:val="auto"/>
          <w:sz w:val="32"/>
          <w:szCs w:val="32"/>
          <w:highlight w:val="none"/>
          <w:lang w:val="en-US" w:eastAsia="zh-CN"/>
        </w:rPr>
        <w:t>55.48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；政府性基金预算财政拨款收入1709.92万元，占</w:t>
      </w:r>
      <w:r>
        <w:rPr>
          <w:rFonts w:hint="eastAsia" w:ascii="仿宋" w:hAnsi="仿宋" w:eastAsia="仿宋"/>
          <w:color w:val="auto"/>
          <w:sz w:val="32"/>
          <w:szCs w:val="32"/>
          <w:highlight w:val="none"/>
          <w:lang w:val="en-US" w:eastAsia="zh-CN"/>
        </w:rPr>
        <w:t>44.52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（图2：收入决算结构图）（饼状图）</w:t>
      </w:r>
    </w:p>
    <w:p>
      <w:r>
        <w:drawing>
          <wp:inline distT="0" distB="0" distL="114300" distR="114300">
            <wp:extent cx="4724400" cy="2742565"/>
            <wp:effectExtent l="4445" t="4445" r="1460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年本年支出合计3871.53万元，其中：基本支出968.11万元，占</w:t>
      </w:r>
      <w:r>
        <w:rPr>
          <w:rFonts w:hint="eastAsia" w:ascii="仿宋" w:hAnsi="仿宋" w:eastAsia="仿宋"/>
          <w:color w:val="auto"/>
          <w:sz w:val="32"/>
          <w:szCs w:val="32"/>
          <w:highlight w:val="none"/>
          <w:lang w:val="en-US" w:eastAsia="zh-CN"/>
        </w:rPr>
        <w:t>25.01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；项目支出2903.42万元，占</w:t>
      </w:r>
      <w:r>
        <w:rPr>
          <w:rFonts w:hint="eastAsia" w:ascii="仿宋" w:hAnsi="仿宋" w:eastAsia="仿宋"/>
          <w:color w:val="auto"/>
          <w:sz w:val="32"/>
          <w:szCs w:val="32"/>
          <w:highlight w:val="none"/>
          <w:lang w:val="en-US" w:eastAsia="zh-CN"/>
        </w:rPr>
        <w:t>74.99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t>（图3：支出决算结构图）（饼状图）</w:t>
      </w:r>
    </w:p>
    <w:p>
      <w:pPr>
        <w:pStyle w:val="2"/>
        <w:rPr>
          <w:rFonts w:ascii="仿宋_GB2312" w:eastAsia="仿宋_GB2312"/>
          <w:color w:val="auto"/>
          <w:sz w:val="32"/>
          <w:szCs w:val="32"/>
          <w:highlight w:val="none"/>
        </w:rPr>
      </w:pPr>
      <w:r>
        <w:drawing>
          <wp:inline distT="0" distB="0" distL="114300" distR="114300">
            <wp:extent cx="4724400" cy="2742565"/>
            <wp:effectExtent l="4445" t="4445" r="1460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spacing w:line="600" w:lineRule="exact"/>
        <w:ind w:firstLine="640" w:firstLineChars="200"/>
        <w:outlineLvl w:val="1"/>
        <w:rPr>
          <w:rStyle w:val="27"/>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年财政拨款收、支总计总计3840.82万元</w:t>
      </w:r>
      <w:r>
        <w:rPr>
          <w:rFonts w:hint="eastAsia" w:ascii="仿宋" w:hAnsi="仿宋" w:eastAsia="仿宋"/>
          <w:color w:val="auto"/>
          <w:sz w:val="32"/>
          <w:szCs w:val="32"/>
          <w:highlight w:val="none"/>
          <w:lang w:eastAsia="zh-CN"/>
        </w:rPr>
        <w:t>、3871.53万元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2317.98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2447.65万元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各</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37.63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38.73%</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减少</w:t>
      </w:r>
      <w:r>
        <w:rPr>
          <w:rFonts w:hint="eastAsia" w:ascii="仿宋" w:hAnsi="仿宋" w:eastAsia="仿宋"/>
          <w:sz w:val="32"/>
          <w:szCs w:val="32"/>
          <w:lang w:eastAsia="zh-CN"/>
        </w:rPr>
        <w:t>下属国有公司双马垃圾处理有限责任公司垃圾运输处置费</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（图4：财政拨款收、支决算总计变动情况）（柱状图）</w:t>
      </w:r>
    </w:p>
    <w:p>
      <w:pPr>
        <w:pStyle w:val="2"/>
        <w:rPr>
          <w:rFonts w:ascii="仿宋" w:hAnsi="仿宋" w:eastAsia="仿宋"/>
          <w:b/>
          <w:color w:val="auto"/>
          <w:sz w:val="32"/>
          <w:szCs w:val="32"/>
          <w:highlight w:val="none"/>
        </w:rPr>
      </w:pPr>
    </w:p>
    <w:p>
      <w:pPr>
        <w:rPr>
          <w:rFonts w:ascii="仿宋" w:hAnsi="仿宋" w:eastAsia="仿宋"/>
          <w:b/>
          <w:color w:val="auto"/>
          <w:sz w:val="32"/>
          <w:szCs w:val="32"/>
          <w:highlight w:val="none"/>
        </w:rPr>
      </w:pPr>
      <w:r>
        <w:drawing>
          <wp:inline distT="0" distB="0" distL="114300" distR="114300">
            <wp:extent cx="4572000" cy="272415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outlineLvl w:val="1"/>
        <w:rPr>
          <w:rStyle w:val="27"/>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年一般公共预算财政拨款支出2161.61万元，占本年支出合计的</w:t>
      </w:r>
      <w:r>
        <w:rPr>
          <w:rFonts w:hint="eastAsia" w:ascii="仿宋" w:hAnsi="仿宋" w:eastAsia="仿宋"/>
          <w:color w:val="auto"/>
          <w:sz w:val="32"/>
          <w:szCs w:val="32"/>
          <w:highlight w:val="none"/>
          <w:lang w:val="en-US" w:eastAsia="zh-CN"/>
        </w:rPr>
        <w:t>55.83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2377.34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52.38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城乡社区支出、污染防治各减少</w:t>
      </w:r>
      <w:r>
        <w:rPr>
          <w:rFonts w:hint="eastAsia" w:ascii="仿宋" w:hAnsi="仿宋" w:eastAsia="仿宋"/>
          <w:color w:val="auto"/>
          <w:sz w:val="32"/>
          <w:szCs w:val="32"/>
          <w:highlight w:val="none"/>
          <w:lang w:val="en-US" w:eastAsia="zh-CN"/>
        </w:rPr>
        <w:t>1354万元、948万元。</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ascii="仿宋" w:hAnsi="仿宋" w:eastAsia="仿宋"/>
          <w:color w:val="FF0000"/>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t>（图5：一般公共预算财政拨款支出决算变动情况）（柱状图）</w:t>
      </w:r>
    </w:p>
    <w:p>
      <w:pPr>
        <w:pStyle w:val="2"/>
        <w:rPr>
          <w:rFonts w:ascii="仿宋" w:hAnsi="仿宋" w:eastAsia="仿宋"/>
          <w:color w:val="auto"/>
          <w:sz w:val="32"/>
          <w:szCs w:val="32"/>
          <w:highlight w:val="none"/>
        </w:rPr>
      </w:pPr>
    </w:p>
    <w:p>
      <w:pPr>
        <w:rPr>
          <w:rFonts w:ascii="仿宋" w:hAnsi="仿宋" w:eastAsia="仿宋"/>
          <w:color w:val="auto"/>
          <w:sz w:val="32"/>
          <w:szCs w:val="32"/>
          <w:highlight w:val="none"/>
        </w:rPr>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2161.61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w:t>
      </w:r>
      <w:r>
        <w:rPr>
          <w:rFonts w:hint="eastAsia" w:ascii="仿宋" w:hAnsi="仿宋" w:eastAsia="仿宋"/>
          <w:b/>
          <w:color w:val="auto"/>
          <w:sz w:val="32"/>
          <w:szCs w:val="32"/>
          <w:highlight w:val="none"/>
          <w:lang w:val="en-US" w:eastAsia="zh-CN"/>
        </w:rPr>
        <w:t>208</w:t>
      </w:r>
      <w:r>
        <w:rPr>
          <w:rFonts w:hint="eastAsia" w:ascii="仿宋" w:hAnsi="仿宋" w:eastAsia="仿宋"/>
          <w:b/>
          <w:color w:val="auto"/>
          <w:sz w:val="32"/>
          <w:szCs w:val="32"/>
          <w:highlight w:val="none"/>
        </w:rPr>
        <w:t>）</w:t>
      </w:r>
      <w:r>
        <w:rPr>
          <w:rFonts w:hint="eastAsia" w:ascii="仿宋" w:hAnsi="仿宋" w:eastAsia="仿宋"/>
          <w:color w:val="auto"/>
          <w:sz w:val="32"/>
          <w:szCs w:val="32"/>
          <w:highlight w:val="none"/>
        </w:rPr>
        <w:t>29.39万元，占</w:t>
      </w:r>
      <w:r>
        <w:rPr>
          <w:rFonts w:hint="eastAsia" w:ascii="仿宋" w:hAnsi="仿宋" w:eastAsia="仿宋"/>
          <w:color w:val="auto"/>
          <w:sz w:val="32"/>
          <w:szCs w:val="32"/>
          <w:highlight w:val="none"/>
          <w:lang w:val="en-US" w:eastAsia="zh-CN"/>
        </w:rPr>
        <w:t>1.36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卫生健康支出（</w:t>
      </w:r>
      <w:r>
        <w:rPr>
          <w:rFonts w:hint="eastAsia" w:ascii="仿宋" w:hAnsi="仿宋" w:eastAsia="仿宋"/>
          <w:b/>
          <w:color w:val="auto"/>
          <w:sz w:val="32"/>
          <w:szCs w:val="32"/>
          <w:highlight w:val="none"/>
          <w:lang w:val="en-US" w:eastAsia="zh-CN"/>
        </w:rPr>
        <w:t>210</w:t>
      </w:r>
      <w:r>
        <w:rPr>
          <w:rFonts w:hint="eastAsia" w:ascii="仿宋" w:hAnsi="仿宋" w:eastAsia="仿宋"/>
          <w:b/>
          <w:color w:val="auto"/>
          <w:sz w:val="32"/>
          <w:szCs w:val="32"/>
          <w:highlight w:val="none"/>
        </w:rPr>
        <w:t>）</w:t>
      </w:r>
      <w:r>
        <w:rPr>
          <w:rFonts w:hint="eastAsia" w:ascii="仿宋" w:hAnsi="仿宋" w:eastAsia="仿宋"/>
          <w:color w:val="auto"/>
          <w:sz w:val="32"/>
          <w:szCs w:val="32"/>
          <w:highlight w:val="none"/>
          <w:lang w:val="en-US" w:eastAsia="zh-CN"/>
        </w:rPr>
        <w:t>42.80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节能环保支出（</w:t>
      </w:r>
      <w:r>
        <w:rPr>
          <w:rFonts w:hint="eastAsia" w:ascii="仿宋" w:hAnsi="仿宋" w:eastAsia="仿宋"/>
          <w:b/>
          <w:color w:val="auto"/>
          <w:sz w:val="32"/>
          <w:szCs w:val="32"/>
          <w:highlight w:val="none"/>
          <w:lang w:val="en-US" w:eastAsia="zh-CN"/>
        </w:rPr>
        <w:t>211</w:t>
      </w:r>
      <w:r>
        <w:rPr>
          <w:rFonts w:hint="eastAsia" w:ascii="仿宋" w:hAnsi="仿宋" w:eastAsia="仿宋"/>
          <w:b/>
          <w:color w:val="auto"/>
          <w:sz w:val="32"/>
          <w:szCs w:val="32"/>
          <w:highlight w:val="none"/>
        </w:rPr>
        <w:t>）</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城乡社区支出（</w:t>
      </w:r>
      <w:r>
        <w:rPr>
          <w:rFonts w:hint="eastAsia" w:ascii="仿宋" w:hAnsi="仿宋" w:eastAsia="仿宋"/>
          <w:b/>
          <w:bCs/>
          <w:color w:val="auto"/>
          <w:sz w:val="32"/>
          <w:szCs w:val="32"/>
          <w:highlight w:val="none"/>
          <w:lang w:val="en-US" w:eastAsia="zh-CN"/>
        </w:rPr>
        <w:t>212</w:t>
      </w:r>
      <w:r>
        <w:rPr>
          <w:rFonts w:hint="eastAsia" w:ascii="仿宋" w:hAnsi="仿宋" w:eastAsia="仿宋"/>
          <w:b/>
          <w:bCs/>
          <w:color w:val="auto"/>
          <w:sz w:val="32"/>
          <w:szCs w:val="32"/>
          <w:highlight w:val="none"/>
        </w:rPr>
        <w:t>）</w:t>
      </w:r>
      <w:r>
        <w:rPr>
          <w:rFonts w:hint="eastAsia" w:ascii="仿宋" w:hAnsi="仿宋" w:eastAsia="仿宋" w:cs="Times New Roman"/>
          <w:color w:val="auto"/>
          <w:sz w:val="32"/>
          <w:szCs w:val="32"/>
          <w:highlight w:val="none"/>
          <w:lang w:val="en-US" w:eastAsia="zh-CN"/>
        </w:rPr>
        <w:t>1867.75</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86.40</w:t>
      </w:r>
      <w:r>
        <w:rPr>
          <w:rFonts w:hint="eastAsia" w:ascii="仿宋" w:hAnsi="仿宋" w:eastAsia="仿宋" w:cs="Times New Roman"/>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农林水支出（</w:t>
      </w:r>
      <w:r>
        <w:rPr>
          <w:rFonts w:hint="eastAsia" w:ascii="仿宋" w:hAnsi="仿宋" w:eastAsia="仿宋"/>
          <w:b/>
          <w:color w:val="auto"/>
          <w:sz w:val="32"/>
          <w:szCs w:val="32"/>
          <w:highlight w:val="none"/>
          <w:lang w:val="en-US" w:eastAsia="zh-CN"/>
        </w:rPr>
        <w:t>213</w:t>
      </w:r>
      <w:r>
        <w:rPr>
          <w:rFonts w:hint="eastAsia" w:ascii="仿宋" w:hAnsi="仿宋" w:eastAsia="仿宋"/>
          <w:b/>
          <w:color w:val="auto"/>
          <w:sz w:val="32"/>
          <w:szCs w:val="32"/>
          <w:highlight w:val="none"/>
        </w:rPr>
        <w:t>）</w:t>
      </w:r>
      <w:r>
        <w:rPr>
          <w:rFonts w:hint="eastAsia" w:ascii="仿宋" w:hAnsi="仿宋" w:eastAsia="仿宋"/>
          <w:color w:val="auto"/>
          <w:sz w:val="32"/>
          <w:szCs w:val="32"/>
          <w:highlight w:val="none"/>
          <w:lang w:val="en-US" w:eastAsia="zh-CN"/>
        </w:rPr>
        <w:t>43.45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51.18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rPr>
        <w:t>灾害防治及应急管理支出</w:t>
      </w:r>
      <w:r>
        <w:rPr>
          <w:rFonts w:hint="eastAsia" w:ascii="仿宋" w:hAnsi="仿宋" w:eastAsia="仿宋"/>
          <w:color w:val="auto"/>
          <w:sz w:val="32"/>
          <w:szCs w:val="32"/>
          <w:highlight w:val="none"/>
          <w:lang w:val="en-US" w:eastAsia="zh-CN"/>
        </w:rPr>
        <w:t>117.04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lang w:eastAsia="zh-CN"/>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jc w:val="both"/>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（图6：一般公共预算财政拨款支出决算结构）（饼状图）</w:t>
      </w:r>
    </w:p>
    <w:p>
      <w:pPr>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drawing>
          <wp:inline distT="0" distB="0" distL="114300" distR="114300">
            <wp:extent cx="4572000" cy="2743200"/>
            <wp:effectExtent l="4445" t="4445" r="14605" b="14605"/>
            <wp:docPr id="1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2161.61万元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89.10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1"/>
      <w:bookmarkEnd w:id="32"/>
      <w:bookmarkEnd w:id="33"/>
    </w:p>
    <w:p>
      <w:pPr>
        <w:numPr>
          <w:ilvl w:val="0"/>
          <w:numId w:val="2"/>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社会保障和就业（208）行政事业单位养老支出（05）机关事业单位基本养老保险缴费支出（05）:支出决算为29.39万元，完成预算1.21%。</w:t>
      </w:r>
    </w:p>
    <w:p>
      <w:pPr>
        <w:numPr>
          <w:ilvl w:val="0"/>
          <w:numId w:val="0"/>
        </w:num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2.</w:t>
      </w:r>
      <w:r>
        <w:rPr>
          <w:rFonts w:hint="eastAsia" w:ascii="仿宋" w:hAnsi="仿宋" w:eastAsia="仿宋" w:cs="Times New Roman"/>
          <w:bCs/>
          <w:color w:val="000000"/>
          <w:kern w:val="0"/>
          <w:sz w:val="32"/>
          <w:szCs w:val="32"/>
          <w:lang w:val="en-US" w:eastAsia="zh-CN" w:bidi="ar-SA"/>
        </w:rPr>
        <w:t>社会保障和就业（208）行政事业单位养老支出（05）其他行政事业单位养老支出（99）</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3.16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0.13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3.</w:t>
      </w:r>
      <w:r>
        <w:rPr>
          <w:rFonts w:hint="eastAsia" w:ascii="仿宋" w:hAnsi="仿宋" w:eastAsia="仿宋" w:cs="Times New Roman"/>
          <w:bCs/>
          <w:color w:val="000000"/>
          <w:kern w:val="0"/>
          <w:sz w:val="32"/>
          <w:szCs w:val="32"/>
          <w:lang w:val="en-US" w:eastAsia="zh-CN" w:bidi="ar-SA"/>
        </w:rPr>
        <w:t>卫生健康支出（210）行政事业单位医疗(11)行政单位医疗(01)</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29.85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1.23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4.</w:t>
      </w:r>
      <w:r>
        <w:rPr>
          <w:rFonts w:hint="eastAsia" w:ascii="仿宋" w:hAnsi="仿宋" w:eastAsia="仿宋" w:cs="Times New Roman"/>
          <w:bCs/>
          <w:color w:val="000000"/>
          <w:kern w:val="0"/>
          <w:sz w:val="32"/>
          <w:szCs w:val="32"/>
          <w:lang w:val="en-US" w:eastAsia="zh-CN" w:bidi="ar-SA"/>
        </w:rPr>
        <w:t>卫生健康支出（210）行政事业单位医疗(11)公务员医疗补助(03)</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12.95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0.53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5.</w:t>
      </w:r>
      <w:r>
        <w:rPr>
          <w:rFonts w:hint="eastAsia" w:ascii="仿宋" w:hAnsi="仿宋" w:eastAsia="仿宋" w:cs="Times New Roman"/>
          <w:bCs/>
          <w:color w:val="000000"/>
          <w:kern w:val="0"/>
          <w:sz w:val="32"/>
          <w:szCs w:val="32"/>
          <w:lang w:val="en-US" w:eastAsia="zh-CN" w:bidi="ar-SA"/>
        </w:rPr>
        <w:t>节能环保支出（211）其他节能环保支出（99） 其他节能环保支出（99）</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0.41</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numPr>
          <w:ilvl w:val="0"/>
          <w:numId w:val="0"/>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6.城乡社区支出（212）城乡社区管理事务（01） 城管执法（04）:支出决算为1773.43万元，完成预算73.10%。</w:t>
      </w:r>
    </w:p>
    <w:p>
      <w:pPr>
        <w:numPr>
          <w:ilvl w:val="0"/>
          <w:numId w:val="0"/>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7.城乡社区支出（212）城乡社区环境卫生（05）城乡社区环境卫生（01）：支出决算为94.32万元，完成预算3.89%。</w:t>
      </w:r>
    </w:p>
    <w:p>
      <w:pPr>
        <w:numPr>
          <w:ilvl w:val="0"/>
          <w:numId w:val="0"/>
        </w:numPr>
        <w:spacing w:line="600" w:lineRule="exact"/>
        <w:ind w:firstLine="640" w:firstLineChars="20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8.农林水支出（213）扶贫（05）其他扶贫支出（99）：支出决算为43.45万元，完成预算1.79%。</w:t>
      </w:r>
    </w:p>
    <w:p>
      <w:pPr>
        <w:numPr>
          <w:ilvl w:val="0"/>
          <w:numId w:val="0"/>
        </w:numPr>
        <w:spacing w:line="600" w:lineRule="exact"/>
        <w:ind w:firstLine="640" w:firstLineChars="200"/>
        <w:rPr>
          <w:rStyle w:val="16"/>
          <w:rFonts w:hint="eastAsia" w:ascii="仿宋" w:hAnsi="仿宋" w:eastAsia="仿宋"/>
          <w:b w:val="0"/>
          <w:bCs/>
          <w:color w:val="auto"/>
          <w:sz w:val="32"/>
          <w:szCs w:val="32"/>
          <w:highlight w:val="none"/>
          <w:lang w:eastAsia="zh-CN"/>
        </w:rPr>
      </w:pPr>
      <w:r>
        <w:rPr>
          <w:rFonts w:hint="eastAsia" w:ascii="仿宋" w:hAnsi="仿宋" w:eastAsia="仿宋" w:cs="Times New Roman"/>
          <w:bCs/>
          <w:color w:val="000000"/>
          <w:kern w:val="0"/>
          <w:sz w:val="32"/>
          <w:szCs w:val="32"/>
          <w:lang w:val="en-US" w:eastAsia="zh-CN" w:bidi="ar-SA"/>
        </w:rPr>
        <w:t>9.住房保障支出（221）住房改革支出（02）住房公积金（01）：支出决算为51.18万元，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2.11</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p>
    <w:p>
      <w:pPr>
        <w:spacing w:line="600" w:lineRule="exact"/>
        <w:ind w:firstLine="640" w:firstLineChars="200"/>
        <w:rPr>
          <w:rStyle w:val="16"/>
          <w:rFonts w:hint="eastAsia" w:ascii="仿宋" w:hAnsi="仿宋" w:eastAsia="仿宋" w:cs="Times New Roman"/>
          <w:b w:val="0"/>
          <w:bCs/>
          <w:color w:val="auto"/>
          <w:sz w:val="32"/>
          <w:szCs w:val="32"/>
          <w:highlight w:val="none"/>
          <w:lang w:val="en-US" w:eastAsia="zh-CN"/>
        </w:rPr>
      </w:pPr>
      <w:r>
        <w:rPr>
          <w:rStyle w:val="16"/>
          <w:rFonts w:hint="eastAsia" w:ascii="仿宋" w:hAnsi="仿宋" w:eastAsia="仿宋" w:cs="Times New Roman"/>
          <w:b w:val="0"/>
          <w:bCs/>
          <w:color w:val="auto"/>
          <w:sz w:val="32"/>
          <w:szCs w:val="32"/>
          <w:highlight w:val="none"/>
          <w:lang w:val="en-US" w:eastAsia="zh-CN"/>
        </w:rPr>
        <w:t>10.灾害防治及应急管理支出（224）其他灾害防治及应急管理支出（99）其他灾害防治及应急管理支出（99）：</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117.04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4.82</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p>
    <w:p>
      <w:pPr>
        <w:pStyle w:val="2"/>
        <w:rPr>
          <w:rFonts w:hint="default" w:eastAsia="仿宋"/>
          <w:lang w:val="en-US" w:eastAsia="zh-CN"/>
        </w:rPr>
      </w:pPr>
    </w:p>
    <w:p>
      <w:pPr>
        <w:tabs>
          <w:tab w:val="right" w:pos="8306"/>
        </w:tabs>
        <w:spacing w:line="600" w:lineRule="exact"/>
        <w:ind w:firstLine="640"/>
        <w:outlineLvl w:val="1"/>
        <w:rPr>
          <w:rStyle w:val="2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968.11</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706.83</w:t>
      </w:r>
      <w:r>
        <w:rPr>
          <w:rFonts w:hint="eastAsia" w:ascii="仿宋" w:hAnsi="仿宋" w:eastAsia="仿宋"/>
          <w:color w:val="auto"/>
          <w:sz w:val="32"/>
          <w:szCs w:val="32"/>
          <w:highlight w:val="none"/>
        </w:rPr>
        <w:t>万元，主要包括：基本工资268.44</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、津贴补贴179.22</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、奖金92.1</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、伙食补助费41.87</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、机关事业单位基本养老保险缴费26.23</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职工基本医疗保险</w:t>
      </w:r>
      <w:r>
        <w:rPr>
          <w:rFonts w:hint="eastAsia" w:ascii="仿宋" w:hAnsi="仿宋" w:eastAsia="仿宋"/>
          <w:color w:val="auto"/>
          <w:sz w:val="32"/>
          <w:szCs w:val="32"/>
          <w:highlight w:val="none"/>
        </w:rPr>
        <w:t>缴费29.85</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公务员补助医疗缴费</w:t>
      </w:r>
      <w:r>
        <w:rPr>
          <w:rFonts w:hint="eastAsia" w:ascii="仿宋" w:hAnsi="仿宋" w:eastAsia="仿宋"/>
          <w:color w:val="auto"/>
          <w:sz w:val="32"/>
          <w:szCs w:val="32"/>
          <w:highlight w:val="none"/>
          <w:lang w:val="en-US" w:eastAsia="zh-CN"/>
        </w:rPr>
        <w:t>12.95万元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4.1万元</w:t>
      </w:r>
      <w:r>
        <w:rPr>
          <w:rFonts w:hint="eastAsia" w:ascii="仿宋" w:hAnsi="仿宋" w:eastAsia="仿宋"/>
          <w:color w:val="auto"/>
          <w:sz w:val="32"/>
          <w:szCs w:val="32"/>
          <w:highlight w:val="none"/>
        </w:rPr>
        <w:t>、奖励金</w:t>
      </w:r>
      <w:r>
        <w:rPr>
          <w:rFonts w:hint="eastAsia" w:ascii="仿宋" w:hAnsi="仿宋" w:eastAsia="仿宋"/>
          <w:color w:val="auto"/>
          <w:sz w:val="32"/>
          <w:szCs w:val="32"/>
          <w:highlight w:val="none"/>
          <w:lang w:val="en-US" w:eastAsia="zh-CN"/>
        </w:rPr>
        <w:t>0.89万元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51.18万元</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261.28</w:t>
      </w:r>
      <w:r>
        <w:rPr>
          <w:rFonts w:hint="eastAsia" w:ascii="仿宋" w:hAnsi="仿宋" w:eastAsia="仿宋"/>
          <w:color w:val="auto"/>
          <w:sz w:val="32"/>
          <w:szCs w:val="32"/>
          <w:highlight w:val="none"/>
        </w:rPr>
        <w:t>万元，主要包括：办公费9.24</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、印刷费10.18</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、咨询费4</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、水费0.91</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、电费6.79</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、邮电费2.06</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、差旅费56.43</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、维修（护）费5.41</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、租赁费0.32</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、公务接待费0.59</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专业材料费</w:t>
      </w:r>
      <w:r>
        <w:rPr>
          <w:rFonts w:hint="eastAsia" w:ascii="仿宋" w:hAnsi="仿宋" w:eastAsia="仿宋"/>
          <w:color w:val="auto"/>
          <w:sz w:val="32"/>
          <w:szCs w:val="32"/>
          <w:highlight w:val="none"/>
        </w:rPr>
        <w:t>0.48</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劳</w:t>
      </w:r>
      <w:r>
        <w:rPr>
          <w:rFonts w:hint="eastAsia" w:ascii="仿宋" w:hAnsi="仿宋" w:eastAsia="仿宋"/>
          <w:color w:val="auto"/>
          <w:sz w:val="32"/>
          <w:szCs w:val="32"/>
          <w:highlight w:val="none"/>
        </w:rPr>
        <w:t>务费40.22</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、工会经费23.13</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、福利费9.27</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、公务用车运行维护费19.97</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val="en-US" w:eastAsia="zh-CN"/>
        </w:rPr>
        <w:t>42.23</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28.63</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、办公设备购置</w:t>
      </w:r>
      <w:r>
        <w:rPr>
          <w:rFonts w:hint="eastAsia" w:ascii="仿宋" w:hAnsi="仿宋" w:eastAsia="仿宋"/>
          <w:color w:val="auto"/>
          <w:sz w:val="32"/>
          <w:szCs w:val="32"/>
          <w:highlight w:val="none"/>
          <w:lang w:val="en-US" w:eastAsia="zh-CN"/>
        </w:rPr>
        <w:t>1.4</w:t>
      </w:r>
      <w:r>
        <w:rPr>
          <w:rStyle w:val="16"/>
          <w:rFonts w:hint="eastAsia" w:ascii="仿宋" w:hAnsi="仿宋" w:eastAsia="仿宋"/>
          <w:b w:val="0"/>
          <w:bCs/>
          <w:color w:val="auto"/>
          <w:sz w:val="32"/>
          <w:szCs w:val="32"/>
          <w:highlight w:val="none"/>
        </w:rPr>
        <w:t>万元</w:t>
      </w:r>
      <w:r>
        <w:rPr>
          <w:rFonts w:hint="eastAsia" w:ascii="仿宋" w:hAnsi="仿宋" w:eastAsia="仿宋"/>
          <w:color w:val="auto"/>
          <w:sz w:val="32"/>
          <w:szCs w:val="32"/>
          <w:highlight w:val="none"/>
        </w:rPr>
        <w:t>等。</w:t>
      </w:r>
    </w:p>
    <w:p>
      <w:pPr>
        <w:spacing w:line="600" w:lineRule="exact"/>
        <w:ind w:firstLine="640"/>
        <w:outlineLvl w:val="1"/>
        <w:rPr>
          <w:rStyle w:val="27"/>
          <w:rFonts w:ascii="黑体" w:hAnsi="黑体" w:eastAsia="黑体"/>
          <w:b w:val="0"/>
          <w:color w:val="FF0000"/>
          <w:highlight w:val="none"/>
        </w:rPr>
      </w:pPr>
      <w:bookmarkStart w:id="36" w:name="_Toc15396609"/>
      <w:bookmarkStart w:id="37" w:name="_Toc15377215"/>
      <w:r>
        <w:rPr>
          <w:rFonts w:hint="eastAsia" w:ascii="黑体" w:eastAsia="黑体"/>
          <w:color w:val="auto"/>
          <w:sz w:val="32"/>
          <w:szCs w:val="32"/>
          <w:highlight w:val="none"/>
        </w:rPr>
        <w:t>七、</w:t>
      </w:r>
      <w:r>
        <w:rPr>
          <w:rStyle w:val="27"/>
          <w:rFonts w:hint="eastAsia" w:ascii="黑体" w:hAnsi="黑体" w:eastAsia="黑体"/>
          <w:color w:val="000000" w:themeColor="text1"/>
          <w:highlight w:val="none"/>
          <w14:textFill>
            <w14:solidFill>
              <w14:schemeClr w14:val="tx1"/>
            </w14:solidFill>
          </w14:textFill>
        </w:rPr>
        <w:t>“</w:t>
      </w:r>
      <w:r>
        <w:rPr>
          <w:rStyle w:val="27"/>
          <w:rFonts w:hint="eastAsia" w:ascii="黑体" w:hAnsi="黑体" w:eastAsia="黑体"/>
          <w:b w:val="0"/>
          <w:color w:val="000000" w:themeColor="text1"/>
          <w:highlight w:val="none"/>
          <w14:textFill>
            <w14:solidFill>
              <w14:schemeClr w14:val="tx1"/>
            </w14:solidFill>
          </w14:textFill>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20.57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0.49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19.97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97.13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2.87</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586740</wp:posOffset>
            </wp:positionH>
            <wp:positionV relativeFrom="paragraph">
              <wp:posOffset>406400</wp:posOffset>
            </wp:positionV>
            <wp:extent cx="4248785" cy="1915160"/>
            <wp:effectExtent l="4445" t="5080" r="13970" b="22860"/>
            <wp:wrapTopAndBottom/>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themeColor="text1"/>
          <w:sz w:val="32"/>
          <w:szCs w:val="32"/>
          <w:highlight w:val="none"/>
          <w14:textFill>
            <w14:solidFill>
              <w14:schemeClr w14:val="tx1"/>
            </w14:solidFill>
          </w14:textFill>
        </w:rPr>
        <w:t>（图7：“三公”经费财政拨款支出结构）（饼状图）</w:t>
      </w:r>
    </w:p>
    <w:p>
      <w:pPr>
        <w:spacing w:line="600" w:lineRule="exact"/>
        <w:ind w:firstLine="640"/>
        <w:rPr>
          <w:rFonts w:ascii="仿宋_GB2312" w:eastAsia="仿宋_GB2312"/>
          <w:b/>
          <w:color w:val="auto"/>
          <w:sz w:val="32"/>
          <w:szCs w:val="32"/>
          <w:highlight w:val="none"/>
        </w:rPr>
      </w:pP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000000" w:themeColor="text1"/>
          <w:sz w:val="32"/>
          <w:szCs w:val="32"/>
          <w:highlight w:val="none"/>
          <w14:textFill>
            <w14:solidFill>
              <w14:schemeClr w14:val="tx1"/>
            </w14:solidFill>
          </w14:textFill>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ascii="仿宋_GB2312" w:eastAsia="仿宋_GB2312"/>
          <w:b/>
          <w:color w:val="000000" w:themeColor="text1"/>
          <w:sz w:val="32"/>
          <w:szCs w:val="32"/>
          <w:highlight w:val="none"/>
          <w14:textFill>
            <w14:solidFill>
              <w14:schemeClr w14:val="tx1"/>
            </w14:solidFill>
          </w14:textFill>
        </w:rPr>
        <w:t>.</w:t>
      </w:r>
      <w:r>
        <w:rPr>
          <w:rFonts w:hint="eastAsia" w:ascii="仿宋_GB2312" w:eastAsia="仿宋_GB2312"/>
          <w:b/>
          <w:color w:val="000000" w:themeColor="text1"/>
          <w:sz w:val="32"/>
          <w:szCs w:val="32"/>
          <w:highlight w:val="none"/>
          <w14:textFill>
            <w14:solidFill>
              <w14:schemeClr w14:val="tx1"/>
            </w14:solidFill>
          </w14:textFill>
        </w:rPr>
        <w:t>公务用车购置及运行维护费支出</w:t>
      </w:r>
      <w:r>
        <w:rPr>
          <w:rFonts w:hint="eastAsia" w:ascii="仿宋_GB2312" w:eastAsia="仿宋_GB2312"/>
          <w:color w:val="auto"/>
          <w:sz w:val="32"/>
          <w:szCs w:val="32"/>
          <w:highlight w:val="none"/>
          <w:lang w:val="en-US" w:eastAsia="zh-CN"/>
        </w:rPr>
        <w:t>19.97</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0.47</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w:t>
      </w:r>
      <w:r>
        <w:rPr>
          <w:rFonts w:hint="eastAsia" w:ascii="仿宋_GB2312" w:eastAsia="仿宋_GB2312"/>
          <w:color w:val="000000"/>
          <w:sz w:val="32"/>
          <w:szCs w:val="32"/>
        </w:rPr>
        <w:t>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辆、执法执勤用车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19.97</w:t>
      </w:r>
      <w:r>
        <w:rPr>
          <w:rFonts w:hint="eastAsia" w:ascii="仿宋_GB2312" w:eastAsia="仿宋_GB2312"/>
          <w:color w:val="auto"/>
          <w:sz w:val="32"/>
          <w:szCs w:val="32"/>
          <w:highlight w:val="none"/>
        </w:rPr>
        <w:t>万元。主要用于</w:t>
      </w:r>
      <w:r>
        <w:rPr>
          <w:rFonts w:hint="eastAsia" w:ascii="仿宋" w:hAnsi="仿宋" w:eastAsia="仿宋" w:cs="Times New Roman"/>
          <w:bCs/>
          <w:color w:val="000000"/>
          <w:kern w:val="0"/>
          <w:sz w:val="32"/>
          <w:szCs w:val="32"/>
          <w:lang w:val="en-US" w:eastAsia="zh-CN" w:bidi="ar-SA"/>
        </w:rPr>
        <w:t>局下属单位执法大队执行公务活动、执法巡逻、城乡环境综合治理、等所需的公务用车燃料费、维修费、过路过桥费、保险费支出等支出</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000000" w:themeColor="text1"/>
          <w:sz w:val="32"/>
          <w:szCs w:val="32"/>
          <w:highlight w:val="none"/>
          <w14:textFill>
            <w14:solidFill>
              <w14:schemeClr w14:val="tx1"/>
            </w14:solidFill>
          </w14:textFill>
        </w:rPr>
        <w:t>公务接待费支出</w:t>
      </w:r>
      <w:r>
        <w:rPr>
          <w:rFonts w:hint="eastAsia" w:ascii="仿宋_GB2312" w:eastAsia="仿宋_GB2312"/>
          <w:color w:val="auto"/>
          <w:sz w:val="32"/>
          <w:szCs w:val="32"/>
          <w:highlight w:val="none"/>
          <w:lang w:val="en-US" w:eastAsia="zh-CN"/>
        </w:rPr>
        <w:t>0.59</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0.02</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0.22</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27.16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0.59</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116</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0.59</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市城管局</w:t>
      </w:r>
      <w:r>
        <w:rPr>
          <w:rFonts w:hint="eastAsia" w:ascii="仿宋_GB2312" w:eastAsia="仿宋_GB2312"/>
          <w:color w:val="auto"/>
          <w:sz w:val="32"/>
          <w:szCs w:val="32"/>
          <w:highlight w:val="none"/>
          <w:lang w:val="en-US" w:eastAsia="zh-CN"/>
        </w:rPr>
        <w:t>1090元，人大调研1300元，大气污染防治420元，迎检整治、创文加班误餐3090元</w:t>
      </w:r>
      <w:r>
        <w:rPr>
          <w:rFonts w:hint="eastAsia" w:ascii="仿宋_GB2312" w:eastAsia="仿宋_GB2312"/>
          <w:color w:val="auto"/>
          <w:sz w:val="32"/>
          <w:szCs w:val="32"/>
          <w:highlight w:val="none"/>
        </w:rPr>
        <w:t>。</w:t>
      </w:r>
    </w:p>
    <w:p>
      <w:pPr>
        <w:spacing w:line="60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Fonts w:ascii="黑体" w:eastAsia="黑体"/>
          <w:color w:val="auto"/>
          <w:sz w:val="32"/>
          <w:szCs w:val="32"/>
          <w:highlight w:val="none"/>
        </w:rPr>
      </w:pPr>
      <w:bookmarkStart w:id="40" w:name="_Toc15377218"/>
      <w:bookmarkStart w:id="41" w:name="_Toc15396610"/>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拨款支出1709.92万元。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7"/>
          <w:rFonts w:ascii="黑体" w:hAnsi="黑体" w:eastAsia="黑体"/>
          <w:b w:val="0"/>
          <w:color w:val="auto"/>
          <w:highlight w:val="none"/>
        </w:rPr>
      </w:pPr>
      <w:bookmarkStart w:id="42" w:name="_Toc15377219"/>
      <w:bookmarkStart w:id="43" w:name="_Toc15396611"/>
      <w:r>
        <w:rPr>
          <w:rStyle w:val="2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7"/>
          <w:rFonts w:hint="eastAsia" w:ascii="黑体" w:hAnsi="黑体" w:eastAsia="黑体"/>
          <w:b w:val="0"/>
          <w:color w:val="auto"/>
          <w:highlight w:val="none"/>
        </w:rPr>
      </w:pPr>
      <w:bookmarkStart w:id="44" w:name="_Toc15396612"/>
      <w:bookmarkStart w:id="45" w:name="_Toc15377221"/>
      <w:r>
        <w:rPr>
          <w:rStyle w:val="2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FF0000"/>
          <w:sz w:val="32"/>
          <w:szCs w:val="32"/>
          <w:highlight w:val="none"/>
        </w:rPr>
      </w:pPr>
      <w:bookmarkStart w:id="46" w:name="_Toc15377222"/>
      <w:r>
        <w:rPr>
          <w:rFonts w:hint="eastAsia" w:ascii="仿宋" w:hAnsi="仿宋" w:eastAsia="仿宋"/>
          <w:b/>
          <w:color w:val="auto"/>
          <w:sz w:val="32"/>
          <w:szCs w:val="32"/>
          <w:highlight w:val="none"/>
        </w:rPr>
        <w:t>（一）</w:t>
      </w:r>
      <w:r>
        <w:rPr>
          <w:rFonts w:hint="eastAsia" w:ascii="仿宋" w:hAnsi="仿宋" w:eastAsia="仿宋"/>
          <w:b/>
          <w:color w:val="000000" w:themeColor="text1"/>
          <w:sz w:val="32"/>
          <w:szCs w:val="32"/>
          <w:highlight w:val="none"/>
          <w14:textFill>
            <w14:solidFill>
              <w14:schemeClr w14:val="tx1"/>
            </w14:solidFill>
          </w14:textFill>
        </w:rPr>
        <w:t>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大竹县综合行政执法局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261.28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3.87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工会经费增加。</w:t>
      </w:r>
    </w:p>
    <w:p>
      <w:pPr>
        <w:autoSpaceDE w:val="0"/>
        <w:autoSpaceDN w:val="0"/>
        <w:adjustRightInd w:val="0"/>
        <w:spacing w:line="600" w:lineRule="exact"/>
        <w:ind w:firstLine="643" w:firstLineChars="200"/>
        <w:jc w:val="left"/>
        <w:outlineLvl w:val="2"/>
        <w:rPr>
          <w:rFonts w:ascii="仿宋" w:hAnsi="仿宋" w:eastAsia="仿宋"/>
          <w:b/>
          <w:color w:val="FF0000"/>
          <w:sz w:val="32"/>
          <w:szCs w:val="32"/>
          <w:highlight w:val="none"/>
        </w:rPr>
      </w:pPr>
      <w:bookmarkStart w:id="47" w:name="_Toc15377223"/>
      <w:r>
        <w:rPr>
          <w:rFonts w:hint="eastAsia" w:ascii="仿宋" w:hAnsi="仿宋" w:eastAsia="仿宋"/>
          <w:b/>
          <w:color w:val="auto"/>
          <w:sz w:val="32"/>
          <w:szCs w:val="32"/>
          <w:highlight w:val="none"/>
        </w:rPr>
        <w:t>（二）</w:t>
      </w:r>
      <w:r>
        <w:rPr>
          <w:rFonts w:hint="eastAsia" w:ascii="仿宋" w:hAnsi="仿宋" w:eastAsia="仿宋"/>
          <w:b/>
          <w:color w:val="000000" w:themeColor="text1"/>
          <w:sz w:val="32"/>
          <w:szCs w:val="32"/>
          <w:highlight w:val="none"/>
          <w14:textFill>
            <w14:solidFill>
              <w14:schemeClr w14:val="tx1"/>
            </w14:solidFill>
          </w14:textFill>
        </w:rPr>
        <w:t>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大竹县综合行政执法局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w:t>
      </w:r>
      <w:r>
        <w:rPr>
          <w:rFonts w:hint="eastAsia" w:ascii="仿宋" w:hAnsi="仿宋" w:eastAsia="仿宋"/>
          <w:b/>
          <w:color w:val="000000" w:themeColor="text1"/>
          <w:sz w:val="32"/>
          <w:szCs w:val="32"/>
          <w:highlight w:val="none"/>
          <w14:textFill>
            <w14:solidFill>
              <w14:schemeClr w14:val="tx1"/>
            </w14:solidFill>
          </w14:textFill>
        </w:rPr>
        <w:t>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大竹县综合行政执法局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FF0000"/>
          <w:sz w:val="32"/>
          <w:szCs w:val="32"/>
          <w:highlight w:val="none"/>
          <w:lang w:eastAsia="zh-CN"/>
        </w:rPr>
      </w:pPr>
      <w:r>
        <w:rPr>
          <w:rFonts w:hint="eastAsia" w:ascii="仿宋" w:hAnsi="仿宋" w:eastAsia="仿宋"/>
          <w:b/>
          <w:color w:val="auto"/>
          <w:sz w:val="32"/>
          <w:szCs w:val="32"/>
          <w:highlight w:val="none"/>
        </w:rPr>
        <w:t>（四）</w:t>
      </w:r>
      <w:r>
        <w:rPr>
          <w:rFonts w:hint="eastAsia" w:ascii="仿宋" w:hAnsi="仿宋" w:eastAsia="仿宋"/>
          <w:b/>
          <w:color w:val="000000" w:themeColor="text1"/>
          <w:sz w:val="32"/>
          <w:szCs w:val="32"/>
          <w:highlight w:val="none"/>
          <w14:textFill>
            <w14:solidFill>
              <w14:schemeClr w14:val="tx1"/>
            </w14:solidFill>
          </w14:textFill>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eastAsia="zh-CN"/>
        </w:rPr>
        <w:t>双马公司垃圾处理及运行经费项目、双马垃圾填埋场正式封场工程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、污水处理项目、综合行政执法经费项目等</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b w:val="0"/>
          <w:bCs/>
          <w:kern w:val="0"/>
          <w:sz w:val="32"/>
          <w:szCs w:val="32"/>
          <w:lang w:val="zh-CN"/>
        </w:rPr>
        <w:t>资金管理和使用合理，监管到位</w:t>
      </w:r>
      <w:r>
        <w:rPr>
          <w:rFonts w:hint="eastAsia" w:ascii="仿宋_GB2312" w:hAnsi="仿宋_GB2312" w:eastAsia="仿宋_GB2312" w:cs="仿宋_GB2312"/>
          <w:sz w:val="32"/>
          <w:szCs w:val="32"/>
        </w:rPr>
        <w:t>。本部门自行组织了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个项目支出绩效评价。</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双马公司垃圾处理及运行经费项目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双马垃圾填埋场正式封场项目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、“污水处理项目”、“综合行政执法经费项目”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双马公司垃圾处理及运行经费项目</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1380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了县城区垃圾处理，做好了垃圾日产日清，垃圾无害化处理率达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eastAsia="zh-CN"/>
        </w:rPr>
        <w:t>了大竹经济社会发展和生态环境的改善</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大竹发展软实力。</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进一步加强公司治理，提高管理水平，促进经济社会发展，建设繁荣、美丽、和谐大竹。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双马垃圾填埋场正式封场</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双马垃圾填埋场的正常运转，实现了垃圾填埋场无垃圾臭味，库区空气质量好转，市民满意度提升。</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财政资金压力大，资金保障有待提升</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在保民生和日常运行基础上，挖掘资金潜力，推进项目建设。</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）污水处理项目绩效目标完成情况综述。项目全年预算数</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lang w:eastAsia="zh-CN"/>
        </w:rPr>
        <w:t>万元，执行数为</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%。通过项目实施，</w:t>
      </w:r>
      <w:r>
        <w:rPr>
          <w:rFonts w:hint="eastAsia" w:ascii="仿宋_GB2312" w:hAnsi="仿宋_GB2312" w:eastAsia="仿宋_GB2312" w:cs="仿宋_GB2312"/>
          <w:sz w:val="32"/>
          <w:szCs w:val="32"/>
          <w:lang w:val="en-US" w:eastAsia="zh-CN"/>
        </w:rPr>
        <w:t>垃圾填埋场污水处理服务达到合同约定要求，出水正常，场</w:t>
      </w:r>
      <w:r>
        <w:rPr>
          <w:rFonts w:hint="eastAsia" w:ascii="仿宋_GB2312" w:hAnsi="仿宋_GB2312" w:eastAsia="仿宋_GB2312" w:cs="仿宋_GB2312"/>
          <w:sz w:val="32"/>
          <w:szCs w:val="32"/>
          <w:lang w:eastAsia="zh-CN"/>
        </w:rPr>
        <w:t>区周边</w:t>
      </w:r>
      <w:r>
        <w:rPr>
          <w:rFonts w:hint="eastAsia" w:ascii="仿宋_GB2312" w:hAnsi="仿宋_GB2312" w:eastAsia="仿宋_GB2312" w:cs="仿宋_GB2312"/>
          <w:sz w:val="32"/>
          <w:szCs w:val="32"/>
          <w:lang w:val="en-US" w:eastAsia="zh-CN"/>
        </w:rPr>
        <w:t>人居环境得到改善</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eastAsia="zh-CN"/>
        </w:rPr>
        <w:t>发现的主要问题：无。下一步改进措施：做好监督指导，确保项目有序开展。</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综合行政执法经费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135.6万元，执行数为135.6万元，完成预算的100%。通过项目实施，</w:t>
      </w:r>
      <w:r>
        <w:rPr>
          <w:rFonts w:hint="eastAsia" w:ascii="仿宋_GB2312" w:hAnsi="仿宋_GB2312" w:eastAsia="仿宋_GB2312" w:cs="仿宋_GB2312"/>
          <w:sz w:val="32"/>
          <w:szCs w:val="32"/>
          <w:lang w:val="zh-CN" w:eastAsia="zh-CN"/>
        </w:rPr>
        <w:t>以做好城市市容环境长效管理工作，有效巩固国家卫生城市创建成果，全国文明城市创建，全力推进市容环境综合整治和人居环境提升工作，切实加大执法力度，不断加强对占道经营、违法散发小广告、违章运输处置渣土等市容环境违法行为的整治，以带动全县文明和谐全面发展。</w:t>
      </w:r>
      <w:r>
        <w:rPr>
          <w:rFonts w:hint="eastAsia" w:ascii="仿宋_GB2312" w:hAnsi="仿宋_GB2312" w:eastAsia="仿宋_GB2312" w:cs="仿宋_GB2312"/>
          <w:sz w:val="32"/>
          <w:szCs w:val="32"/>
          <w:lang w:val="en-US" w:eastAsia="zh-CN"/>
        </w:rPr>
        <w:t>发现的主要问题：无。下一步改进措施：加大考核、监督，提升执法水平。</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sz w:val="32"/>
          <w:szCs w:val="32"/>
          <w:lang w:eastAsia="zh-CN"/>
        </w:rPr>
        <w:t>双马公司垃圾处理及运行经费项目、双马垃圾填埋场正式封场工程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、污水处理项目、综合行政执法经费项目等</w:t>
      </w:r>
      <w:r>
        <w:rPr>
          <w:rFonts w:hint="eastAsia" w:ascii="仿宋_GB2312" w:hAnsi="仿宋_GB2312" w:eastAsia="仿宋_GB2312" w:cs="仿宋_GB2312"/>
          <w:sz w:val="32"/>
          <w:szCs w:val="32"/>
        </w:rPr>
        <w:t>开展了预算事前绩效评估</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2021年特定目标类部门预算项目绩效目标自评表见附件（第四部分）</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4"/>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kinsoku/>
        <w:wordWrap/>
        <w:overflowPunct/>
        <w:topLinePunct w:val="0"/>
        <w:bidi w:val="0"/>
        <w:snapToGrid/>
        <w:spacing w:line="578" w:lineRule="exact"/>
        <w:ind w:right="0" w:rightChars="0" w:firstLine="640"/>
        <w:rPr>
          <w:rFonts w:hint="eastAsia" w:ascii="仿宋" w:hAnsi="仿宋" w:eastAsia="仿宋" w:cs="Times New Roman"/>
          <w:bCs/>
          <w:color w:val="auto"/>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 xml:space="preserve">9.社会保障和就业（208）行政事业单位养老支出（05）机关事业单位基本养老保险缴费支出（05）: </w:t>
      </w:r>
      <w:r>
        <w:rPr>
          <w:rFonts w:hint="eastAsia" w:ascii="仿宋" w:hAnsi="仿宋" w:eastAsia="仿宋" w:cs="Times New Roman"/>
          <w:bCs/>
          <w:color w:val="auto"/>
          <w:kern w:val="0"/>
          <w:sz w:val="32"/>
          <w:szCs w:val="32"/>
          <w:lang w:val="en-US" w:eastAsia="zh-CN" w:bidi="ar-SA"/>
        </w:rPr>
        <w:t>指反映机关事业单位实施养老保险制度由单位缴纳的基本养老保险费支出。</w:t>
      </w:r>
    </w:p>
    <w:p>
      <w:pPr>
        <w:pageBreakBefore w:val="0"/>
        <w:kinsoku/>
        <w:wordWrap/>
        <w:overflowPunct/>
        <w:topLinePunct w:val="0"/>
        <w:autoSpaceDE/>
        <w:autoSpaceDN/>
        <w:bidi w:val="0"/>
        <w:spacing w:line="578" w:lineRule="exact"/>
        <w:ind w:right="0" w:rightChars="0" w:firstLine="640" w:firstLineChars="200"/>
        <w:textAlignment w:val="auto"/>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10.社会保障和就业（208）行政事业单位养老支出（05）  其他行政事业单位养老支出（99）:指反映除上述项目以外其他用于行政事业单位养老方面的支出。</w:t>
      </w:r>
    </w:p>
    <w:p>
      <w:pPr>
        <w:pageBreakBefore w:val="0"/>
        <w:kinsoku/>
        <w:wordWrap/>
        <w:overflowPunct/>
        <w:topLinePunct w:val="0"/>
        <w:autoSpaceDE/>
        <w:autoSpaceDN/>
        <w:bidi w:val="0"/>
        <w:spacing w:line="578" w:lineRule="exact"/>
        <w:ind w:right="0" w:rightChars="0" w:firstLine="640" w:firstLineChars="200"/>
        <w:textAlignment w:val="auto"/>
        <w:rPr>
          <w:rFonts w:hint="default"/>
          <w:lang w:val="en-US" w:eastAsia="zh-CN"/>
        </w:rPr>
      </w:pPr>
      <w:r>
        <w:rPr>
          <w:rFonts w:hint="eastAsia" w:ascii="仿宋" w:hAnsi="仿宋" w:eastAsia="仿宋" w:cs="Times New Roman"/>
          <w:bCs/>
          <w:color w:val="000000"/>
          <w:kern w:val="0"/>
          <w:sz w:val="32"/>
          <w:szCs w:val="32"/>
          <w:lang w:val="en-US" w:eastAsia="zh-CN" w:bidi="ar-SA"/>
        </w:rPr>
        <w:t>11.节能环保支出（211）其他节能环保支出（99） 其其他节能环保支出（99）:指反映除上述项目以外其他用于节能环保方面的支出。</w:t>
      </w:r>
    </w:p>
    <w:p>
      <w:pPr>
        <w:keepNext w:val="0"/>
        <w:keepLines w:val="0"/>
        <w:pageBreakBefore w:val="0"/>
        <w:kinsoku/>
        <w:wordWrap/>
        <w:overflowPunct/>
        <w:topLinePunct w:val="0"/>
        <w:bidi w:val="0"/>
        <w:snapToGrid/>
        <w:spacing w:line="578" w:lineRule="exact"/>
        <w:ind w:right="0" w:rightChars="0" w:firstLine="64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12.城乡社区支出（212）城乡社区管理事务（01）城管执法（04）: 指反映城市管理综合行政执法、加强城市市容和环境卫生管理等方面的支出。</w:t>
      </w:r>
    </w:p>
    <w:p>
      <w:pPr>
        <w:keepNext w:val="0"/>
        <w:keepLines w:val="0"/>
        <w:pageBreakBefore w:val="0"/>
        <w:kinsoku/>
        <w:wordWrap/>
        <w:overflowPunct/>
        <w:topLinePunct w:val="0"/>
        <w:bidi w:val="0"/>
        <w:snapToGrid/>
        <w:spacing w:line="578" w:lineRule="exact"/>
        <w:ind w:right="0" w:rightChars="0" w:firstLine="640"/>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13.城乡社区支出（212）城乡社区环境卫生（05）城乡社区环境卫生（01）: 指反映城城乡社区道路清扫、垃圾清运与处理、公厕建设与维护、园林绿化等方面的支出。</w:t>
      </w:r>
    </w:p>
    <w:p>
      <w:pPr>
        <w:pageBreakBefore w:val="0"/>
        <w:kinsoku/>
        <w:wordWrap/>
        <w:overflowPunct/>
        <w:topLinePunct w:val="0"/>
        <w:autoSpaceDE/>
        <w:autoSpaceDN/>
        <w:bidi w:val="0"/>
        <w:spacing w:line="578" w:lineRule="exact"/>
        <w:ind w:right="0" w:rightChars="0" w:firstLine="640" w:firstLineChars="200"/>
        <w:textAlignment w:val="auto"/>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14.城乡社区支出（212）国有土地使用权出让收入安排的支出（08）征地和拆迁补偿支出（01）：指反映地方政府在征地和收购土地过程中支付的土地补偿费、安置补助费、地上附着和青苗补偿费、拆迁补偿费费支出。</w:t>
      </w:r>
    </w:p>
    <w:p>
      <w:pPr>
        <w:pageBreakBefore w:val="0"/>
        <w:kinsoku/>
        <w:wordWrap/>
        <w:overflowPunct/>
        <w:topLinePunct w:val="0"/>
        <w:autoSpaceDE/>
        <w:autoSpaceDN/>
        <w:bidi w:val="0"/>
        <w:spacing w:line="578" w:lineRule="exact"/>
        <w:ind w:right="0" w:rightChars="0" w:firstLine="640" w:firstLineChars="200"/>
        <w:textAlignment w:val="auto"/>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15.城乡社区支出（212）国有土地使用权出让收入安排的支出（08）其他国有土地使用权出让收入安排的支出（99）: 指反映土地出让收入用于其他方面的支出。</w:t>
      </w:r>
    </w:p>
    <w:p>
      <w:pPr>
        <w:keepNext w:val="0"/>
        <w:keepLines w:val="0"/>
        <w:pageBreakBefore w:val="0"/>
        <w:kinsoku/>
        <w:wordWrap/>
        <w:overflowPunct/>
        <w:topLinePunct w:val="0"/>
        <w:bidi w:val="0"/>
        <w:snapToGrid/>
        <w:spacing w:line="578" w:lineRule="exact"/>
        <w:ind w:right="0" w:rightChars="0" w:firstLine="640"/>
        <w:rPr>
          <w:rFonts w:hint="default"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16.农林水支出（213）扶贫（05）其他扶贫支出（99）：</w:t>
      </w:r>
    </w:p>
    <w:p>
      <w:pPr>
        <w:keepNext w:val="0"/>
        <w:keepLines w:val="0"/>
        <w:pageBreakBefore w:val="0"/>
        <w:kinsoku/>
        <w:wordWrap/>
        <w:overflowPunct/>
        <w:topLinePunct w:val="0"/>
        <w:bidi w:val="0"/>
        <w:snapToGrid/>
        <w:spacing w:line="578" w:lineRule="exact"/>
        <w:ind w:right="0" w:rightChars="0" w:firstLine="640"/>
        <w:rPr>
          <w:rFonts w:hint="default"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17.住房保障支出（221）住房改革支出（02）住房公积金（01）：指反映行政事业单位按人力资源和社会保障部、财政部规定的基本工资和津贴补贴以及规定比例为职工缴纳的住房公积金。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bidi w:val="0"/>
        <w:snapToGrid/>
        <w:spacing w:line="578" w:lineRule="exact"/>
        <w:ind w:right="0" w:rightChars="0" w:firstLine="640"/>
        <w:rPr>
          <w:rFonts w:hint="default"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18.灾害防治及应急管理支出（224）其他灾害防治及应急管理支出（99）其他灾害防治及应急管理支出（99）:反映除上述项目以外其他用于灾害防治及应急管理的支出。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Cs/>
          <w:sz w:val="44"/>
          <w:szCs w:val="44"/>
          <w:lang w:eastAsia="zh-CN"/>
        </w:rPr>
      </w:pPr>
      <w:bookmarkStart w:id="53" w:name="_Toc15396618"/>
      <w:r>
        <w:rPr>
          <w:rFonts w:hint="eastAsia" w:ascii="方正小标宋简体" w:hAnsi="方正小标宋简体" w:eastAsia="方正小标宋简体" w:cs="方正小标宋简体"/>
          <w:bCs/>
          <w:sz w:val="44"/>
          <w:szCs w:val="44"/>
          <w:lang w:eastAsia="zh-CN"/>
        </w:rPr>
        <w:t>大竹县综合行政执法局</w:t>
      </w: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2021年部门整体支出</w:t>
      </w:r>
      <w:r>
        <w:rPr>
          <w:rFonts w:hint="eastAsia" w:ascii="方正小标宋简体" w:hAnsi="方正小标宋简体" w:eastAsia="方正小标宋简体" w:cs="方正小标宋简体"/>
          <w:bCs/>
          <w:sz w:val="44"/>
          <w:szCs w:val="44"/>
        </w:rPr>
        <w:t>绩效</w:t>
      </w:r>
      <w:r>
        <w:rPr>
          <w:rFonts w:hint="eastAsia" w:ascii="方正小标宋简体" w:hAnsi="方正小标宋简体" w:eastAsia="方正小标宋简体" w:cs="方正小标宋简体"/>
          <w:bCs/>
          <w:sz w:val="44"/>
          <w:szCs w:val="44"/>
          <w:lang w:eastAsia="zh-CN"/>
        </w:rPr>
        <w:t>评价</w:t>
      </w:r>
      <w:r>
        <w:rPr>
          <w:rFonts w:hint="eastAsia" w:ascii="方正小标宋简体" w:hAnsi="方正小标宋简体" w:eastAsia="方正小标宋简体" w:cs="方正小标宋简体"/>
          <w:bCs/>
          <w:sz w:val="44"/>
          <w:szCs w:val="44"/>
        </w:rPr>
        <w:t>报告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jc w:val="left"/>
        <w:textAlignment w:val="auto"/>
        <w:outlineLvl w:val="0"/>
        <w:rPr>
          <w:rFonts w:hint="eastAsia" w:ascii="黑体" w:hAnsi="黑体" w:eastAsia="黑体" w:cs="宋体"/>
          <w:kern w:val="0"/>
          <w:lang w:val="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0" w:firstLineChars="200"/>
        <w:jc w:val="left"/>
        <w:textAlignment w:val="auto"/>
        <w:outlineLvl w:val="0"/>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一、单位概况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jc w:val="left"/>
        <w:textAlignment w:val="auto"/>
        <w:outlineLvl w:val="0"/>
        <w:rPr>
          <w:rFonts w:hint="eastAsia" w:ascii="黑体" w:hAnsi="黑体" w:eastAsia="黑体" w:cs="宋体"/>
          <w:kern w:val="0"/>
          <w:sz w:val="32"/>
          <w:szCs w:val="32"/>
          <w:lang w:val="zh-CN"/>
        </w:rPr>
      </w:pPr>
      <w:r>
        <w:rPr>
          <w:rFonts w:hint="eastAsia" w:ascii="楷体_GB2312" w:hAnsi="宋体" w:eastAsia="楷体_GB2312" w:cs="宋体"/>
          <w:b/>
          <w:kern w:val="0"/>
          <w:sz w:val="32"/>
          <w:szCs w:val="32"/>
          <w:lang w:val="zh-CN"/>
        </w:rPr>
        <w:t>（一）机构组成。</w:t>
      </w:r>
    </w:p>
    <w:p>
      <w:pPr>
        <w:keepNext w:val="0"/>
        <w:keepLines w:val="0"/>
        <w:pageBreakBefore w:val="0"/>
        <w:kinsoku/>
        <w:wordWrap/>
        <w:overflowPunct/>
        <w:topLinePunct w:val="0"/>
        <w:autoSpaceDE/>
        <w:autoSpaceDN/>
        <w:bidi w:val="0"/>
        <w:spacing w:line="578" w:lineRule="exact"/>
        <w:ind w:right="0" w:rightChars="0"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大竹县综合行政执法局内设办公室、政策法规股、环卫管理股、财务装备股、执法监督协调股等五个股室，</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color w:val="000000"/>
          <w:sz w:val="32"/>
          <w:szCs w:val="32"/>
        </w:rPr>
        <w:t>纳入</w:t>
      </w:r>
      <w:r>
        <w:rPr>
          <w:rFonts w:hint="eastAsia" w:ascii="仿宋_GB2312" w:hAnsi="仿宋_GB2312" w:eastAsia="仿宋_GB2312" w:cs="仿宋_GB2312"/>
          <w:sz w:val="32"/>
          <w:szCs w:val="32"/>
        </w:rPr>
        <w:t>大竹县</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行政执法局</w:t>
      </w:r>
      <w:r>
        <w:rPr>
          <w:rFonts w:hint="eastAsia" w:ascii="仿宋_GB2312" w:hAnsi="仿宋_GB2312" w:cs="仿宋_GB2312"/>
          <w:color w:val="000000"/>
          <w:sz w:val="32"/>
          <w:szCs w:val="32"/>
          <w:lang w:eastAsia="zh-CN"/>
        </w:rPr>
        <w:t>2021</w:t>
      </w:r>
      <w:r>
        <w:rPr>
          <w:rFonts w:hint="eastAsia" w:ascii="仿宋_GB2312" w:hAnsi="仿宋_GB2312" w:eastAsia="仿宋_GB2312" w:cs="仿宋_GB2312"/>
          <w:color w:val="000000"/>
          <w:sz w:val="32"/>
          <w:szCs w:val="32"/>
        </w:rPr>
        <w:t>年度部门决算编制范围的二级预算单位包括：</w:t>
      </w:r>
      <w:r>
        <w:rPr>
          <w:rFonts w:hint="eastAsia" w:ascii="仿宋_GB2312" w:hAnsi="仿宋_GB2312" w:eastAsia="仿宋_GB2312" w:cs="仿宋_GB2312"/>
          <w:color w:val="000000"/>
          <w:sz w:val="32"/>
          <w:szCs w:val="32"/>
          <w:lang w:eastAsia="zh-CN"/>
        </w:rPr>
        <w:t>大竹县</w:t>
      </w:r>
      <w:r>
        <w:rPr>
          <w:rFonts w:hint="eastAsia" w:ascii="仿宋_GB2312" w:hAnsi="仿宋_GB2312" w:eastAsia="仿宋_GB2312" w:cs="仿宋_GB2312"/>
          <w:sz w:val="32"/>
          <w:szCs w:val="32"/>
        </w:rPr>
        <w:t>城市管理行政执法</w:t>
      </w:r>
      <w:r>
        <w:rPr>
          <w:rFonts w:hint="eastAsia" w:ascii="仿宋_GB2312" w:hAnsi="仿宋_GB2312" w:eastAsia="仿宋_GB2312" w:cs="仿宋_GB2312"/>
          <w:sz w:val="32"/>
          <w:szCs w:val="32"/>
          <w:lang w:eastAsia="zh-CN"/>
        </w:rPr>
        <w:t>大队和大竹县双马垃圾处理有限责任公司。</w:t>
      </w:r>
    </w:p>
    <w:p>
      <w:pPr>
        <w:keepNext w:val="0"/>
        <w:keepLines w:val="0"/>
        <w:pageBreakBefore w:val="0"/>
        <w:kinsoku/>
        <w:wordWrap/>
        <w:overflowPunct/>
        <w:topLinePunct w:val="0"/>
        <w:autoSpaceDE/>
        <w:autoSpaceDN/>
        <w:bidi w:val="0"/>
        <w:spacing w:line="578" w:lineRule="exact"/>
        <w:ind w:left="0" w:leftChars="0" w:right="0" w:rightChars="0" w:firstLine="643" w:firstLineChars="200"/>
        <w:textAlignment w:val="auto"/>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en-US" w:eastAsia="zh-CN"/>
        </w:rPr>
        <w:t>(</w:t>
      </w:r>
      <w:r>
        <w:rPr>
          <w:rFonts w:hint="eastAsia" w:ascii="楷体_GB2312" w:hAnsi="宋体" w:eastAsia="楷体_GB2312" w:cs="宋体"/>
          <w:b/>
          <w:kern w:val="0"/>
          <w:sz w:val="32"/>
          <w:szCs w:val="32"/>
          <w:lang w:val="zh-CN"/>
        </w:rPr>
        <w:t>二）机构职能</w:t>
      </w:r>
    </w:p>
    <w:p>
      <w:pPr>
        <w:keepNext w:val="0"/>
        <w:keepLines w:val="0"/>
        <w:pageBreakBefore w:val="0"/>
        <w:kinsoku/>
        <w:wordWrap/>
        <w:overflowPunct/>
        <w:topLinePunct w:val="0"/>
        <w:autoSpaceDE/>
        <w:autoSpaceDN/>
        <w:bidi w:val="0"/>
        <w:spacing w:line="578" w:lineRule="exact"/>
        <w:ind w:left="0" w:leftChars="0" w:right="0" w:rightChars="0" w:firstLine="56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color w:val="000000"/>
          <w:sz w:val="28"/>
          <w:szCs w:val="28"/>
        </w:rPr>
        <w:t>　</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rPr>
        <w:t>大竹县</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行政执法局为行政单位</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市容环境卫生、城市规划、城市绿化、城市市政、环境保护、工商行政、公安交通、道路运输、食品安全等行政处罚权</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left="0" w:leftChars="0" w:right="0" w:rightChars="0" w:firstLine="643" w:firstLineChars="200"/>
        <w:jc w:val="left"/>
        <w:textAlignment w:val="auto"/>
        <w:outlineLvl w:val="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（三）人员概况。</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sz w:val="32"/>
          <w:szCs w:val="32"/>
        </w:rPr>
        <w:t>大竹县</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行政执法局</w:t>
      </w:r>
      <w:r>
        <w:rPr>
          <w:rFonts w:hint="eastAsia" w:ascii="仿宋_GB2312" w:hAnsi="仿宋_GB2312" w:eastAsia="仿宋_GB2312" w:cs="仿宋_GB2312"/>
          <w:color w:val="333333"/>
          <w:sz w:val="32"/>
          <w:szCs w:val="32"/>
        </w:rPr>
        <w:t>单位编制数</w:t>
      </w:r>
      <w:r>
        <w:rPr>
          <w:rFonts w:hint="eastAsia" w:ascii="仿宋_GB2312" w:hAnsi="仿宋_GB2312" w:eastAsia="仿宋_GB2312" w:cs="仿宋_GB2312"/>
          <w:color w:val="333333"/>
          <w:sz w:val="32"/>
          <w:szCs w:val="32"/>
          <w:lang w:val="en-US" w:eastAsia="zh-CN"/>
        </w:rPr>
        <w:t>7</w:t>
      </w:r>
      <w:r>
        <w:rPr>
          <w:rFonts w:hint="eastAsia" w:ascii="仿宋_GB2312" w:hAnsi="仿宋_GB2312" w:cs="仿宋_GB2312"/>
          <w:color w:val="333333"/>
          <w:sz w:val="32"/>
          <w:szCs w:val="32"/>
          <w:lang w:val="en-US" w:eastAsia="zh-CN"/>
        </w:rPr>
        <w:t>7</w:t>
      </w:r>
      <w:r>
        <w:rPr>
          <w:rFonts w:hint="eastAsia" w:ascii="仿宋_GB2312" w:hAnsi="仿宋_GB2312" w:eastAsia="仿宋_GB2312" w:cs="仿宋_GB2312"/>
          <w:color w:val="333333"/>
          <w:sz w:val="32"/>
          <w:szCs w:val="32"/>
        </w:rPr>
        <w:t>人，实有人数</w:t>
      </w:r>
      <w:r>
        <w:rPr>
          <w:rFonts w:hint="eastAsia" w:ascii="仿宋_GB2312" w:hAnsi="仿宋_GB2312" w:eastAsia="仿宋_GB2312" w:cs="仿宋_GB2312"/>
          <w:color w:val="333333"/>
          <w:sz w:val="32"/>
          <w:szCs w:val="32"/>
          <w:lang w:val="en-US" w:eastAsia="zh-CN"/>
        </w:rPr>
        <w:t>6</w:t>
      </w:r>
      <w:r>
        <w:rPr>
          <w:rFonts w:hint="eastAsia" w:ascii="仿宋_GB2312" w:hAnsi="仿宋_GB2312" w:cs="仿宋_GB2312"/>
          <w:color w:val="333333"/>
          <w:sz w:val="32"/>
          <w:szCs w:val="32"/>
          <w:lang w:val="en-US" w:eastAsia="zh-CN"/>
        </w:rPr>
        <w:t>4</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eastAsia="zh-CN"/>
        </w:rPr>
        <w:t>其中：行政人员</w:t>
      </w:r>
      <w:r>
        <w:rPr>
          <w:rFonts w:hint="eastAsia" w:ascii="仿宋_GB2312" w:hAnsi="仿宋_GB2312" w:eastAsia="仿宋_GB2312" w:cs="仿宋_GB2312"/>
          <w:color w:val="333333"/>
          <w:sz w:val="32"/>
          <w:szCs w:val="32"/>
          <w:lang w:val="en-US" w:eastAsia="zh-CN"/>
        </w:rPr>
        <w:t>1</w:t>
      </w:r>
      <w:r>
        <w:rPr>
          <w:rFonts w:hint="eastAsia" w:ascii="仿宋_GB2312" w:hAnsi="仿宋_GB2312" w:cs="仿宋_GB2312"/>
          <w:color w:val="333333"/>
          <w:sz w:val="32"/>
          <w:szCs w:val="32"/>
          <w:lang w:val="en-US" w:eastAsia="zh-CN"/>
        </w:rPr>
        <w:t>3</w:t>
      </w:r>
      <w:r>
        <w:rPr>
          <w:rFonts w:hint="eastAsia" w:ascii="仿宋_GB2312" w:hAnsi="仿宋_GB2312" w:eastAsia="仿宋_GB2312" w:cs="仿宋_GB2312"/>
          <w:color w:val="333333"/>
          <w:sz w:val="32"/>
          <w:szCs w:val="32"/>
          <w:lang w:val="en-US" w:eastAsia="zh-CN"/>
        </w:rPr>
        <w:t>人，参公管理人员5</w:t>
      </w:r>
      <w:r>
        <w:rPr>
          <w:rFonts w:hint="eastAsia" w:ascii="仿宋_GB2312" w:hAnsi="仿宋_GB2312" w:cs="仿宋_GB2312"/>
          <w:color w:val="333333"/>
          <w:sz w:val="32"/>
          <w:szCs w:val="32"/>
          <w:lang w:val="en-US" w:eastAsia="zh-CN"/>
        </w:rPr>
        <w:t>1</w:t>
      </w:r>
      <w:r>
        <w:rPr>
          <w:rFonts w:hint="eastAsia" w:ascii="仿宋_GB2312" w:hAnsi="仿宋_GB2312" w:eastAsia="仿宋_GB2312" w:cs="仿宋_GB2312"/>
          <w:color w:val="333333"/>
          <w:sz w:val="32"/>
          <w:szCs w:val="32"/>
          <w:lang w:val="en-US" w:eastAsia="zh-CN"/>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0" w:firstLineChars="200"/>
        <w:jc w:val="left"/>
        <w:textAlignment w:val="auto"/>
        <w:outlineLvl w:val="0"/>
        <w:rPr>
          <w:rFonts w:hint="eastAsia" w:ascii="黑体" w:hAnsi="黑体" w:eastAsia="黑体" w:cs="宋体"/>
          <w:kern w:val="0"/>
          <w:sz w:val="32"/>
          <w:szCs w:val="32"/>
        </w:rPr>
      </w:pPr>
      <w:r>
        <w:rPr>
          <w:rFonts w:hint="eastAsia" w:ascii="黑体" w:hAnsi="黑体" w:eastAsia="黑体" w:cs="宋体"/>
          <w:kern w:val="0"/>
          <w:sz w:val="32"/>
          <w:szCs w:val="32"/>
        </w:rPr>
        <w:t>二、部门财政资金收支情况</w:t>
      </w:r>
    </w:p>
    <w:p>
      <w:pPr>
        <w:keepNext w:val="0"/>
        <w:keepLines w:val="0"/>
        <w:pageBreakBefore w:val="0"/>
        <w:widowControl/>
        <w:kinsoku/>
        <w:wordWrap/>
        <w:overflowPunct/>
        <w:topLinePunct w:val="0"/>
        <w:autoSpaceDE/>
        <w:autoSpaceDN/>
        <w:bidi w:val="0"/>
        <w:adjustRightInd w:val="0"/>
        <w:snapToGrid w:val="0"/>
        <w:spacing w:line="578" w:lineRule="exact"/>
        <w:ind w:left="0" w:leftChars="0" w:right="0" w:rightChars="0" w:firstLine="643" w:firstLineChars="200"/>
        <w:jc w:val="left"/>
        <w:textAlignment w:val="auto"/>
        <w:outlineLvl w:val="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textAlignment w:val="auto"/>
        <w:outlineLvl w:val="0"/>
        <w:rPr>
          <w:rFonts w:hint="eastAsia" w:ascii="仿宋_GB2312" w:hAnsi="仿宋_GB2312" w:eastAsia="仿宋_GB2312" w:cs="仿宋_GB2312"/>
          <w:bCs/>
          <w:kern w:val="0"/>
          <w:sz w:val="32"/>
          <w:szCs w:val="32"/>
        </w:rPr>
      </w:pPr>
      <w:r>
        <w:rPr>
          <w:rFonts w:hint="eastAsia" w:ascii="仿宋_GB2312" w:hAnsi="仿宋_GB2312" w:cs="仿宋_GB2312"/>
          <w:sz w:val="32"/>
          <w:szCs w:val="32"/>
          <w:lang w:val="en-US" w:eastAsia="zh-CN"/>
        </w:rPr>
        <w:t>2021</w:t>
      </w:r>
      <w:r>
        <w:rPr>
          <w:rFonts w:hint="eastAsia" w:ascii="仿宋_GB2312" w:hAnsi="仿宋_GB2312" w:eastAsia="仿宋_GB2312" w:cs="仿宋_GB2312"/>
          <w:sz w:val="32"/>
          <w:szCs w:val="32"/>
        </w:rPr>
        <w:t>年收入合计</w:t>
      </w:r>
      <w:r>
        <w:rPr>
          <w:rFonts w:hint="eastAsia" w:ascii="仿宋_GB2312" w:hAnsi="仿宋_GB2312" w:cs="仿宋_GB2312"/>
          <w:sz w:val="32"/>
          <w:szCs w:val="32"/>
          <w:lang w:val="en-US" w:eastAsia="zh-CN"/>
        </w:rPr>
        <w:t xml:space="preserve"> 3840.82</w:t>
      </w:r>
      <w:r>
        <w:rPr>
          <w:rFonts w:hint="eastAsia" w:ascii="仿宋_GB2312" w:hAnsi="仿宋_GB2312" w:eastAsia="仿宋_GB2312" w:cs="仿宋_GB2312"/>
          <w:sz w:val="32"/>
          <w:szCs w:val="32"/>
        </w:rPr>
        <w:t>万元，</w:t>
      </w:r>
      <w:r>
        <w:rPr>
          <w:rFonts w:hint="eastAsia" w:ascii="仿宋_GB2312" w:hAnsi="仿宋_GB2312" w:eastAsia="仿宋_GB2312" w:cs="仿宋_GB2312"/>
          <w:bCs/>
          <w:kern w:val="0"/>
          <w:sz w:val="32"/>
          <w:szCs w:val="32"/>
        </w:rPr>
        <w:t>包括：一般公共预算财政拨款收入</w:t>
      </w:r>
      <w:r>
        <w:rPr>
          <w:rFonts w:hint="eastAsia" w:ascii="仿宋_GB2312" w:hAnsi="仿宋_GB2312" w:cs="仿宋_GB2312"/>
          <w:bCs/>
          <w:kern w:val="0"/>
          <w:sz w:val="32"/>
          <w:szCs w:val="32"/>
          <w:lang w:val="en-US" w:eastAsia="zh-CN"/>
        </w:rPr>
        <w:t>2130.90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sz w:val="32"/>
          <w:szCs w:val="32"/>
        </w:rPr>
        <w:t>政府性基金预算财政拨款</w:t>
      </w:r>
      <w:r>
        <w:rPr>
          <w:rFonts w:hint="eastAsia" w:ascii="仿宋_GB2312" w:hAnsi="仿宋_GB2312" w:cs="仿宋_GB2312"/>
          <w:sz w:val="32"/>
          <w:szCs w:val="32"/>
          <w:lang w:eastAsia="zh-CN"/>
        </w:rPr>
        <w:t>收入</w:t>
      </w:r>
      <w:r>
        <w:rPr>
          <w:rFonts w:hint="eastAsia" w:ascii="仿宋_GB2312" w:hAnsi="仿宋_GB2312" w:cs="仿宋_GB2312"/>
          <w:sz w:val="32"/>
          <w:szCs w:val="32"/>
          <w:lang w:val="en-US" w:eastAsia="zh-CN"/>
        </w:rPr>
        <w:t>1709.92</w:t>
      </w:r>
      <w:r>
        <w:rPr>
          <w:rFonts w:hint="eastAsia" w:ascii="仿宋_GB2312" w:hAnsi="仿宋_GB2312" w:eastAsia="仿宋_GB2312" w:cs="仿宋_GB2312"/>
          <w:sz w:val="32"/>
          <w:szCs w:val="32"/>
        </w:rPr>
        <w:t>万元。</w:t>
      </w:r>
      <w:r>
        <w:rPr>
          <w:rFonts w:hint="eastAsia" w:ascii="仿宋_GB2312" w:hAnsi="仿宋_GB2312" w:eastAsia="仿宋_GB2312" w:cs="仿宋_GB2312"/>
          <w:bCs/>
          <w:kern w:val="0"/>
          <w:sz w:val="32"/>
          <w:szCs w:val="32"/>
        </w:rPr>
        <w:t>其中：城乡社区支出</w:t>
      </w:r>
      <w:r>
        <w:rPr>
          <w:rFonts w:hint="eastAsia" w:ascii="仿宋_GB2312" w:hAnsi="仿宋_GB2312" w:cs="仿宋_GB2312"/>
          <w:bCs/>
          <w:kern w:val="0"/>
          <w:sz w:val="32"/>
          <w:szCs w:val="32"/>
          <w:lang w:val="en-US" w:eastAsia="zh-CN"/>
        </w:rPr>
        <w:t xml:space="preserve">3546.96 </w:t>
      </w:r>
      <w:r>
        <w:rPr>
          <w:rFonts w:hint="eastAsia" w:ascii="仿宋_GB2312" w:hAnsi="仿宋_GB2312" w:eastAsia="仿宋_GB2312" w:cs="仿宋_GB2312"/>
          <w:sz w:val="32"/>
          <w:szCs w:val="32"/>
        </w:rPr>
        <w:t>万</w:t>
      </w:r>
      <w:r>
        <w:rPr>
          <w:rFonts w:hint="eastAsia" w:ascii="仿宋_GB2312" w:hAnsi="仿宋_GB2312" w:eastAsia="仿宋_GB2312" w:cs="仿宋_GB2312"/>
          <w:bCs/>
          <w:kern w:val="0"/>
          <w:sz w:val="32"/>
          <w:szCs w:val="32"/>
        </w:rPr>
        <w:t>元；住房保障支出</w:t>
      </w:r>
      <w:r>
        <w:rPr>
          <w:rFonts w:hint="eastAsia" w:ascii="仿宋_GB2312" w:hAnsi="仿宋_GB2312" w:cs="仿宋_GB2312"/>
          <w:bCs/>
          <w:kern w:val="0"/>
          <w:sz w:val="32"/>
          <w:szCs w:val="32"/>
          <w:lang w:val="en-US" w:eastAsia="zh-CN"/>
        </w:rPr>
        <w:t>51.18</w:t>
      </w:r>
      <w:r>
        <w:rPr>
          <w:rFonts w:hint="eastAsia" w:ascii="仿宋_GB2312" w:hAnsi="仿宋_GB2312" w:eastAsia="仿宋_GB2312" w:cs="仿宋_GB2312"/>
          <w:bCs/>
          <w:kern w:val="0"/>
          <w:sz w:val="32"/>
          <w:szCs w:val="32"/>
        </w:rPr>
        <w:t>万元；社会保障和就业支出</w:t>
      </w:r>
      <w:r>
        <w:rPr>
          <w:rFonts w:hint="eastAsia" w:ascii="仿宋_GB2312" w:hAnsi="仿宋_GB2312" w:cs="仿宋_GB2312"/>
          <w:bCs/>
          <w:kern w:val="0"/>
          <w:sz w:val="32"/>
          <w:szCs w:val="32"/>
          <w:lang w:val="en-US" w:eastAsia="zh-CN"/>
        </w:rPr>
        <w:t>29.39</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；卫生健康支出</w:t>
      </w:r>
      <w:r>
        <w:rPr>
          <w:rFonts w:hint="eastAsia" w:ascii="仿宋_GB2312" w:hAnsi="仿宋_GB2312" w:cs="仿宋_GB2312"/>
          <w:bCs/>
          <w:kern w:val="0"/>
          <w:sz w:val="32"/>
          <w:szCs w:val="32"/>
          <w:lang w:val="en-US" w:eastAsia="zh-CN"/>
        </w:rPr>
        <w:t>42.80</w:t>
      </w:r>
      <w:r>
        <w:rPr>
          <w:rFonts w:hint="eastAsia" w:ascii="仿宋_GB2312" w:hAnsi="仿宋_GB2312" w:eastAsia="仿宋_GB2312" w:cs="仿宋_GB2312"/>
          <w:bCs/>
          <w:kern w:val="0"/>
          <w:sz w:val="32"/>
          <w:szCs w:val="32"/>
          <w:lang w:val="en-US" w:eastAsia="zh-CN"/>
        </w:rPr>
        <w:t>万元</w:t>
      </w:r>
      <w:r>
        <w:rPr>
          <w:rFonts w:hint="eastAsia" w:ascii="仿宋_GB2312" w:hAnsi="仿宋_GB2312" w:cs="仿宋_GB2312"/>
          <w:bCs/>
          <w:kern w:val="0"/>
          <w:sz w:val="32"/>
          <w:szCs w:val="32"/>
          <w:lang w:val="en-US" w:eastAsia="zh-CN"/>
        </w:rPr>
        <w:t>；节能环保支出10.00万元；农林水支出43.45万元；灾害防治及应急管理支出117.04万元</w:t>
      </w:r>
      <w:r>
        <w:rPr>
          <w:rFonts w:hint="eastAsia" w:ascii="仿宋_GB2312" w:hAnsi="仿宋_GB2312" w:eastAsia="仿宋_GB2312" w:cs="仿宋_GB2312"/>
          <w:bCs/>
          <w:kern w:val="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jc w:val="left"/>
        <w:textAlignment w:val="auto"/>
        <w:outlineLvl w:val="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（二）部门财政资金支出情况。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2"/>
        <w:jc w:val="left"/>
        <w:textAlignment w:val="auto"/>
        <w:outlineLvl w:val="0"/>
        <w:rPr>
          <w:rFonts w:hint="eastAsia" w:ascii="楷体_GB2312" w:hAnsi="宋体" w:eastAsia="楷体_GB2312" w:cs="宋体"/>
          <w:b/>
          <w:kern w:val="0"/>
          <w:lang w:val="en-US" w:eastAsia="zh-CN"/>
        </w:rPr>
      </w:pPr>
      <w:r>
        <w:rPr>
          <w:rFonts w:hint="eastAsia" w:ascii="仿宋_GB2312" w:hAnsi="仿宋_GB2312" w:cs="仿宋_GB2312"/>
          <w:sz w:val="32"/>
          <w:szCs w:val="32"/>
          <w:lang w:val="en-US" w:eastAsia="zh-CN"/>
        </w:rPr>
        <w:t>2021</w:t>
      </w:r>
      <w:r>
        <w:rPr>
          <w:rFonts w:hint="eastAsia" w:ascii="仿宋_GB2312" w:hAnsi="仿宋_GB2312" w:eastAsia="仿宋_GB2312" w:cs="仿宋_GB2312"/>
          <w:sz w:val="32"/>
          <w:szCs w:val="32"/>
          <w:lang w:val="en-US" w:eastAsia="zh-CN"/>
        </w:rPr>
        <w:t>年支出</w:t>
      </w:r>
      <w:r>
        <w:rPr>
          <w:rFonts w:hint="eastAsia" w:ascii="仿宋_GB2312" w:hAnsi="仿宋_GB2312" w:cs="仿宋_GB2312"/>
          <w:sz w:val="32"/>
          <w:szCs w:val="32"/>
          <w:lang w:val="en-US" w:eastAsia="zh-CN"/>
        </w:rPr>
        <w:t>3871.53</w:t>
      </w:r>
      <w:r>
        <w:rPr>
          <w:rFonts w:hint="eastAsia" w:ascii="仿宋_GB2312" w:hAnsi="仿宋_GB2312" w:eastAsia="仿宋_GB2312" w:cs="仿宋_GB2312"/>
          <w:sz w:val="32"/>
          <w:szCs w:val="32"/>
          <w:lang w:val="en-US" w:eastAsia="zh-CN"/>
        </w:rPr>
        <w:t>万元，其中：人员经费支出</w:t>
      </w:r>
      <w:r>
        <w:rPr>
          <w:rFonts w:hint="eastAsia" w:ascii="仿宋_GB2312" w:hAnsi="仿宋_GB2312" w:cs="仿宋_GB2312"/>
          <w:sz w:val="32"/>
          <w:szCs w:val="32"/>
          <w:lang w:val="en-US" w:eastAsia="zh-CN"/>
        </w:rPr>
        <w:t>706.83</w:t>
      </w:r>
      <w:r>
        <w:rPr>
          <w:rFonts w:hint="eastAsia" w:ascii="仿宋_GB2312" w:hAnsi="仿宋_GB2312" w:eastAsia="仿宋_GB2312" w:cs="仿宋_GB2312"/>
          <w:sz w:val="32"/>
          <w:szCs w:val="32"/>
          <w:lang w:val="en-US" w:eastAsia="zh-CN"/>
        </w:rPr>
        <w:t>万元；公用经费支出</w:t>
      </w:r>
      <w:r>
        <w:rPr>
          <w:rFonts w:hint="eastAsia" w:ascii="仿宋_GB2312" w:hAnsi="仿宋_GB2312" w:cs="仿宋_GB2312"/>
          <w:sz w:val="32"/>
          <w:szCs w:val="32"/>
          <w:lang w:val="en-US" w:eastAsia="zh-CN"/>
        </w:rPr>
        <w:t>261.28</w:t>
      </w:r>
      <w:r>
        <w:rPr>
          <w:rFonts w:hint="eastAsia" w:ascii="仿宋_GB2312" w:hAnsi="仿宋_GB2312" w:eastAsia="仿宋_GB2312" w:cs="仿宋_GB2312"/>
          <w:sz w:val="32"/>
          <w:szCs w:val="32"/>
          <w:lang w:val="en-US" w:eastAsia="zh-CN"/>
        </w:rPr>
        <w:t>万元；项目支出</w:t>
      </w:r>
      <w:r>
        <w:rPr>
          <w:rFonts w:hint="eastAsia" w:ascii="仿宋_GB2312" w:hAnsi="仿宋_GB2312" w:cs="仿宋_GB2312"/>
          <w:sz w:val="32"/>
          <w:szCs w:val="32"/>
          <w:lang w:val="en-US" w:eastAsia="zh-CN"/>
        </w:rPr>
        <w:t>2903.42</w:t>
      </w:r>
      <w:r>
        <w:rPr>
          <w:rFonts w:hint="eastAsia" w:ascii="仿宋_GB2312" w:hAnsi="仿宋_GB2312" w:eastAsia="仿宋_GB2312" w:cs="仿宋_GB2312"/>
          <w:sz w:val="32"/>
          <w:szCs w:val="32"/>
          <w:lang w:val="en-US" w:eastAsia="zh-CN"/>
        </w:rPr>
        <w:t>万元。</w:t>
      </w:r>
    </w:p>
    <w:p>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left="0" w:leftChars="0" w:right="0" w:rightChars="0" w:firstLine="640" w:firstLineChars="200"/>
        <w:jc w:val="left"/>
        <w:textAlignment w:val="auto"/>
        <w:outlineLvl w:val="0"/>
        <w:rPr>
          <w:rFonts w:hint="eastAsia" w:ascii="黑体" w:hAnsi="黑体" w:eastAsia="黑体" w:cs="宋体"/>
          <w:kern w:val="0"/>
          <w:sz w:val="32"/>
          <w:szCs w:val="32"/>
        </w:rPr>
      </w:pPr>
      <w:r>
        <w:rPr>
          <w:rFonts w:hint="eastAsia" w:ascii="黑体" w:hAnsi="黑体" w:eastAsia="黑体" w:cs="宋体"/>
          <w:kern w:val="0"/>
          <w:sz w:val="32"/>
          <w:szCs w:val="32"/>
        </w:rPr>
        <w:t>部门</w:t>
      </w:r>
      <w:r>
        <w:rPr>
          <w:rFonts w:hint="eastAsia" w:ascii="黑体" w:hAnsi="黑体" w:eastAsia="黑体" w:cs="宋体"/>
          <w:kern w:val="0"/>
          <w:sz w:val="32"/>
          <w:szCs w:val="32"/>
          <w:lang w:eastAsia="zh-CN"/>
        </w:rPr>
        <w:t>整体预算绩效</w:t>
      </w:r>
      <w:r>
        <w:rPr>
          <w:rFonts w:hint="eastAsia" w:ascii="黑体" w:hAnsi="黑体" w:eastAsia="黑体" w:cs="宋体"/>
          <w:kern w:val="0"/>
          <w:sz w:val="32"/>
          <w:szCs w:val="32"/>
        </w:rPr>
        <w:t>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643" w:firstLineChars="200"/>
        <w:jc w:val="left"/>
        <w:textAlignment w:val="auto"/>
        <w:outlineLvl w:val="0"/>
        <w:rPr>
          <w:rFonts w:hint="eastAsia" w:ascii="楷体_GB2312" w:hAnsi="宋体" w:eastAsia="楷体_GB2312" w:cs="宋体"/>
          <w:b/>
          <w:kern w:val="0"/>
          <w:sz w:val="32"/>
          <w:szCs w:val="32"/>
          <w:lang w:val="zh-CN"/>
        </w:rPr>
      </w:pPr>
      <w:r>
        <w:rPr>
          <w:rFonts w:hint="eastAsia" w:ascii="楷体_GB2312" w:hAnsi="宋体" w:eastAsia="楷体_GB2312" w:cs="宋体"/>
          <w:b/>
          <w:kern w:val="0"/>
          <w:sz w:val="32"/>
          <w:szCs w:val="32"/>
          <w:lang w:val="zh-CN"/>
        </w:rPr>
        <w:t>（一）部门预算管理</w:t>
      </w:r>
    </w:p>
    <w:p>
      <w:pPr>
        <w:keepNext w:val="0"/>
        <w:keepLines w:val="0"/>
        <w:pageBreakBefore w:val="0"/>
        <w:kinsoku/>
        <w:wordWrap/>
        <w:overflowPunct/>
        <w:topLinePunct w:val="0"/>
        <w:autoSpaceDE/>
        <w:autoSpaceDN/>
        <w:bidi w:val="0"/>
        <w:snapToGrid w:val="0"/>
        <w:spacing w:line="578" w:lineRule="exact"/>
        <w:ind w:left="0" w:leftChars="0" w:right="0" w:righ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年度部门的绩效目标制定、目标完成、预决算编制等均按照县财政局下达的相关文件指标进行了编制，对部门整体支出的预算执行高度重视，严格按县财政的批复执行预算范围内开支，并完成所有预定目标，年中人员变动，及时进行了预算动态调整，全年无违规记录。较好地保证了财务开支和资金使用的合法合规、安全有效。全部经费按规定管理使用、保障</w:t>
      </w:r>
      <w:r>
        <w:rPr>
          <w:rFonts w:hint="eastAsia" w:ascii="仿宋_GB2312" w:hAnsi="仿宋_GB2312" w:cs="仿宋_GB2312"/>
          <w:sz w:val="32"/>
          <w:szCs w:val="32"/>
          <w:lang w:val="en-US" w:eastAsia="zh-CN"/>
        </w:rPr>
        <w:t>我局</w:t>
      </w:r>
      <w:r>
        <w:rPr>
          <w:rFonts w:hint="eastAsia" w:ascii="仿宋_GB2312" w:hAnsi="仿宋_GB2312" w:eastAsia="仿宋_GB2312" w:cs="仿宋_GB2312"/>
          <w:sz w:val="32"/>
          <w:szCs w:val="32"/>
          <w:lang w:val="en-US" w:eastAsia="zh-CN"/>
        </w:rPr>
        <w:t>工作正常运转，确保各项工作任务顺利完成。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lang w:eastAsia="zh-CN"/>
        </w:rPr>
        <w:t>（二）</w:t>
      </w:r>
      <w:r>
        <w:rPr>
          <w:rFonts w:hint="eastAsia" w:ascii="楷体_GB2312" w:hAnsi="宋体" w:eastAsia="楷体_GB2312" w:cs="宋体"/>
          <w:b/>
          <w:color w:val="000000"/>
          <w:kern w:val="0"/>
          <w:sz w:val="30"/>
          <w:szCs w:val="30"/>
          <w:shd w:val="clear" w:color="auto" w:fill="FFFFFF"/>
        </w:rPr>
        <w:t>结果应用情况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我单位整体支出绩效自评得分基本准确，绩效目标和绩效自评按要求向社会进行了公开，针对绩效管理过程中出现的问题，进行了有效地整改、完善、改进。预算安排的基本支出保障了正常的工作运转，在资金的管理和使用上，严守法律底线、纪律底线、道德底线。通过加强城市管理综合执法，有效保证了市容整洁、交通有序、经营秩序改善、空气质量提升、民生工程有序推进，给全城居民创造了一个良好舒适的人居环境，得到了广大市民的好评。</w:t>
      </w:r>
    </w:p>
    <w:p>
      <w:pPr>
        <w:keepNext w:val="0"/>
        <w:keepLines w:val="0"/>
        <w:pageBreakBefore w:val="0"/>
        <w:widowControl/>
        <w:kinsoku/>
        <w:wordWrap/>
        <w:overflowPunct/>
        <w:topLinePunct w:val="0"/>
        <w:autoSpaceDE/>
        <w:autoSpaceDN/>
        <w:bidi w:val="0"/>
        <w:adjustRightInd w:val="0"/>
        <w:snapToGrid w:val="0"/>
        <w:spacing w:line="578" w:lineRule="exact"/>
        <w:ind w:firstLine="600" w:firstLineChars="200"/>
        <w:contextualSpacing/>
        <w:jc w:val="left"/>
        <w:textAlignment w:val="auto"/>
        <w:rPr>
          <w:rFonts w:hint="eastAsia" w:ascii="黑体" w:hAnsi="宋体" w:eastAsia="黑体" w:cs="宋体"/>
          <w:color w:val="000000"/>
          <w:kern w:val="0"/>
          <w:sz w:val="30"/>
          <w:szCs w:val="30"/>
          <w:shd w:val="clear" w:color="auto" w:fill="FFFFFF"/>
        </w:rPr>
      </w:pPr>
      <w:r>
        <w:rPr>
          <w:rFonts w:hint="eastAsia" w:ascii="黑体" w:hAnsi="黑体" w:eastAsia="黑体" w:cs="宋体"/>
          <w:color w:val="000000"/>
          <w:kern w:val="0"/>
          <w:sz w:val="30"/>
          <w:szCs w:val="30"/>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02" w:firstLineChars="200"/>
        <w:contextualSpacing/>
        <w:jc w:val="left"/>
        <w:textAlignment w:val="auto"/>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（一）评价结论。</w:t>
      </w:r>
    </w:p>
    <w:p>
      <w:pPr>
        <w:keepNext w:val="0"/>
        <w:keepLines w:val="0"/>
        <w:pageBreakBefore w:val="0"/>
        <w:widowControl/>
        <w:kinsoku/>
        <w:wordWrap/>
        <w:overflowPunct/>
        <w:topLinePunct w:val="0"/>
        <w:autoSpaceDE/>
        <w:autoSpaceDN/>
        <w:bidi w:val="0"/>
        <w:adjustRightInd w:val="0"/>
        <w:snapToGrid w:val="0"/>
        <w:spacing w:line="578" w:lineRule="exact"/>
        <w:ind w:firstLine="720"/>
        <w:jc w:val="left"/>
        <w:textAlignment w:val="auto"/>
        <w:outlineLvl w:val="0"/>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zh-CN"/>
        </w:rPr>
        <w:t>我单位总体评价是：资金管理和使用合理，监管到位</w:t>
      </w:r>
      <w:r>
        <w:rPr>
          <w:rFonts w:hint="eastAsia" w:ascii="仿宋_GB2312" w:hAnsi="仿宋_GB2312" w:cs="仿宋_GB2312"/>
          <w:b w:val="0"/>
          <w:bCs/>
          <w:kern w:val="0"/>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02" w:firstLineChars="200"/>
        <w:jc w:val="left"/>
        <w:textAlignment w:val="auto"/>
        <w:outlineLvl w:val="0"/>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lang w:eastAsia="zh-CN"/>
        </w:rPr>
        <w:t>（二）</w:t>
      </w:r>
      <w:r>
        <w:rPr>
          <w:rFonts w:hint="eastAsia" w:ascii="楷体_GB2312" w:hAnsi="宋体" w:eastAsia="楷体_GB2312" w:cs="宋体"/>
          <w:b/>
          <w:color w:val="000000"/>
          <w:kern w:val="0"/>
          <w:sz w:val="30"/>
          <w:szCs w:val="30"/>
          <w:shd w:val="clear" w:color="auto" w:fill="FFFFFF"/>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textAlignment w:val="auto"/>
        <w:outlineLvl w:val="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1、资金使用效能化还有进一步提高的空间；</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textAlignment w:val="auto"/>
        <w:outlineLvl w:val="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w:t>
      </w:r>
      <w:r>
        <w:rPr>
          <w:rFonts w:hint="eastAsia" w:ascii="仿宋_GB2312" w:hAnsi="仿宋_GB2312" w:cs="仿宋_GB2312"/>
          <w:b w:val="0"/>
          <w:bCs/>
          <w:kern w:val="0"/>
          <w:sz w:val="32"/>
          <w:szCs w:val="32"/>
          <w:lang w:val="en-US" w:eastAsia="zh-CN"/>
        </w:rPr>
        <w:t>综合执法</w:t>
      </w:r>
      <w:r>
        <w:rPr>
          <w:rFonts w:hint="eastAsia" w:ascii="仿宋_GB2312" w:hAnsi="仿宋_GB2312" w:eastAsia="仿宋_GB2312" w:cs="仿宋_GB2312"/>
          <w:b w:val="0"/>
          <w:bCs/>
          <w:kern w:val="0"/>
          <w:sz w:val="32"/>
          <w:szCs w:val="32"/>
          <w:lang w:val="en-US" w:eastAsia="zh-CN"/>
        </w:rPr>
        <w:t>力度有待加强；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jc w:val="left"/>
        <w:textAlignment w:val="auto"/>
        <w:outlineLvl w:val="0"/>
        <w:rPr>
          <w:rFonts w:hint="eastAsia" w:ascii="仿宋_GB2312" w:hAnsi="仿宋_GB2312" w:eastAsia="仿宋_GB2312" w:cs="仿宋_GB2312"/>
          <w:b w:val="0"/>
          <w:bCs/>
          <w:kern w:val="0"/>
          <w:sz w:val="32"/>
          <w:szCs w:val="32"/>
          <w:lang w:val="zh-CN"/>
        </w:rPr>
      </w:pPr>
      <w:r>
        <w:rPr>
          <w:rFonts w:hint="eastAsia" w:ascii="仿宋_GB2312" w:hAnsi="仿宋_GB2312" w:eastAsia="仿宋_GB2312" w:cs="仿宋_GB2312"/>
          <w:b w:val="0"/>
          <w:bCs/>
          <w:kern w:val="0"/>
          <w:sz w:val="32"/>
          <w:szCs w:val="32"/>
          <w:lang w:val="en-US" w:eastAsia="zh-CN"/>
        </w:rPr>
        <w:t>3、单位内部控制和审计制度有待加强。</w:t>
      </w:r>
    </w:p>
    <w:p>
      <w:pPr>
        <w:keepNext w:val="0"/>
        <w:keepLines w:val="0"/>
        <w:pageBreakBefore w:val="0"/>
        <w:widowControl/>
        <w:kinsoku/>
        <w:wordWrap/>
        <w:overflowPunct/>
        <w:topLinePunct w:val="0"/>
        <w:autoSpaceDE/>
        <w:autoSpaceDN/>
        <w:bidi w:val="0"/>
        <w:adjustRightInd w:val="0"/>
        <w:snapToGrid w:val="0"/>
        <w:spacing w:line="578" w:lineRule="exact"/>
        <w:ind w:firstLine="602" w:firstLineChars="200"/>
        <w:contextualSpacing/>
        <w:jc w:val="left"/>
        <w:textAlignment w:val="auto"/>
        <w:rPr>
          <w:rFonts w:hint="eastAsia" w:ascii="楷体_GB2312" w:hAnsi="宋体" w:eastAsia="楷体_GB2312" w:cs="宋体"/>
          <w:b/>
          <w:color w:val="000000"/>
          <w:kern w:val="0"/>
          <w:sz w:val="30"/>
          <w:szCs w:val="30"/>
          <w:shd w:val="clear" w:color="auto" w:fill="FFFFFF"/>
        </w:rPr>
      </w:pPr>
      <w:r>
        <w:rPr>
          <w:rFonts w:hint="eastAsia" w:ascii="楷体_GB2312" w:hAnsi="宋体" w:eastAsia="楷体_GB2312" w:cs="宋体"/>
          <w:b/>
          <w:color w:val="000000"/>
          <w:kern w:val="0"/>
          <w:sz w:val="30"/>
          <w:szCs w:val="30"/>
          <w:shd w:val="clear" w:color="auto" w:fill="FFFFFF"/>
        </w:rPr>
        <w:t>（三）改进建议</w:t>
      </w:r>
    </w:p>
    <w:p>
      <w:pPr>
        <w:pStyle w:val="13"/>
        <w:keepNext w:val="0"/>
        <w:keepLines w:val="0"/>
        <w:pageBreakBefore w:val="0"/>
        <w:widowControl/>
        <w:suppressLineNumbers w:val="0"/>
        <w:pBdr>
          <w:top w:val="none" w:color="auto" w:sz="0" w:space="0"/>
        </w:pBdr>
        <w:kinsoku/>
        <w:wordWrap/>
        <w:overflowPunct/>
        <w:topLinePunct w:val="0"/>
        <w:autoSpaceDE/>
        <w:autoSpaceDN/>
        <w:bidi w:val="0"/>
        <w:spacing w:before="0" w:beforeAutospacing="0" w:after="0" w:afterAutospacing="0" w:line="578"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１、加强财务管理，严格财务审核，保障资金高效合规使用；</w:t>
      </w:r>
    </w:p>
    <w:p>
      <w:pPr>
        <w:pStyle w:val="13"/>
        <w:keepNext w:val="0"/>
        <w:keepLines w:val="0"/>
        <w:pageBreakBefore w:val="0"/>
        <w:widowControl/>
        <w:suppressLineNumbers w:val="0"/>
        <w:pBdr>
          <w:top w:val="none" w:color="auto" w:sz="0" w:space="0"/>
        </w:pBdr>
        <w:kinsoku/>
        <w:wordWrap/>
        <w:overflowPunct/>
        <w:topLinePunct w:val="0"/>
        <w:autoSpaceDE/>
        <w:autoSpaceDN/>
        <w:bidi w:val="0"/>
        <w:spacing w:before="0" w:beforeAutospacing="0" w:after="0" w:afterAutospacing="0" w:line="578"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２、加大执法力度和文明劝导，提升城市整体形象；</w:t>
      </w:r>
    </w:p>
    <w:p>
      <w:pPr>
        <w:pStyle w:val="13"/>
        <w:keepNext w:val="0"/>
        <w:keepLines w:val="0"/>
        <w:pageBreakBefore w:val="0"/>
        <w:widowControl/>
        <w:suppressLineNumbers w:val="0"/>
        <w:pBdr>
          <w:top w:val="none" w:color="auto" w:sz="0" w:space="0"/>
        </w:pBdr>
        <w:kinsoku/>
        <w:wordWrap/>
        <w:overflowPunct/>
        <w:topLinePunct w:val="0"/>
        <w:autoSpaceDE/>
        <w:autoSpaceDN/>
        <w:bidi w:val="0"/>
        <w:spacing w:before="0" w:beforeAutospacing="0" w:after="0" w:afterAutospacing="0" w:line="578"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３、加强内部审计，严格预算执行；</w:t>
      </w:r>
    </w:p>
    <w:p>
      <w:pPr>
        <w:pStyle w:val="13"/>
        <w:keepNext w:val="0"/>
        <w:keepLines w:val="0"/>
        <w:pageBreakBefore w:val="0"/>
        <w:widowControl/>
        <w:suppressLineNumbers w:val="0"/>
        <w:pBdr>
          <w:top w:val="none" w:color="auto" w:sz="0" w:space="0"/>
        </w:pBdr>
        <w:kinsoku/>
        <w:wordWrap/>
        <w:overflowPunct/>
        <w:topLinePunct w:val="0"/>
        <w:autoSpaceDE/>
        <w:autoSpaceDN/>
        <w:bidi w:val="0"/>
        <w:spacing w:before="0" w:beforeAutospacing="0" w:after="0" w:afterAutospacing="0" w:line="578"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４、强化内部管理，建立健全制度；</w:t>
      </w:r>
    </w:p>
    <w:p>
      <w:pPr>
        <w:pStyle w:val="13"/>
        <w:keepNext w:val="0"/>
        <w:keepLines w:val="0"/>
        <w:pageBreakBefore w:val="0"/>
        <w:widowControl/>
        <w:suppressLineNumbers w:val="0"/>
        <w:pBdr>
          <w:top w:val="none" w:color="auto" w:sz="0" w:space="0"/>
        </w:pBdr>
        <w:kinsoku/>
        <w:wordWrap/>
        <w:overflowPunct/>
        <w:topLinePunct w:val="0"/>
        <w:autoSpaceDE/>
        <w:autoSpaceDN/>
        <w:bidi w:val="0"/>
        <w:spacing w:before="0" w:beforeAutospacing="0" w:after="0" w:afterAutospacing="0" w:line="578" w:lineRule="exact"/>
        <w:ind w:right="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５、营造浓厚的学习氛围，提高干部职工的整体素质。</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color w:val="000000"/>
          <w:sz w:val="32"/>
          <w:szCs w:val="32"/>
          <w:lang w:eastAsia="zh-CN"/>
        </w:rPr>
        <w:t>6、</w:t>
      </w:r>
      <w:r>
        <w:rPr>
          <w:rFonts w:hint="eastAsia" w:ascii="仿宋_GB2312" w:hAnsi="仿宋_GB2312" w:cs="仿宋_GB2312"/>
          <w:color w:val="000000"/>
          <w:sz w:val="32"/>
          <w:szCs w:val="32"/>
          <w:lang w:eastAsia="zh-CN"/>
        </w:rPr>
        <w:t>践行“三讲三有”，奋力</w:t>
      </w:r>
      <w:r>
        <w:rPr>
          <w:rFonts w:hint="eastAsia" w:ascii="仿宋_GB2312" w:hAnsi="仿宋_GB2312" w:eastAsia="仿宋_GB2312" w:cs="仿宋_GB2312"/>
          <w:color w:val="000000"/>
          <w:sz w:val="32"/>
          <w:szCs w:val="32"/>
          <w:lang w:eastAsia="zh-CN"/>
        </w:rPr>
        <w:t>开创大竹</w:t>
      </w:r>
      <w:r>
        <w:rPr>
          <w:rFonts w:hint="eastAsia" w:ascii="仿宋_GB2312" w:hAnsi="仿宋_GB2312" w:cs="仿宋_GB2312"/>
          <w:color w:val="000000"/>
          <w:sz w:val="32"/>
          <w:szCs w:val="32"/>
          <w:lang w:eastAsia="zh-CN"/>
        </w:rPr>
        <w:t>综合行政执法</w:t>
      </w:r>
      <w:r>
        <w:rPr>
          <w:rFonts w:hint="eastAsia" w:ascii="仿宋_GB2312" w:hAnsi="仿宋_GB2312" w:eastAsia="仿宋_GB2312" w:cs="仿宋_GB2312"/>
          <w:color w:val="000000"/>
          <w:sz w:val="32"/>
          <w:szCs w:val="32"/>
          <w:lang w:eastAsia="zh-CN"/>
        </w:rPr>
        <w:t>新局面。</w:t>
      </w:r>
    </w:p>
    <w:p>
      <w:pPr>
        <w:widowControl/>
        <w:adjustRightInd w:val="0"/>
        <w:snapToGrid w:val="0"/>
        <w:spacing w:line="580" w:lineRule="exact"/>
        <w:contextualSpacing/>
        <w:jc w:val="left"/>
      </w:pPr>
    </w:p>
    <w:p>
      <w:pPr>
        <w:spacing w:line="600" w:lineRule="exact"/>
        <w:jc w:val="center"/>
        <w:outlineLvl w:val="0"/>
        <w:rPr>
          <w:rFonts w:hint="eastAsia" w:ascii="黑体" w:hAnsi="黑体" w:eastAsia="黑体"/>
          <w:color w:val="auto"/>
          <w:sz w:val="44"/>
          <w:szCs w:val="44"/>
          <w:highlight w:val="none"/>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720"/>
        <w:textAlignment w:val="auto"/>
        <w:outlineLvl w:val="9"/>
        <w:rPr>
          <w:rFonts w:hint="eastAsia" w:ascii="宋体" w:hAnsi="宋体" w:eastAsia="宋体" w:cs="宋体"/>
          <w:sz w:val="44"/>
          <w:szCs w:val="44"/>
          <w:lang w:eastAsia="zh-CN"/>
        </w:rPr>
      </w:pP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Cs/>
          <w:sz w:val="44"/>
          <w:szCs w:val="44"/>
          <w:lang w:val="zh-CN" w:eastAsia="zh-CN"/>
        </w:rPr>
      </w:pPr>
      <w:r>
        <w:rPr>
          <w:rFonts w:hint="eastAsia" w:ascii="方正小标宋简体" w:hAnsi="方正小标宋简体" w:eastAsia="方正小标宋简体" w:cs="方正小标宋简体"/>
          <w:bCs/>
          <w:sz w:val="44"/>
          <w:szCs w:val="44"/>
          <w:lang w:eastAsia="zh-CN"/>
        </w:rPr>
        <w:t>双马公司垃圾处理及运行经费</w:t>
      </w:r>
      <w:r>
        <w:rPr>
          <w:rFonts w:hint="eastAsia" w:ascii="方正小标宋简体" w:hAnsi="方正小标宋简体" w:eastAsia="方正小标宋简体" w:cs="方正小标宋简体"/>
          <w:bCs/>
          <w:sz w:val="44"/>
          <w:szCs w:val="44"/>
          <w:lang w:val="zh-CN" w:eastAsia="zh-CN"/>
        </w:rPr>
        <w:t>项目</w:t>
      </w: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202</w:t>
      </w:r>
      <w:r>
        <w:rPr>
          <w:rFonts w:hint="eastAsia" w:ascii="方正小标宋简体" w:hAnsi="方正小标宋简体" w:eastAsia="方正小标宋简体" w:cs="方正小标宋简体"/>
          <w:bCs/>
          <w:sz w:val="44"/>
          <w:szCs w:val="44"/>
          <w:lang w:val="en-US" w:eastAsia="zh-CN"/>
        </w:rPr>
        <w:t>1</w:t>
      </w:r>
      <w:r>
        <w:rPr>
          <w:rFonts w:hint="eastAsia" w:ascii="方正小标宋简体" w:hAnsi="方正小标宋简体" w:eastAsia="方正小标宋简体" w:cs="方正小标宋简体"/>
          <w:bCs/>
          <w:sz w:val="44"/>
          <w:szCs w:val="44"/>
          <w:lang w:eastAsia="zh-CN"/>
        </w:rPr>
        <w:t>年</w:t>
      </w:r>
      <w:r>
        <w:rPr>
          <w:rFonts w:hint="eastAsia" w:ascii="方正小标宋简体" w:hAnsi="方正小标宋简体" w:eastAsia="方正小标宋简体" w:cs="方正小标宋简体"/>
          <w:bCs/>
          <w:sz w:val="44"/>
          <w:szCs w:val="44"/>
          <w:lang w:val="zh-CN" w:eastAsia="zh-CN"/>
        </w:rPr>
        <w:t>绩效评价报告</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outlineLvl w:val="9"/>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竹县综合行政执法局是财政一级核算单位，主要负责城市市容环境卫生管理，依法对城市市容环境卫生实施监督检查，负责城市环境卫生设施、生活垃圾处置和生活垃圾经营性服务方面的管理；负责城市生活垃圾、餐厨垃圾、建筑垃圾的收运、处置及受纳监督管理。单位人员：</w:t>
      </w:r>
      <w:r>
        <w:rPr>
          <w:rFonts w:hint="eastAsia" w:ascii="仿宋_GB2312" w:hAnsi="仿宋_GB2312" w:eastAsia="仿宋_GB2312" w:cs="仿宋_GB2312"/>
          <w:sz w:val="32"/>
          <w:szCs w:val="32"/>
        </w:rPr>
        <w:t>局机关行政编制</w:t>
      </w:r>
      <w:r>
        <w:rPr>
          <w:rFonts w:hint="eastAsia" w:ascii="仿宋_GB2312" w:hAnsi="仿宋_GB2312" w:eastAsia="仿宋_GB2312" w:cs="仿宋_GB2312"/>
          <w:color w:val="000000"/>
          <w:sz w:val="32"/>
          <w:szCs w:val="32"/>
          <w:lang w:val="en-US" w:eastAsia="zh-CN"/>
        </w:rPr>
        <w:t>11名，工勤编制1名，在职职工12人，</w:t>
      </w:r>
      <w:r>
        <w:rPr>
          <w:rFonts w:hint="eastAsia" w:ascii="仿宋_GB2312" w:hAnsi="仿宋_GB2312" w:eastAsia="仿宋_GB2312" w:cs="仿宋_GB2312"/>
          <w:sz w:val="32"/>
          <w:szCs w:val="32"/>
        </w:rPr>
        <w:t>下辖行政执法大队（参公单位）、环境卫生管理所和双马垃圾处理有限责任公司等3个基层单位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县综合行政执法局在该项目中主要负责双马公司日常运行、城区生活垃圾收运处置、资金规范使用、垃圾外运安全的监督管理。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2021年财政下达的年初预算2200万元。主要用于城区生活垃圾外运处置的费用支出和公司的正常运行费用支出。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资金支出严格执行局“三重一大”制度，大额资金集体研究，支出报销会签审批，报销凭证齐全、规范，</w:t>
      </w:r>
      <w:r>
        <w:rPr>
          <w:rFonts w:hint="eastAsia" w:ascii="仿宋_GB2312" w:hAnsi="仿宋_GB2312" w:eastAsia="仿宋_GB2312" w:cs="仿宋_GB2312"/>
          <w:sz w:val="32"/>
          <w:szCs w:val="32"/>
          <w:lang w:val="zh-CN"/>
        </w:rPr>
        <w:t>账务处理及时、会计核算</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lang w:val="zh-CN"/>
        </w:rPr>
        <w:t>向分管领导、主要领导汇报资金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val="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资金分配的原则及考虑因素。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宋体"/>
          <w:sz w:val="32"/>
          <w:szCs w:val="32"/>
          <w:lang w:val="en-US" w:eastAsia="zh-CN"/>
        </w:rPr>
      </w:pPr>
      <w:r>
        <w:rPr>
          <w:rFonts w:hint="eastAsia" w:ascii="仿宋_GB2312" w:hAnsi="仿宋_GB2312" w:eastAsia="仿宋_GB2312" w:cs="仿宋_GB2312"/>
          <w:sz w:val="32"/>
          <w:szCs w:val="32"/>
          <w:lang w:val="en-US" w:eastAsia="zh-CN"/>
        </w:rPr>
        <w:t>科学合理安排资金预算支出，根据全县生活垃圾的日产量及外运处置地点、运输距离及处置费用等因素综合测算，强化执行过程监督，实现资金落到实处</w:t>
      </w:r>
      <w:r>
        <w:rPr>
          <w:rFonts w:hint="eastAsia" w:ascii="仿宋_GB2312" w:hAnsi="宋体"/>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outlineLvl w:val="9"/>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项目主要内容。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公司的日常运行和县城区生活垃圾的收集、压缩、外运处置。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一是城区生活垃圾日产日清；二是城区生活垃圾密闭运输；三是城区生活垃圾无害化处置</w:t>
      </w:r>
      <w:r>
        <w:rPr>
          <w:rFonts w:hint="eastAsia" w:ascii="仿宋_GB2312" w:hAnsi="仿宋_GB2312" w:eastAsia="仿宋_GB2312" w:cs="仿宋_GB2312"/>
          <w:sz w:val="32"/>
          <w:szCs w:val="32"/>
          <w:lang w:val="zh-CN" w:eastAsia="zh-CN"/>
        </w:rPr>
        <w:t>率100%。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3.评价</w:t>
      </w:r>
      <w:r>
        <w:rPr>
          <w:rFonts w:hint="eastAsia" w:ascii="仿宋_GB2312" w:hAnsi="仿宋_GB2312" w:eastAsia="仿宋_GB2312" w:cs="仿宋_GB2312"/>
          <w:sz w:val="32"/>
          <w:szCs w:val="32"/>
          <w:lang w:val="zh-CN" w:eastAsia="zh-CN"/>
        </w:rPr>
        <w:t>申报内容与</w:t>
      </w:r>
      <w:r>
        <w:rPr>
          <w:rFonts w:hint="eastAsia" w:ascii="仿宋_GB2312" w:hAnsi="仿宋_GB2312" w:eastAsia="仿宋_GB2312" w:cs="仿宋_GB2312"/>
          <w:sz w:val="32"/>
          <w:szCs w:val="32"/>
          <w:lang w:val="en-US" w:eastAsia="zh-CN"/>
        </w:rPr>
        <w:t>是否与实际</w:t>
      </w:r>
      <w:r>
        <w:rPr>
          <w:rFonts w:hint="eastAsia" w:ascii="仿宋_GB2312" w:hAnsi="仿宋_GB2312" w:eastAsia="仿宋_GB2312" w:cs="仿宋_GB2312"/>
          <w:sz w:val="32"/>
          <w:szCs w:val="32"/>
          <w:lang w:val="zh-CN" w:eastAsia="zh-CN"/>
        </w:rPr>
        <w:t>相符、申报目标</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lang w:val="zh-CN" w:eastAsia="zh-CN"/>
        </w:rPr>
        <w:t>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城区生活垃圾</w:t>
      </w:r>
      <w:r>
        <w:rPr>
          <w:rFonts w:hint="eastAsia" w:ascii="仿宋_GB2312" w:hAnsi="仿宋_GB2312" w:eastAsia="仿宋_GB2312" w:cs="仿宋_GB2312"/>
          <w:sz w:val="32"/>
          <w:szCs w:val="32"/>
          <w:lang w:val="en-US" w:eastAsia="zh-CN"/>
        </w:rPr>
        <w:t>做到日产日清、密闭运输、垃圾运输</w:t>
      </w:r>
      <w:r>
        <w:rPr>
          <w:rFonts w:hint="eastAsia" w:ascii="仿宋_GB2312" w:hAnsi="仿宋_GB2312" w:eastAsia="仿宋_GB2312" w:cs="仿宋_GB2312"/>
          <w:sz w:val="32"/>
          <w:szCs w:val="32"/>
          <w:lang w:val="zh-CN" w:eastAsia="zh-CN"/>
        </w:rPr>
        <w:t>无害化处置率100%。申报内容与实施内容相符、申报目标合理可行。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outlineLvl w:val="9"/>
        <w:rPr>
          <w:rFonts w:hint="eastAsia" w:ascii="楷体_GB2312" w:hAnsi="宋体" w:eastAsia="楷体_GB2312"/>
          <w:b/>
          <w:bCs w:val="0"/>
          <w:sz w:val="32"/>
          <w:szCs w:val="32"/>
          <w:lang w:val="en-US" w:eastAsia="zh-CN"/>
        </w:rPr>
      </w:pPr>
      <w:r>
        <w:rPr>
          <w:rFonts w:hint="eastAsia" w:ascii="楷体_GB2312" w:hAnsi="宋体" w:eastAsia="楷体_GB2312"/>
          <w:b/>
          <w:bCs w:val="0"/>
          <w:sz w:val="32"/>
          <w:szCs w:val="32"/>
          <w:lang w:val="en-US"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按照上级下达的项目支出绩效评价指标体系，</w:t>
      </w:r>
      <w:r>
        <w:rPr>
          <w:rFonts w:hint="eastAsia" w:ascii="仿宋_GB2312" w:hAnsi="仿宋_GB2312" w:eastAsia="仿宋_GB2312" w:cs="仿宋_GB2312"/>
          <w:sz w:val="32"/>
          <w:szCs w:val="32"/>
          <w:lang w:val="en-US" w:eastAsia="zh-CN"/>
        </w:rPr>
        <w:t>局财务装备股按照年初</w:t>
      </w:r>
      <w:r>
        <w:rPr>
          <w:rFonts w:hint="eastAsia" w:ascii="仿宋_GB2312" w:hAnsi="仿宋_GB2312" w:eastAsia="仿宋_GB2312" w:cs="仿宋_GB2312"/>
          <w:sz w:val="32"/>
          <w:szCs w:val="32"/>
          <w:lang w:val="zh-CN" w:eastAsia="zh-CN"/>
        </w:rPr>
        <w:t>申报内容，</w:t>
      </w:r>
      <w:r>
        <w:rPr>
          <w:rFonts w:hint="eastAsia" w:ascii="仿宋_GB2312" w:hAnsi="仿宋_GB2312" w:eastAsia="仿宋_GB2312" w:cs="仿宋_GB2312"/>
          <w:sz w:val="32"/>
          <w:szCs w:val="32"/>
          <w:lang w:val="en-US" w:eastAsia="zh-CN"/>
        </w:rPr>
        <w:t>对项目的</w:t>
      </w:r>
      <w:r>
        <w:rPr>
          <w:rFonts w:hint="eastAsia" w:ascii="仿宋_GB2312" w:hAnsi="仿宋_GB2312" w:eastAsia="仿宋_GB2312" w:cs="仿宋_GB2312"/>
          <w:sz w:val="32"/>
          <w:szCs w:val="32"/>
          <w:lang w:val="zh-CN" w:eastAsia="zh-CN"/>
        </w:rPr>
        <w:t>实施情况、资金兑现、财务管理、社会效益等</w:t>
      </w:r>
      <w:r>
        <w:rPr>
          <w:rFonts w:hint="eastAsia" w:ascii="仿宋_GB2312" w:hAnsi="仿宋_GB2312" w:eastAsia="仿宋_GB2312" w:cs="仿宋_GB2312"/>
          <w:sz w:val="32"/>
          <w:szCs w:val="32"/>
          <w:lang w:val="en-US" w:eastAsia="zh-CN"/>
        </w:rPr>
        <w:t>全程监管，确保项目支出规范合理。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黑体" w:hAnsi="黑体" w:eastAsia="黑体" w:cs="黑体"/>
          <w:b/>
          <w:bCs/>
          <w:sz w:val="32"/>
          <w:szCs w:val="32"/>
          <w:lang w:val="zh-CN" w:eastAsia="zh-CN"/>
        </w:rPr>
      </w:pPr>
      <w:r>
        <w:rPr>
          <w:rFonts w:hint="eastAsia" w:ascii="黑体" w:hAnsi="黑体" w:eastAsia="黑体" w:cs="黑体"/>
          <w:b/>
          <w:bCs/>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2021年申报双马公司垃圾运输及公司运行费2200万元，财政批复1380万元，财政削减经费820万元。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w:t>
      </w:r>
      <w:r>
        <w:rPr>
          <w:rFonts w:hint="eastAsia" w:ascii="仿宋_GB2312" w:hAnsi="仿宋_GB2312" w:eastAsia="仿宋_GB2312" w:cs="仿宋_GB2312"/>
          <w:sz w:val="32"/>
          <w:szCs w:val="32"/>
          <w:lang w:val="en-US" w:eastAsia="zh-CN"/>
        </w:rPr>
        <w:t>及到位</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公司运营资金均由财政拨款，无自筹资金及其他渠道资金。全年财政预算资金</w:t>
      </w:r>
      <w:r>
        <w:rPr>
          <w:rFonts w:hint="eastAsia" w:ascii="仿宋_GB2312" w:hAnsi="仿宋_GB2312" w:eastAsia="仿宋_GB2312" w:cs="仿宋_GB2312"/>
          <w:sz w:val="32"/>
          <w:szCs w:val="32"/>
          <w:lang w:val="en-US" w:eastAsia="zh-CN"/>
        </w:rPr>
        <w:t>2200</w:t>
      </w:r>
      <w:r>
        <w:rPr>
          <w:rFonts w:hint="eastAsia" w:ascii="仿宋_GB2312" w:hAnsi="仿宋_GB2312" w:eastAsia="仿宋_GB2312" w:cs="仿宋_GB2312"/>
          <w:sz w:val="32"/>
          <w:szCs w:val="32"/>
          <w:lang w:val="zh-CN" w:eastAsia="zh-CN"/>
        </w:rPr>
        <w:t>万元，实际到位资金</w:t>
      </w:r>
      <w:r>
        <w:rPr>
          <w:rFonts w:hint="eastAsia" w:ascii="仿宋_GB2312" w:hAnsi="仿宋_GB2312" w:eastAsia="仿宋_GB2312" w:cs="仿宋_GB2312"/>
          <w:sz w:val="32"/>
          <w:szCs w:val="32"/>
          <w:lang w:val="en-US" w:eastAsia="zh-CN"/>
        </w:rPr>
        <w:t>1380</w:t>
      </w:r>
      <w:r>
        <w:rPr>
          <w:rFonts w:hint="eastAsia" w:ascii="仿宋_GB2312" w:hAnsi="仿宋_GB2312" w:eastAsia="仿宋_GB2312" w:cs="仿宋_GB2312"/>
          <w:sz w:val="32"/>
          <w:szCs w:val="32"/>
          <w:lang w:val="zh-CN" w:eastAsia="zh-CN"/>
        </w:rPr>
        <w:t>万元。，因财政资金不足，资金到位率</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公司的运行经费纳入局全年财政预算，预算下达后，由局拨入公司账户。2021年资金使用情况如下： 2021年全年财政预算资金</w:t>
      </w:r>
      <w:r>
        <w:rPr>
          <w:rFonts w:hint="eastAsia" w:ascii="仿宋_GB2312" w:hAnsi="仿宋_GB2312" w:eastAsia="仿宋_GB2312" w:cs="仿宋_GB2312"/>
          <w:sz w:val="32"/>
          <w:szCs w:val="32"/>
          <w:lang w:val="en-US" w:eastAsia="zh-CN"/>
        </w:rPr>
        <w:t>2200</w:t>
      </w:r>
      <w:r>
        <w:rPr>
          <w:rFonts w:hint="eastAsia" w:ascii="仿宋_GB2312" w:hAnsi="仿宋_GB2312" w:eastAsia="仿宋_GB2312" w:cs="仿宋_GB2312"/>
          <w:sz w:val="32"/>
          <w:szCs w:val="32"/>
          <w:lang w:val="zh-CN" w:eastAsia="zh-CN"/>
        </w:rPr>
        <w:t>万元，全年支出</w:t>
      </w:r>
      <w:r>
        <w:rPr>
          <w:rFonts w:hint="eastAsia" w:ascii="仿宋_GB2312" w:hAnsi="仿宋_GB2312" w:eastAsia="仿宋_GB2312" w:cs="仿宋_GB2312"/>
          <w:sz w:val="32"/>
          <w:szCs w:val="32"/>
          <w:lang w:val="en-US" w:eastAsia="zh-CN"/>
        </w:rPr>
        <w:t>1380</w:t>
      </w:r>
      <w:r>
        <w:rPr>
          <w:rFonts w:hint="eastAsia" w:ascii="仿宋_GB2312" w:hAnsi="仿宋_GB2312" w:eastAsia="仿宋_GB2312" w:cs="仿宋_GB2312"/>
          <w:sz w:val="32"/>
          <w:szCs w:val="32"/>
          <w:lang w:val="zh-CN" w:eastAsia="zh-CN"/>
        </w:rPr>
        <w:t>万元，资金使用率</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lang w:val="zh-CN" w:eastAsia="zh-CN"/>
        </w:rPr>
        <w:t>%，资金支付流程按公司财务管理制度支付。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对财政投入资金进行专户、专账、专人管理，厉行节约，专款专用。</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val="zh-CN" w:eastAsia="zh-CN"/>
        </w:rPr>
        <w:t>财务管理制度健全，严格执行财务管理制度，账务处理</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val="zh-CN" w:eastAsia="zh-CN"/>
        </w:rPr>
        <w:t>，会计核算</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lang w:val="zh-CN" w:eastAsia="zh-CN"/>
        </w:rPr>
        <w:t>。由</w:t>
      </w:r>
      <w:r>
        <w:rPr>
          <w:rFonts w:hint="eastAsia" w:ascii="仿宋_GB2312" w:hAnsi="仿宋_GB2312" w:eastAsia="仿宋_GB2312" w:cs="仿宋_GB2312"/>
          <w:sz w:val="32"/>
          <w:szCs w:val="32"/>
          <w:lang w:val="en-US" w:eastAsia="zh-CN"/>
        </w:rPr>
        <w:t>综合行政执法</w:t>
      </w:r>
      <w:r>
        <w:rPr>
          <w:rFonts w:hint="eastAsia" w:ascii="仿宋_GB2312" w:hAnsi="仿宋_GB2312" w:eastAsia="仿宋_GB2312" w:cs="仿宋_GB2312"/>
          <w:sz w:val="32"/>
          <w:szCs w:val="32"/>
          <w:lang w:val="zh-CN" w:eastAsia="zh-CN"/>
        </w:rPr>
        <w:t>局</w:t>
      </w:r>
      <w:r>
        <w:rPr>
          <w:rFonts w:hint="eastAsia" w:ascii="仿宋_GB2312" w:hAnsi="仿宋_GB2312" w:eastAsia="仿宋_GB2312" w:cs="仿宋_GB2312"/>
          <w:sz w:val="32"/>
          <w:szCs w:val="32"/>
          <w:lang w:val="en-US" w:eastAsia="zh-CN"/>
        </w:rPr>
        <w:t>财务装备股</w:t>
      </w:r>
      <w:r>
        <w:rPr>
          <w:rFonts w:hint="eastAsia" w:ascii="仿宋_GB2312" w:hAnsi="仿宋_GB2312" w:eastAsia="仿宋_GB2312" w:cs="仿宋_GB2312"/>
          <w:sz w:val="32"/>
          <w:szCs w:val="32"/>
          <w:lang w:val="zh-CN" w:eastAsia="zh-CN"/>
        </w:rPr>
        <w:t>监督经费使用情况，保障经费使用工作顺利进行。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en-US" w:eastAsia="zh-CN"/>
        </w:rPr>
        <w:t>（一）资金</w:t>
      </w:r>
      <w:r>
        <w:rPr>
          <w:rFonts w:hint="eastAsia" w:ascii="楷体" w:hAnsi="楷体" w:eastAsia="楷体" w:cs="楷体"/>
          <w:b/>
          <w:bCs/>
          <w:sz w:val="32"/>
          <w:szCs w:val="32"/>
          <w:lang w:val="zh-CN" w:eastAsia="zh-CN"/>
        </w:rPr>
        <w:t>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en-US" w:eastAsia="zh-CN"/>
        </w:rPr>
        <w:t>双马公司与外运处置、运输企业</w:t>
      </w:r>
      <w:r>
        <w:rPr>
          <w:rFonts w:hint="eastAsia" w:ascii="仿宋_GB2312" w:hAnsi="仿宋_GB2312" w:eastAsia="仿宋_GB2312" w:cs="仿宋_GB2312"/>
          <w:sz w:val="32"/>
          <w:szCs w:val="32"/>
          <w:lang w:val="zh-CN" w:eastAsia="zh-CN"/>
        </w:rPr>
        <w:t>签订的协议，严格履行相关条款，</w:t>
      </w:r>
      <w:r>
        <w:rPr>
          <w:rFonts w:hint="eastAsia" w:ascii="仿宋_GB2312" w:hAnsi="仿宋_GB2312" w:eastAsia="仿宋_GB2312" w:cs="仿宋_GB2312"/>
          <w:sz w:val="32"/>
          <w:szCs w:val="32"/>
          <w:lang w:val="en-US" w:eastAsia="zh-CN"/>
        </w:rPr>
        <w:t>月末根据核对结算单支付相关费用。资金使用严格执行“三重一大”制度，单笔资金超过5000元以上的视为大额资金。使用时，严格执行会签制度。公司逐级审签后，报局党组会研究决定，经局领导逐级审签后方可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val="zh-CN" w:eastAsia="zh-CN"/>
        </w:rPr>
        <w:t>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县综合行政执法局</w:t>
      </w:r>
      <w:r>
        <w:rPr>
          <w:rFonts w:hint="eastAsia" w:ascii="仿宋_GB2312" w:hAnsi="仿宋_GB2312" w:eastAsia="仿宋_GB2312" w:cs="仿宋_GB2312"/>
          <w:sz w:val="32"/>
          <w:szCs w:val="32"/>
          <w:lang w:val="zh-CN" w:eastAsia="zh-CN"/>
        </w:rPr>
        <w:t>强化监督，</w:t>
      </w:r>
      <w:r>
        <w:rPr>
          <w:rFonts w:hint="eastAsia" w:ascii="仿宋_GB2312" w:hAnsi="仿宋_GB2312" w:eastAsia="仿宋_GB2312" w:cs="仿宋_GB2312"/>
          <w:sz w:val="32"/>
          <w:szCs w:val="32"/>
          <w:lang w:val="en-US" w:eastAsia="zh-CN"/>
        </w:rPr>
        <w:t>不定期到公司检查和监督垃圾外运情况，</w:t>
      </w:r>
      <w:r>
        <w:rPr>
          <w:rFonts w:hint="eastAsia" w:ascii="仿宋_GB2312" w:hAnsi="仿宋_GB2312" w:eastAsia="仿宋_GB2312" w:cs="仿宋_GB2312"/>
          <w:sz w:val="32"/>
          <w:szCs w:val="32"/>
          <w:lang w:val="zh-CN" w:eastAsia="zh-CN"/>
        </w:rPr>
        <w:t>及时协调解决困难和问题，</w:t>
      </w:r>
      <w:r>
        <w:rPr>
          <w:rFonts w:hint="eastAsia" w:ascii="仿宋_GB2312" w:hAnsi="仿宋_GB2312" w:eastAsia="仿宋_GB2312" w:cs="仿宋_GB2312"/>
          <w:sz w:val="32"/>
          <w:szCs w:val="32"/>
          <w:lang w:val="en-US" w:eastAsia="zh-CN"/>
        </w:rPr>
        <w:t>保证生活垃圾日产日清。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2021年，城区生活垃圾外运至渠县垃圾焚烧发电站无害化处理67012.12吨，做到了生活垃圾日产日清，</w:t>
      </w:r>
      <w:r>
        <w:rPr>
          <w:rFonts w:hint="eastAsia" w:ascii="仿宋_GB2312" w:hAnsi="仿宋_GB2312" w:eastAsia="仿宋_GB2312" w:cs="仿宋_GB2312"/>
          <w:sz w:val="32"/>
          <w:szCs w:val="32"/>
          <w:lang w:val="zh-CN" w:eastAsia="zh-CN"/>
        </w:rPr>
        <w:t>无害化处置率达100%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双马垃圾公司自运行以来，全年正常开展工作，规范处置生活垃圾，杜绝了二次污染，</w:t>
      </w:r>
      <w:r>
        <w:rPr>
          <w:rFonts w:hint="eastAsia" w:ascii="仿宋_GB2312" w:hAnsi="仿宋_GB2312" w:eastAsia="仿宋_GB2312" w:cs="仿宋_GB2312"/>
          <w:sz w:val="32"/>
          <w:szCs w:val="32"/>
          <w:lang w:val="zh-CN" w:eastAsia="zh-CN"/>
        </w:rPr>
        <w:t>改善了生活条件，提高了生活质量，</w:t>
      </w:r>
      <w:r>
        <w:rPr>
          <w:rFonts w:hint="eastAsia" w:ascii="仿宋_GB2312" w:hAnsi="仿宋_GB2312" w:eastAsia="仿宋_GB2312" w:cs="仿宋_GB2312"/>
          <w:sz w:val="32"/>
          <w:szCs w:val="32"/>
          <w:lang w:val="en-US" w:eastAsia="zh-CN"/>
        </w:rPr>
        <w:t>人居环境得到改善</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根据2021年部门预算安排及资金实际支出，综合行政执法局自评96分。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zh-CN"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Cs/>
          <w:sz w:val="44"/>
          <w:szCs w:val="44"/>
          <w:lang w:val="zh-CN" w:eastAsia="zh-CN"/>
        </w:rPr>
      </w:pPr>
      <w:r>
        <w:rPr>
          <w:rFonts w:hint="eastAsia" w:ascii="方正小标宋简体" w:hAnsi="方正小标宋简体" w:eastAsia="方正小标宋简体" w:cs="方正小标宋简体"/>
          <w:bCs/>
          <w:sz w:val="44"/>
          <w:szCs w:val="44"/>
          <w:lang w:val="zh-CN" w:eastAsia="zh-CN"/>
        </w:rPr>
        <w:t>双马垃圾填埋场正式封场工程项目</w:t>
      </w:r>
      <w:r>
        <w:rPr>
          <w:rFonts w:hint="eastAsia" w:ascii="方正小标宋简体" w:hAnsi="方正小标宋简体" w:eastAsia="方正小标宋简体" w:cs="方正小标宋简体"/>
          <w:bCs/>
          <w:sz w:val="44"/>
          <w:szCs w:val="44"/>
          <w:lang w:val="en-US" w:eastAsia="zh-CN"/>
        </w:rPr>
        <w:t>2021年</w:t>
      </w:r>
      <w:r>
        <w:rPr>
          <w:rFonts w:hint="eastAsia" w:ascii="方正小标宋简体" w:hAnsi="方正小标宋简体" w:eastAsia="方正小标宋简体" w:cs="方正小标宋简体"/>
          <w:bCs/>
          <w:sz w:val="44"/>
          <w:szCs w:val="44"/>
          <w:lang w:val="zh-CN" w:eastAsia="zh-CN"/>
        </w:rPr>
        <w:t>绩效评价报告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竹县综合行政执法局是财政一级核算单位，主要负责城市市容环境卫生管理，依法对城市市容环境卫生实施监督检查，负责城市环境卫生设施、生活垃圾处置和生活垃圾经营性服务方面的管理；负责城市生活垃圾、餐厨垃圾、建筑垃圾的收运、处置及受纳监督管理。</w:t>
      </w:r>
      <w:r>
        <w:rPr>
          <w:rFonts w:hint="default" w:ascii="仿宋_GB2312" w:hAnsi="仿宋_GB2312" w:eastAsia="仿宋_GB2312" w:cs="仿宋_GB2312"/>
          <w:sz w:val="32"/>
          <w:szCs w:val="32"/>
          <w:lang w:val="en-US" w:eastAsia="zh-CN"/>
        </w:rPr>
        <w:t>单位人员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局机关行政编制</w:t>
      </w:r>
      <w:r>
        <w:rPr>
          <w:rFonts w:hint="eastAsia" w:ascii="仿宋_GB2312" w:hAnsi="仿宋_GB2312" w:eastAsia="仿宋_GB2312" w:cs="仿宋_GB2312"/>
          <w:sz w:val="32"/>
          <w:szCs w:val="32"/>
          <w:lang w:val="en-US" w:eastAsia="zh-CN"/>
        </w:rPr>
        <w:t>11名，工勤编制1名，在职职工12人，</w:t>
      </w:r>
      <w:r>
        <w:rPr>
          <w:rFonts w:hint="eastAsia" w:ascii="仿宋_GB2312" w:hAnsi="仿宋_GB2312" w:eastAsia="仿宋_GB2312" w:cs="仿宋_GB2312"/>
          <w:sz w:val="32"/>
          <w:szCs w:val="32"/>
          <w:lang w:val="zh-CN" w:eastAsia="zh-CN"/>
        </w:rPr>
        <w:t>下辖行政执法大队（参公单位）、环境卫生管理所和双马垃圾处理有限责任公司等3个基层单位。</w:t>
      </w:r>
      <w:r>
        <w:rPr>
          <w:rFonts w:hint="eastAsia" w:ascii="仿宋_GB2312" w:hAnsi="仿宋_GB2312" w:eastAsia="仿宋_GB2312" w:cs="仿宋_GB2312"/>
          <w:sz w:val="32"/>
          <w:szCs w:val="32"/>
          <w:lang w:val="en-US" w:eastAsia="zh-CN"/>
        </w:rPr>
        <w:t>县综合行政执法局在该项目中主要负责双马垃圾填埋场正式封场资金的规范使用、监督管理。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2021年财政下达的年初预算248.73万元。主要用于双马垃圾填埋场正式封场工程费用支出。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资金支出严格执行局“三重一大”制度，大额资金集体研究，支出报销会签审批，报销凭证齐全、规范，</w:t>
      </w:r>
      <w:r>
        <w:rPr>
          <w:rFonts w:hint="eastAsia" w:ascii="仿宋_GB2312" w:hAnsi="仿宋_GB2312" w:eastAsia="仿宋_GB2312" w:cs="仿宋_GB2312"/>
          <w:sz w:val="32"/>
          <w:szCs w:val="32"/>
          <w:lang w:val="zh-CN" w:eastAsia="zh-CN"/>
        </w:rPr>
        <w:t>账务处理及时、会计核算</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lang w:val="zh-CN" w:eastAsia="zh-CN"/>
        </w:rPr>
        <w:t>向分管领导、主要领导汇报资金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val="zh-CN" w:eastAsia="zh-CN"/>
        </w:rPr>
        <w:t>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资金分配的原则及考虑因素。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科学合理安排资金预算支出，根据双马垃圾填埋场正式封场工程合同约定等因素综合测算，强化执行过程监督，实现资金落到实处。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项目主要内容。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按合同约定支付双马垃圾处理有限公司实施的双马垃圾填埋场正式封场工程第三年度费用。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按合同约定支付双马垃圾处理有限公司实施的双马垃圾填埋场正式封场工程第三年度费用248.73万元</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3.评价</w:t>
      </w:r>
      <w:r>
        <w:rPr>
          <w:rFonts w:hint="eastAsia" w:ascii="仿宋_GB2312" w:hAnsi="仿宋_GB2312" w:eastAsia="仿宋_GB2312" w:cs="仿宋_GB2312"/>
          <w:sz w:val="32"/>
          <w:szCs w:val="32"/>
          <w:lang w:val="zh-CN" w:eastAsia="zh-CN"/>
        </w:rPr>
        <w:t>申报内容与</w:t>
      </w:r>
      <w:r>
        <w:rPr>
          <w:rFonts w:hint="eastAsia" w:ascii="仿宋_GB2312" w:hAnsi="仿宋_GB2312" w:eastAsia="仿宋_GB2312" w:cs="仿宋_GB2312"/>
          <w:sz w:val="32"/>
          <w:szCs w:val="32"/>
          <w:lang w:val="en-US" w:eastAsia="zh-CN"/>
        </w:rPr>
        <w:t>是否与实际</w:t>
      </w:r>
      <w:r>
        <w:rPr>
          <w:rFonts w:hint="eastAsia" w:ascii="仿宋_GB2312" w:hAnsi="仿宋_GB2312" w:eastAsia="仿宋_GB2312" w:cs="仿宋_GB2312"/>
          <w:sz w:val="32"/>
          <w:szCs w:val="32"/>
          <w:lang w:val="zh-CN" w:eastAsia="zh-CN"/>
        </w:rPr>
        <w:t>相符、申报目标</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lang w:val="zh-CN" w:eastAsia="zh-CN"/>
        </w:rPr>
        <w:t>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双马垃圾填埋场正式封场工程已于2019年实施完毕，按合同约定4：3：3支付方式，2021年支付第三年度工程款248.73万元</w:t>
      </w:r>
      <w:r>
        <w:rPr>
          <w:rFonts w:hint="eastAsia" w:ascii="仿宋_GB2312" w:hAnsi="仿宋_GB2312" w:eastAsia="仿宋_GB2312" w:cs="仿宋_GB2312"/>
          <w:sz w:val="32"/>
          <w:szCs w:val="32"/>
          <w:lang w:val="zh-CN" w:eastAsia="zh-CN"/>
        </w:rPr>
        <w:t>。申报内容与实施内容相符、申报目标合理可行。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按照上级下达的项目支出绩效评价指标体系，</w:t>
      </w:r>
      <w:r>
        <w:rPr>
          <w:rFonts w:hint="eastAsia" w:ascii="仿宋_GB2312" w:hAnsi="仿宋_GB2312" w:eastAsia="仿宋_GB2312" w:cs="仿宋_GB2312"/>
          <w:sz w:val="32"/>
          <w:szCs w:val="32"/>
          <w:lang w:val="en-US" w:eastAsia="zh-CN"/>
        </w:rPr>
        <w:t>局财务装备股按照年初</w:t>
      </w:r>
      <w:r>
        <w:rPr>
          <w:rFonts w:hint="eastAsia" w:ascii="仿宋_GB2312" w:hAnsi="仿宋_GB2312" w:eastAsia="仿宋_GB2312" w:cs="仿宋_GB2312"/>
          <w:sz w:val="32"/>
          <w:szCs w:val="32"/>
          <w:lang w:val="zh-CN" w:eastAsia="zh-CN"/>
        </w:rPr>
        <w:t>申报内容，</w:t>
      </w:r>
      <w:r>
        <w:rPr>
          <w:rFonts w:hint="eastAsia" w:ascii="仿宋_GB2312" w:hAnsi="仿宋_GB2312" w:eastAsia="仿宋_GB2312" w:cs="仿宋_GB2312"/>
          <w:sz w:val="32"/>
          <w:szCs w:val="32"/>
          <w:lang w:val="en-US" w:eastAsia="zh-CN"/>
        </w:rPr>
        <w:t>对项目的</w:t>
      </w:r>
      <w:r>
        <w:rPr>
          <w:rFonts w:hint="eastAsia" w:ascii="仿宋_GB2312" w:hAnsi="仿宋_GB2312" w:eastAsia="仿宋_GB2312" w:cs="仿宋_GB2312"/>
          <w:sz w:val="32"/>
          <w:szCs w:val="32"/>
          <w:lang w:val="zh-CN" w:eastAsia="zh-CN"/>
        </w:rPr>
        <w:t>实施情况、资金兑现、财务管理、社会效益等</w:t>
      </w:r>
      <w:r>
        <w:rPr>
          <w:rFonts w:hint="eastAsia" w:ascii="仿宋_GB2312" w:hAnsi="仿宋_GB2312" w:eastAsia="仿宋_GB2312" w:cs="仿宋_GB2312"/>
          <w:sz w:val="32"/>
          <w:szCs w:val="32"/>
          <w:lang w:val="en-US" w:eastAsia="zh-CN"/>
        </w:rPr>
        <w:t>全程监管，确保项目支出规范合理。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2021年申报双马垃圾填埋场正式封场工程费用248.73万元，财政批复100万元。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w:t>
      </w:r>
      <w:r>
        <w:rPr>
          <w:rFonts w:hint="eastAsia" w:ascii="仿宋_GB2312" w:hAnsi="仿宋_GB2312" w:eastAsia="仿宋_GB2312" w:cs="仿宋_GB2312"/>
          <w:sz w:val="32"/>
          <w:szCs w:val="32"/>
          <w:lang w:val="en-US" w:eastAsia="zh-CN"/>
        </w:rPr>
        <w:t>及到位</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公司运营资金均由财政拨款，无自筹资金及其他渠道资金。全年财政预算资金</w:t>
      </w:r>
      <w:r>
        <w:rPr>
          <w:rFonts w:hint="eastAsia" w:ascii="仿宋_GB2312" w:hAnsi="仿宋_GB2312" w:eastAsia="仿宋_GB2312" w:cs="仿宋_GB2312"/>
          <w:sz w:val="32"/>
          <w:szCs w:val="32"/>
          <w:lang w:val="en-US" w:eastAsia="zh-CN"/>
        </w:rPr>
        <w:t>248.73</w:t>
      </w:r>
      <w:r>
        <w:rPr>
          <w:rFonts w:hint="eastAsia" w:ascii="仿宋_GB2312" w:hAnsi="仿宋_GB2312" w:eastAsia="仿宋_GB2312" w:cs="仿宋_GB2312"/>
          <w:sz w:val="32"/>
          <w:szCs w:val="32"/>
          <w:lang w:val="zh-CN" w:eastAsia="zh-CN"/>
        </w:rPr>
        <w:t>万元，实际到位资金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万元，因财政资金不足，资金到位率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双马垃圾填埋场正式封场工程费用</w:t>
      </w:r>
      <w:r>
        <w:rPr>
          <w:rFonts w:hint="eastAsia" w:ascii="仿宋_GB2312" w:hAnsi="仿宋_GB2312" w:eastAsia="仿宋_GB2312" w:cs="仿宋_GB2312"/>
          <w:sz w:val="32"/>
          <w:szCs w:val="32"/>
          <w:lang w:val="zh-CN" w:eastAsia="zh-CN"/>
        </w:rPr>
        <w:t>纳入局全年财政预算，预算下达后，由局拨入公司账户。2021年资金使用情况如下： 2021年全年财政预算资金</w:t>
      </w:r>
      <w:r>
        <w:rPr>
          <w:rFonts w:hint="eastAsia" w:ascii="仿宋_GB2312" w:hAnsi="仿宋_GB2312" w:eastAsia="仿宋_GB2312" w:cs="仿宋_GB2312"/>
          <w:sz w:val="32"/>
          <w:szCs w:val="32"/>
          <w:lang w:val="en-US" w:eastAsia="zh-CN"/>
        </w:rPr>
        <w:t>248.73</w:t>
      </w:r>
      <w:r>
        <w:rPr>
          <w:rFonts w:hint="eastAsia" w:ascii="仿宋_GB2312" w:hAnsi="仿宋_GB2312" w:eastAsia="仿宋_GB2312" w:cs="仿宋_GB2312"/>
          <w:sz w:val="32"/>
          <w:szCs w:val="32"/>
          <w:lang w:val="zh-CN" w:eastAsia="zh-CN"/>
        </w:rPr>
        <w:t>万元，全年支出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万元，资金使用率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0%，资金支付流程按公司财务管理制度支付。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对财政投入资金进行专户、专账、专人管理，厉行节约，专款专用。</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val="zh-CN" w:eastAsia="zh-CN"/>
        </w:rPr>
        <w:t>财务管理制度健全，严格执行财务管理制度，账务处理</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val="zh-CN" w:eastAsia="zh-CN"/>
        </w:rPr>
        <w:t>，会计核算</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lang w:val="zh-CN" w:eastAsia="zh-CN"/>
        </w:rPr>
        <w:t>。由</w:t>
      </w:r>
      <w:r>
        <w:rPr>
          <w:rFonts w:hint="eastAsia" w:ascii="仿宋_GB2312" w:hAnsi="仿宋_GB2312" w:eastAsia="仿宋_GB2312" w:cs="仿宋_GB2312"/>
          <w:sz w:val="32"/>
          <w:szCs w:val="32"/>
          <w:lang w:val="en-US" w:eastAsia="zh-CN"/>
        </w:rPr>
        <w:t>综合行政执法</w:t>
      </w:r>
      <w:r>
        <w:rPr>
          <w:rFonts w:hint="eastAsia" w:ascii="仿宋_GB2312" w:hAnsi="仿宋_GB2312" w:eastAsia="仿宋_GB2312" w:cs="仿宋_GB2312"/>
          <w:sz w:val="32"/>
          <w:szCs w:val="32"/>
          <w:lang w:val="zh-CN" w:eastAsia="zh-CN"/>
        </w:rPr>
        <w:t>局</w:t>
      </w:r>
      <w:r>
        <w:rPr>
          <w:rFonts w:hint="eastAsia" w:ascii="仿宋_GB2312" w:hAnsi="仿宋_GB2312" w:eastAsia="仿宋_GB2312" w:cs="仿宋_GB2312"/>
          <w:sz w:val="32"/>
          <w:szCs w:val="32"/>
          <w:lang w:val="en-US" w:eastAsia="zh-CN"/>
        </w:rPr>
        <w:t>财务装备股</w:t>
      </w:r>
      <w:r>
        <w:rPr>
          <w:rFonts w:hint="eastAsia" w:ascii="仿宋_GB2312" w:hAnsi="仿宋_GB2312" w:eastAsia="仿宋_GB2312" w:cs="仿宋_GB2312"/>
          <w:sz w:val="32"/>
          <w:szCs w:val="32"/>
          <w:lang w:val="zh-CN" w:eastAsia="zh-CN"/>
        </w:rPr>
        <w:t>监督经费使用情况，保障经费使用工作顺利进行。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en-US" w:eastAsia="zh-CN"/>
        </w:rPr>
        <w:t>（一）资金</w:t>
      </w:r>
      <w:r>
        <w:rPr>
          <w:rFonts w:hint="eastAsia" w:ascii="楷体" w:hAnsi="楷体" w:eastAsia="楷体" w:cs="楷体"/>
          <w:b/>
          <w:bCs/>
          <w:sz w:val="32"/>
          <w:szCs w:val="32"/>
          <w:lang w:val="zh-CN" w:eastAsia="zh-CN"/>
        </w:rPr>
        <w:t>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en-US" w:eastAsia="zh-CN"/>
        </w:rPr>
        <w:t>双马垃圾填埋场正式封场工程</w:t>
      </w:r>
      <w:r>
        <w:rPr>
          <w:rFonts w:hint="eastAsia" w:ascii="仿宋_GB2312" w:hAnsi="仿宋_GB2312" w:eastAsia="仿宋_GB2312" w:cs="仿宋_GB2312"/>
          <w:sz w:val="32"/>
          <w:szCs w:val="32"/>
          <w:lang w:val="zh-CN" w:eastAsia="zh-CN"/>
        </w:rPr>
        <w:t>合同，严格履行相关条款，</w:t>
      </w:r>
      <w:r>
        <w:rPr>
          <w:rFonts w:hint="eastAsia" w:ascii="仿宋_GB2312" w:hAnsi="仿宋_GB2312" w:eastAsia="仿宋_GB2312" w:cs="仿宋_GB2312"/>
          <w:sz w:val="32"/>
          <w:szCs w:val="32"/>
          <w:lang w:val="en-US" w:eastAsia="zh-CN"/>
        </w:rPr>
        <w:t>根据核对结算单支付相关费用。资金使用严格执行“三重一大”制度，单笔资金超过5000元以上的视为大额资金。使用时，严格执行会签制度。公司逐级审签后，报局党组会研究决定，经局领导逐级审签后方可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val="zh-CN" w:eastAsia="zh-CN"/>
        </w:rPr>
        <w:t>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县综合行政执法局</w:t>
      </w:r>
      <w:r>
        <w:rPr>
          <w:rFonts w:hint="eastAsia" w:ascii="仿宋_GB2312" w:hAnsi="仿宋_GB2312" w:eastAsia="仿宋_GB2312" w:cs="仿宋_GB2312"/>
          <w:sz w:val="32"/>
          <w:szCs w:val="32"/>
          <w:lang w:val="zh-CN" w:eastAsia="zh-CN"/>
        </w:rPr>
        <w:t>强化监督，</w:t>
      </w:r>
      <w:r>
        <w:rPr>
          <w:rFonts w:hint="eastAsia" w:ascii="仿宋_GB2312" w:hAnsi="仿宋_GB2312" w:eastAsia="仿宋_GB2312" w:cs="仿宋_GB2312"/>
          <w:sz w:val="32"/>
          <w:szCs w:val="32"/>
          <w:lang w:val="en-US" w:eastAsia="zh-CN"/>
        </w:rPr>
        <w:t>不定期到公司检查和监督财务情况，</w:t>
      </w:r>
      <w:r>
        <w:rPr>
          <w:rFonts w:hint="eastAsia" w:ascii="仿宋_GB2312" w:hAnsi="仿宋_GB2312" w:eastAsia="仿宋_GB2312" w:cs="仿宋_GB2312"/>
          <w:sz w:val="32"/>
          <w:szCs w:val="32"/>
          <w:lang w:val="zh-CN" w:eastAsia="zh-CN"/>
        </w:rPr>
        <w:t>及时协调解决困难和问题，</w:t>
      </w:r>
      <w:r>
        <w:rPr>
          <w:rFonts w:hint="eastAsia" w:ascii="仿宋_GB2312" w:hAnsi="仿宋_GB2312" w:eastAsia="仿宋_GB2312" w:cs="仿宋_GB2312"/>
          <w:sz w:val="32"/>
          <w:szCs w:val="32"/>
          <w:lang w:val="en-US" w:eastAsia="zh-CN"/>
        </w:rPr>
        <w:t>保证工程款按期支付。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val="zh-CN" w:eastAsia="zh-CN"/>
        </w:rPr>
        <w:t>因财政资金不足，实际到位资金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万元，资金到位率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双马垃圾填埋场正式封场工程自2019年完工以来，垃圾填埋场停止运行，植被恢复，场区空气质量明显改善，人居环境得到改善</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根据2021年部门预算安排及资金实际支出，综合行政执法局自评96分。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880" w:firstLineChars="200"/>
        <w:jc w:val="center"/>
        <w:textAlignment w:val="auto"/>
        <w:outlineLvl w:val="9"/>
        <w:rPr>
          <w:rFonts w:hint="eastAsia" w:ascii="黑体" w:hAnsi="黑体" w:eastAsia="黑体" w:cs="黑体"/>
          <w:b/>
          <w:bCs/>
          <w:sz w:val="44"/>
          <w:szCs w:val="44"/>
          <w:lang w:val="zh-CN" w:eastAsia="zh-CN"/>
        </w:rPr>
      </w:pPr>
      <w:r>
        <w:rPr>
          <w:rFonts w:hint="eastAsia" w:ascii="方正小标宋简体" w:hAnsi="方正小标宋简体" w:eastAsia="方正小标宋简体" w:cs="方正小标宋简体"/>
          <w:bCs/>
          <w:sz w:val="44"/>
          <w:szCs w:val="44"/>
          <w:lang w:val="zh-CN" w:eastAsia="zh-CN"/>
        </w:rPr>
        <w:t>污水处理费项目</w:t>
      </w:r>
      <w:r>
        <w:rPr>
          <w:rFonts w:hint="eastAsia" w:ascii="方正小标宋简体" w:hAnsi="方正小标宋简体" w:eastAsia="方正小标宋简体" w:cs="方正小标宋简体"/>
          <w:bCs/>
          <w:sz w:val="44"/>
          <w:szCs w:val="44"/>
          <w:lang w:val="en-US" w:eastAsia="zh-CN"/>
        </w:rPr>
        <w:t>2021年</w:t>
      </w:r>
      <w:r>
        <w:rPr>
          <w:rFonts w:hint="eastAsia" w:ascii="方正小标宋简体" w:hAnsi="方正小标宋简体" w:eastAsia="方正小标宋简体" w:cs="方正小标宋简体"/>
          <w:bCs/>
          <w:sz w:val="44"/>
          <w:szCs w:val="44"/>
          <w:lang w:val="zh-CN" w:eastAsia="zh-CN"/>
        </w:rPr>
        <w:t>绩效评价报告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竹县综合行政执法局是财政一级核算单位，主要负责城市市容环境卫生管理，依法对城市市容环境卫生实施监督检查，负责城市环境卫生设施、生活垃圾处置和生活垃圾经营性服务方面的管理；负责城市生活垃圾、餐厨垃圾、建筑垃圾的收运、处置及受纳监督管理。</w:t>
      </w:r>
      <w:r>
        <w:rPr>
          <w:rFonts w:hint="default" w:ascii="仿宋_GB2312" w:hAnsi="仿宋_GB2312" w:eastAsia="仿宋_GB2312" w:cs="仿宋_GB2312"/>
          <w:sz w:val="32"/>
          <w:szCs w:val="32"/>
          <w:lang w:val="en-US" w:eastAsia="zh-CN"/>
        </w:rPr>
        <w:t>单位人员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局机关行政编制</w:t>
      </w:r>
      <w:r>
        <w:rPr>
          <w:rFonts w:hint="eastAsia" w:ascii="仿宋_GB2312" w:hAnsi="仿宋_GB2312" w:eastAsia="仿宋_GB2312" w:cs="仿宋_GB2312"/>
          <w:sz w:val="32"/>
          <w:szCs w:val="32"/>
          <w:lang w:val="en-US" w:eastAsia="zh-CN"/>
        </w:rPr>
        <w:t>11名，工勤编制1名，在职职工12人，</w:t>
      </w:r>
      <w:r>
        <w:rPr>
          <w:rFonts w:hint="eastAsia" w:ascii="仿宋_GB2312" w:hAnsi="仿宋_GB2312" w:eastAsia="仿宋_GB2312" w:cs="仿宋_GB2312"/>
          <w:sz w:val="32"/>
          <w:szCs w:val="32"/>
          <w:lang w:val="zh-CN" w:eastAsia="zh-CN"/>
        </w:rPr>
        <w:t>下辖行政执法大队（参公单位）、环境卫生管理所和双马垃圾处理有限责任公司等3个基层单位。</w:t>
      </w:r>
      <w:r>
        <w:rPr>
          <w:rFonts w:hint="eastAsia" w:ascii="仿宋_GB2312" w:hAnsi="仿宋_GB2312" w:eastAsia="仿宋_GB2312" w:cs="仿宋_GB2312"/>
          <w:sz w:val="32"/>
          <w:szCs w:val="32"/>
          <w:lang w:val="en-US" w:eastAsia="zh-CN"/>
        </w:rPr>
        <w:t>县综合行政执法局在该项目中主要负责双马公司污水处理费专项资金规范使用和监督管理。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2021年财政下达的年初预算190万元。主要用于双马垃圾填埋场污水处理费用支出。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资金支出严格执行局“三重一大”制度，大额资金集体研究，支出报销会签审批，报销凭证齐全、规范，</w:t>
      </w:r>
      <w:r>
        <w:rPr>
          <w:rFonts w:hint="eastAsia" w:ascii="仿宋_GB2312" w:hAnsi="仿宋_GB2312" w:eastAsia="仿宋_GB2312" w:cs="仿宋_GB2312"/>
          <w:sz w:val="32"/>
          <w:szCs w:val="32"/>
          <w:lang w:val="zh-CN" w:eastAsia="zh-CN"/>
        </w:rPr>
        <w:t>账务处理及时、会计核算</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lang w:val="zh-CN" w:eastAsia="zh-CN"/>
        </w:rPr>
        <w:t>向分管领导、主要领导汇报资金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val="zh-CN" w:eastAsia="zh-CN"/>
        </w:rPr>
        <w:t>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资金分配的原则及考虑因素。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科学合理安排资金预算支出，根据双马垃圾填埋场污水处理实施情况等因素综合测算，强化执行过程监督，实现资金落到实处。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项目主要内容。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按政府购买的双马垃圾填埋场污水处理五年服务合同约定，分季度支付双马垃圾填埋场污水处理费用。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服务方保障双马垃圾填埋场污水处理有效实施，双马公司按季度支付双马垃圾填埋场污水处理费用</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3.评价</w:t>
      </w:r>
      <w:r>
        <w:rPr>
          <w:rFonts w:hint="eastAsia" w:ascii="仿宋_GB2312" w:hAnsi="仿宋_GB2312" w:eastAsia="仿宋_GB2312" w:cs="仿宋_GB2312"/>
          <w:sz w:val="32"/>
          <w:szCs w:val="32"/>
          <w:lang w:val="zh-CN" w:eastAsia="zh-CN"/>
        </w:rPr>
        <w:t>申报内容与</w:t>
      </w:r>
      <w:r>
        <w:rPr>
          <w:rFonts w:hint="eastAsia" w:ascii="仿宋_GB2312" w:hAnsi="仿宋_GB2312" w:eastAsia="仿宋_GB2312" w:cs="仿宋_GB2312"/>
          <w:sz w:val="32"/>
          <w:szCs w:val="32"/>
          <w:lang w:val="en-US" w:eastAsia="zh-CN"/>
        </w:rPr>
        <w:t>是否与实际</w:t>
      </w:r>
      <w:r>
        <w:rPr>
          <w:rFonts w:hint="eastAsia" w:ascii="仿宋_GB2312" w:hAnsi="仿宋_GB2312" w:eastAsia="仿宋_GB2312" w:cs="仿宋_GB2312"/>
          <w:sz w:val="32"/>
          <w:szCs w:val="32"/>
          <w:lang w:val="zh-CN" w:eastAsia="zh-CN"/>
        </w:rPr>
        <w:t>相符、申报目标</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lang w:val="zh-CN" w:eastAsia="zh-CN"/>
        </w:rPr>
        <w:t>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双马垃圾填埋场污水处理服务于2018年6月生效，污水处理达到合同约定要求，双马公司按季度支付双马垃圾填埋场污水处理费用</w:t>
      </w:r>
      <w:r>
        <w:rPr>
          <w:rFonts w:hint="eastAsia" w:ascii="仿宋_GB2312" w:hAnsi="仿宋_GB2312" w:eastAsia="仿宋_GB2312" w:cs="仿宋_GB2312"/>
          <w:sz w:val="32"/>
          <w:szCs w:val="32"/>
          <w:lang w:val="zh-CN" w:eastAsia="zh-CN"/>
        </w:rPr>
        <w:t>。申报内容与实施内容相符、申报目标合理可行。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按照上级下达的项目支出绩效评价指标体系，</w:t>
      </w:r>
      <w:r>
        <w:rPr>
          <w:rFonts w:hint="eastAsia" w:ascii="仿宋_GB2312" w:hAnsi="仿宋_GB2312" w:eastAsia="仿宋_GB2312" w:cs="仿宋_GB2312"/>
          <w:sz w:val="32"/>
          <w:szCs w:val="32"/>
          <w:lang w:val="en-US" w:eastAsia="zh-CN"/>
        </w:rPr>
        <w:t>局财务装备股按照年初</w:t>
      </w:r>
      <w:r>
        <w:rPr>
          <w:rFonts w:hint="eastAsia" w:ascii="仿宋_GB2312" w:hAnsi="仿宋_GB2312" w:eastAsia="仿宋_GB2312" w:cs="仿宋_GB2312"/>
          <w:sz w:val="32"/>
          <w:szCs w:val="32"/>
          <w:lang w:val="zh-CN" w:eastAsia="zh-CN"/>
        </w:rPr>
        <w:t>申报内容，</w:t>
      </w:r>
      <w:r>
        <w:rPr>
          <w:rFonts w:hint="eastAsia" w:ascii="仿宋_GB2312" w:hAnsi="仿宋_GB2312" w:eastAsia="仿宋_GB2312" w:cs="仿宋_GB2312"/>
          <w:sz w:val="32"/>
          <w:szCs w:val="32"/>
          <w:lang w:val="en-US" w:eastAsia="zh-CN"/>
        </w:rPr>
        <w:t>对项目的</w:t>
      </w:r>
      <w:r>
        <w:rPr>
          <w:rFonts w:hint="eastAsia" w:ascii="仿宋_GB2312" w:hAnsi="仿宋_GB2312" w:eastAsia="仿宋_GB2312" w:cs="仿宋_GB2312"/>
          <w:sz w:val="32"/>
          <w:szCs w:val="32"/>
          <w:lang w:val="zh-CN" w:eastAsia="zh-CN"/>
        </w:rPr>
        <w:t>实施情况、资金兑现、财务管理、社会效益等</w:t>
      </w:r>
      <w:r>
        <w:rPr>
          <w:rFonts w:hint="eastAsia" w:ascii="仿宋_GB2312" w:hAnsi="仿宋_GB2312" w:eastAsia="仿宋_GB2312" w:cs="仿宋_GB2312"/>
          <w:sz w:val="32"/>
          <w:szCs w:val="32"/>
          <w:lang w:val="en-US" w:eastAsia="zh-CN"/>
        </w:rPr>
        <w:t>全程监管，确保项目支出规范合理。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2021年申报双马垃圾填埋场污水处理费用190万元，财政批复95万元。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1．资金计划</w:t>
      </w:r>
      <w:r>
        <w:rPr>
          <w:rFonts w:hint="eastAsia" w:ascii="仿宋_GB2312" w:hAnsi="仿宋_GB2312" w:eastAsia="仿宋_GB2312" w:cs="仿宋_GB2312"/>
          <w:sz w:val="32"/>
          <w:szCs w:val="32"/>
          <w:lang w:val="en-US" w:eastAsia="zh-CN"/>
        </w:rPr>
        <w:t>及到位</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公司运营资金均由财政拨款，无自筹资金及其他渠道资金。全年财政预算资金</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lang w:val="zh-CN" w:eastAsia="zh-CN"/>
        </w:rPr>
        <w:t>万元，实际到位资金</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万元，因财政资金不足，资金到位率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双马垃圾填埋场污水处理费用</w:t>
      </w:r>
      <w:r>
        <w:rPr>
          <w:rFonts w:hint="eastAsia" w:ascii="仿宋_GB2312" w:hAnsi="仿宋_GB2312" w:eastAsia="仿宋_GB2312" w:cs="仿宋_GB2312"/>
          <w:sz w:val="32"/>
          <w:szCs w:val="32"/>
          <w:lang w:val="zh-CN" w:eastAsia="zh-CN"/>
        </w:rPr>
        <w:t>纳入局全年财政预算，预算下达后，由局拨入公司账户。2021年资金使用情况如下： 2021年全年财政预算资金</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lang w:val="zh-CN" w:eastAsia="zh-CN"/>
        </w:rPr>
        <w:t>万元，全年支出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万元，资金使用率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0%，资金支付流程按公司财务管理制度支付。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对财政投入资金进行专户、专账、专人管理，厉行节约，专款专用。</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val="zh-CN" w:eastAsia="zh-CN"/>
        </w:rPr>
        <w:t>财务管理制度健全，严格执行财务管理制度，账务处理</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val="zh-CN" w:eastAsia="zh-CN"/>
        </w:rPr>
        <w:t>，会计核算</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lang w:val="zh-CN" w:eastAsia="zh-CN"/>
        </w:rPr>
        <w:t>。由</w:t>
      </w:r>
      <w:r>
        <w:rPr>
          <w:rFonts w:hint="eastAsia" w:ascii="仿宋_GB2312" w:hAnsi="仿宋_GB2312" w:eastAsia="仿宋_GB2312" w:cs="仿宋_GB2312"/>
          <w:sz w:val="32"/>
          <w:szCs w:val="32"/>
          <w:lang w:val="en-US" w:eastAsia="zh-CN"/>
        </w:rPr>
        <w:t>综合行政执法</w:t>
      </w:r>
      <w:r>
        <w:rPr>
          <w:rFonts w:hint="eastAsia" w:ascii="仿宋_GB2312" w:hAnsi="仿宋_GB2312" w:eastAsia="仿宋_GB2312" w:cs="仿宋_GB2312"/>
          <w:sz w:val="32"/>
          <w:szCs w:val="32"/>
          <w:lang w:val="zh-CN" w:eastAsia="zh-CN"/>
        </w:rPr>
        <w:t>局</w:t>
      </w:r>
      <w:r>
        <w:rPr>
          <w:rFonts w:hint="eastAsia" w:ascii="仿宋_GB2312" w:hAnsi="仿宋_GB2312" w:eastAsia="仿宋_GB2312" w:cs="仿宋_GB2312"/>
          <w:sz w:val="32"/>
          <w:szCs w:val="32"/>
          <w:lang w:val="en-US" w:eastAsia="zh-CN"/>
        </w:rPr>
        <w:t>财务装备股</w:t>
      </w:r>
      <w:r>
        <w:rPr>
          <w:rFonts w:hint="eastAsia" w:ascii="仿宋_GB2312" w:hAnsi="仿宋_GB2312" w:eastAsia="仿宋_GB2312" w:cs="仿宋_GB2312"/>
          <w:sz w:val="32"/>
          <w:szCs w:val="32"/>
          <w:lang w:val="zh-CN" w:eastAsia="zh-CN"/>
        </w:rPr>
        <w:t>监督经费使用情况，保障经费使用顺利进行。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en-US" w:eastAsia="zh-CN"/>
        </w:rPr>
        <w:t>（一）资金</w:t>
      </w:r>
      <w:r>
        <w:rPr>
          <w:rFonts w:hint="eastAsia" w:ascii="楷体" w:hAnsi="楷体" w:eastAsia="楷体" w:cs="楷体"/>
          <w:b/>
          <w:bCs/>
          <w:sz w:val="32"/>
          <w:szCs w:val="32"/>
          <w:lang w:val="zh-CN" w:eastAsia="zh-CN"/>
        </w:rPr>
        <w:t>实施流程。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en-US" w:eastAsia="zh-CN"/>
        </w:rPr>
        <w:t>双马垃圾填埋场污水处理服务</w:t>
      </w:r>
      <w:r>
        <w:rPr>
          <w:rFonts w:hint="eastAsia" w:ascii="仿宋_GB2312" w:hAnsi="仿宋_GB2312" w:eastAsia="仿宋_GB2312" w:cs="仿宋_GB2312"/>
          <w:sz w:val="32"/>
          <w:szCs w:val="32"/>
          <w:lang w:val="zh-CN" w:eastAsia="zh-CN"/>
        </w:rPr>
        <w:t>合同，严格履行相关条款，</w:t>
      </w:r>
      <w:r>
        <w:rPr>
          <w:rFonts w:hint="eastAsia" w:ascii="仿宋_GB2312" w:hAnsi="仿宋_GB2312" w:eastAsia="仿宋_GB2312" w:cs="仿宋_GB2312"/>
          <w:sz w:val="32"/>
          <w:szCs w:val="32"/>
          <w:lang w:val="en-US" w:eastAsia="zh-CN"/>
        </w:rPr>
        <w:t>根据核对结算单支付相关费用。资金使用严格执行“三重一大”制度，单笔资金超过5000元以上的视为大额资金。使用时，严格执行会签制度。公司逐级审签后，报局党组会研究决定，经局领导逐级审签后方可支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val="zh-CN" w:eastAsia="zh-CN"/>
        </w:rPr>
        <w:t>项目监管情况。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县综合行政执法局</w:t>
      </w:r>
      <w:r>
        <w:rPr>
          <w:rFonts w:hint="eastAsia" w:ascii="仿宋_GB2312" w:hAnsi="仿宋_GB2312" w:eastAsia="仿宋_GB2312" w:cs="仿宋_GB2312"/>
          <w:sz w:val="32"/>
          <w:szCs w:val="32"/>
          <w:lang w:val="zh-CN" w:eastAsia="zh-CN"/>
        </w:rPr>
        <w:t>强化监督，</w:t>
      </w:r>
      <w:r>
        <w:rPr>
          <w:rFonts w:hint="eastAsia" w:ascii="仿宋_GB2312" w:hAnsi="仿宋_GB2312" w:eastAsia="仿宋_GB2312" w:cs="仿宋_GB2312"/>
          <w:sz w:val="32"/>
          <w:szCs w:val="32"/>
          <w:lang w:val="en-US" w:eastAsia="zh-CN"/>
        </w:rPr>
        <w:t>不定期到公司检查和监督污水处理情况，</w:t>
      </w:r>
      <w:r>
        <w:rPr>
          <w:rFonts w:hint="eastAsia" w:ascii="仿宋_GB2312" w:hAnsi="仿宋_GB2312" w:eastAsia="仿宋_GB2312" w:cs="仿宋_GB2312"/>
          <w:sz w:val="32"/>
          <w:szCs w:val="32"/>
          <w:lang w:val="zh-CN" w:eastAsia="zh-CN"/>
        </w:rPr>
        <w:t>及时协调解决困难和问题，推</w:t>
      </w:r>
      <w:r>
        <w:rPr>
          <w:rFonts w:hint="eastAsia" w:ascii="仿宋_GB2312" w:hAnsi="仿宋_GB2312" w:eastAsia="仿宋_GB2312" w:cs="仿宋_GB2312"/>
          <w:sz w:val="32"/>
          <w:szCs w:val="32"/>
          <w:lang w:val="en-US" w:eastAsia="zh-CN"/>
        </w:rPr>
        <w:t>进工程款按期支付。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val="zh-CN" w:eastAsia="zh-CN"/>
        </w:rPr>
        <w:t>因财政资金不足，实际到位资金</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万元，资金到位率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双马垃圾填埋场污水处理服务自2018年完工以来，垃圾填埋场污水处理服务达到合同约定要求，出水正常，场</w:t>
      </w:r>
      <w:r>
        <w:rPr>
          <w:rFonts w:hint="eastAsia" w:ascii="仿宋_GB2312" w:hAnsi="仿宋_GB2312" w:eastAsia="仿宋_GB2312" w:cs="仿宋_GB2312"/>
          <w:sz w:val="32"/>
          <w:szCs w:val="32"/>
          <w:lang w:val="zh-CN" w:eastAsia="zh-CN"/>
        </w:rPr>
        <w:t>区周边</w:t>
      </w:r>
      <w:r>
        <w:rPr>
          <w:rFonts w:hint="eastAsia" w:ascii="仿宋_GB2312" w:hAnsi="仿宋_GB2312" w:eastAsia="仿宋_GB2312" w:cs="仿宋_GB2312"/>
          <w:sz w:val="32"/>
          <w:szCs w:val="32"/>
          <w:lang w:val="en-US" w:eastAsia="zh-CN"/>
        </w:rPr>
        <w:t>人居环境得到改善</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根据2021年部门预算安排及资金实际支出，综合行政执法局自评96分。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zh-CN"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880" w:firstLineChars="200"/>
        <w:jc w:val="center"/>
        <w:textAlignment w:val="auto"/>
        <w:outlineLvl w:val="9"/>
        <w:rPr>
          <w:rFonts w:hint="eastAsia" w:ascii="黑体" w:hAnsi="黑体" w:eastAsia="黑体" w:cs="黑体"/>
          <w:sz w:val="44"/>
          <w:szCs w:val="44"/>
          <w:lang w:val="zh-CN" w:eastAsia="zh-CN"/>
        </w:rPr>
      </w:pPr>
      <w:r>
        <w:rPr>
          <w:rFonts w:hint="eastAsia" w:ascii="黑体" w:hAnsi="黑体" w:eastAsia="黑体" w:cs="黑体"/>
          <w:sz w:val="44"/>
          <w:szCs w:val="44"/>
          <w:lang w:val="en-US" w:eastAsia="zh-CN"/>
        </w:rPr>
        <w:t>综合行政执法经费项目2021年</w:t>
      </w:r>
      <w:r>
        <w:rPr>
          <w:rFonts w:hint="eastAsia" w:ascii="黑体" w:hAnsi="黑体" w:eastAsia="黑体" w:cs="黑体"/>
          <w:sz w:val="44"/>
          <w:szCs w:val="44"/>
          <w:lang w:val="zh-CN" w:eastAsia="zh-CN"/>
        </w:rPr>
        <w:t>绩效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880" w:firstLineChars="200"/>
        <w:jc w:val="center"/>
        <w:textAlignment w:val="auto"/>
        <w:outlineLvl w:val="9"/>
        <w:rPr>
          <w:rFonts w:hint="eastAsia" w:ascii="黑体" w:hAnsi="黑体" w:eastAsia="黑体" w:cs="黑体"/>
          <w:sz w:val="44"/>
          <w:szCs w:val="44"/>
          <w:lang w:val="zh-CN" w:eastAsia="zh-CN"/>
        </w:rPr>
      </w:pPr>
      <w:r>
        <w:rPr>
          <w:rFonts w:hint="eastAsia" w:ascii="黑体" w:hAnsi="黑体" w:eastAsia="黑体" w:cs="黑体"/>
          <w:sz w:val="44"/>
          <w:szCs w:val="44"/>
          <w:lang w:val="zh-CN" w:eastAsia="zh-CN"/>
        </w:rPr>
        <w:t>评价报告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立项背景及目的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进一步深化城市管理综合行政执法体制改革，推动我局综合行政执法工作纵深发展，整合执法资源，打破专业执法框架，减少执法层次，降低执法成本，有效提高行政执法的效率和执法质量，继续对违法建设加大宣传查处力度，采取宣传教育、巡查、设点堵卡等措施，重点在巡查过程中，查扣处罚运输提供建筑材料车辆、混凝土运输车辆，全方位、多角度遏制违法建设行为，确保发现一起，及时处理一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综合行政执法项目支出经费主要包括:正式职工加值班工资，协管员、文明劝导员加值班工资，城管执法专项经费。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2.项目实施情况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2021年我局综合行政执法经费项目支出严格按照相关文件规定，深入推进城市执法体制改革，结合综合执法工作的实际，确保年度城市管理综合行政执法工作的正常有序开展。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3.资金来源及使用情况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(1)资金来源情况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2021年度综合行政执法专项经费收入为</w:t>
      </w:r>
      <w:r>
        <w:rPr>
          <w:rFonts w:hint="eastAsia" w:ascii="仿宋_GB2312" w:hAnsi="仿宋_GB2312" w:eastAsia="仿宋_GB2312" w:cs="仿宋_GB2312"/>
          <w:sz w:val="32"/>
          <w:szCs w:val="32"/>
          <w:lang w:val="en-US" w:eastAsia="zh-CN"/>
        </w:rPr>
        <w:t>135.6</w:t>
      </w:r>
      <w:r>
        <w:rPr>
          <w:rFonts w:hint="eastAsia" w:ascii="仿宋_GB2312" w:hAnsi="仿宋_GB2312" w:eastAsia="仿宋_GB2312" w:cs="仿宋_GB2312"/>
          <w:sz w:val="32"/>
          <w:szCs w:val="32"/>
          <w:lang w:val="zh-CN" w:eastAsia="zh-CN"/>
        </w:rPr>
        <w:t>万元，由县财政预算安排，直接下达到大竹县综合行政局。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(2)资金使用情况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综合行政执法项目支出经费用于正式职工加值班工资，协管员、文明劝导员加值班工资，城管执法专项经费，截止2021年12月31日，己全部按计划使用。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zh-CN" w:eastAsia="zh-CN"/>
        </w:rPr>
        <w:t>年综合行政执法项目支出，以做好城市市容环境长效管理工作，有效巩固国家卫生城市创建成果，全国文明城市创建，全力推进市容环境综合整治和人居环境提升工作，切实加大执法力度，不断加强对占道经营、违法散发小广告、违章运输处置渣土等市容环境违法行为的整治，以带动全县文明和谐全面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前期开展调研，收集相关项目所需资料，通过调研会议等工作相继开展，进一步了解项目立项背景及依据、组织及管理情况、实施内容、实施计划及完成情况，绩效目标申报和实现情况，结合项目特点制定适用的评价指标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按照项目绩效评价指标体系的要求，采取全面考核与重点考核相结合、现场评价与非现场评价相结合的方式，综合运用对比分析法(实际完成情况与计划完成情况进行对比，分析项目完成程度)、因素分析法(对投入、过程、产出和效益四个方面的各评价因素进行综合分析)、公众评判法(通过发放满意度调查问卷，了解社会公众对项目实施的满意情况)，通过与项目单位人员座谈(财务相关人员、项目负责人等)、资料核查(具体核查项目立项、实施方案、批复、转让交易文件等相关资料)。</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该项目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val="zh-CN" w:eastAsia="zh-CN"/>
        </w:rPr>
        <w:t>资金申报</w:t>
      </w:r>
      <w:r>
        <w:rPr>
          <w:rFonts w:hint="eastAsia" w:ascii="仿宋_GB2312" w:hAnsi="仿宋_GB2312" w:eastAsia="仿宋_GB2312" w:cs="仿宋_GB2312"/>
          <w:sz w:val="32"/>
          <w:szCs w:val="32"/>
          <w:lang w:val="en-US" w:eastAsia="zh-CN"/>
        </w:rPr>
        <w:t>135.6</w:t>
      </w:r>
      <w:r>
        <w:rPr>
          <w:rFonts w:hint="eastAsia" w:ascii="仿宋_GB2312" w:hAnsi="仿宋_GB2312" w:eastAsia="仿宋_GB2312" w:cs="仿宋_GB2312"/>
          <w:sz w:val="32"/>
          <w:szCs w:val="32"/>
          <w:lang w:val="zh-CN" w:eastAsia="zh-CN"/>
        </w:rPr>
        <w:t>万元，财政批复</w:t>
      </w:r>
      <w:r>
        <w:rPr>
          <w:rFonts w:hint="eastAsia" w:ascii="仿宋_GB2312" w:hAnsi="仿宋_GB2312" w:eastAsia="仿宋_GB2312" w:cs="仿宋_GB2312"/>
          <w:sz w:val="32"/>
          <w:szCs w:val="32"/>
          <w:lang w:val="en-US" w:eastAsia="zh-CN"/>
        </w:rPr>
        <w:t>135.6</w:t>
      </w:r>
      <w:r>
        <w:rPr>
          <w:rFonts w:hint="eastAsia" w:ascii="仿宋_GB2312" w:hAnsi="仿宋_GB2312" w:eastAsia="仿宋_GB2312" w:cs="仿宋_GB2312"/>
          <w:sz w:val="32"/>
          <w:szCs w:val="32"/>
          <w:lang w:val="zh-CN" w:eastAsia="zh-CN"/>
        </w:rPr>
        <w:t>万元。根据达州市人民政府《关于调整全市最低工资标准的通知》的规定，工资标准由1380元/月调整到1650元/月。财政每年资金拨付全部到位，该项目资金使用符合资金管理办法等相关规定。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2021年度综合行政执法专项经费收入为</w:t>
      </w:r>
      <w:r>
        <w:rPr>
          <w:rFonts w:hint="eastAsia" w:ascii="仿宋_GB2312" w:hAnsi="仿宋_GB2312" w:eastAsia="仿宋_GB2312" w:cs="仿宋_GB2312"/>
          <w:sz w:val="32"/>
          <w:szCs w:val="32"/>
          <w:lang w:val="en-US" w:eastAsia="zh-CN"/>
        </w:rPr>
        <w:t>135.6</w:t>
      </w:r>
      <w:r>
        <w:rPr>
          <w:rFonts w:hint="eastAsia" w:ascii="仿宋_GB2312" w:hAnsi="仿宋_GB2312" w:eastAsia="仿宋_GB2312" w:cs="仿宋_GB2312"/>
          <w:sz w:val="32"/>
          <w:szCs w:val="32"/>
          <w:lang w:val="zh-CN" w:eastAsia="zh-CN"/>
        </w:rPr>
        <w:t>万元，由县财政预算安排，直接下达到大竹县综合行政局，截止到评价时所有资金全部安排到位，资金支出经费用于协管员、文明劝导员工资、加值班工资、城管执法专项经费、违规广告拆除费、文明城市创建等，截止2021年12月31日，己全部按计划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加强城管执法相关工作的开展，提高城管执法相关工作的效率和质量，我单位制定了科学、合理的财务管理制度，财务人员严格按照财务管理制度办事。做好财务管理基础工作，维护资金安全，降低资金成本。此次评价项目严格执行了财务管理制度，及时进行了财务处理，会计核算规范合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该项目由大竹县综合行政执法局统一管理支付，执法监督协调股将对全城的市容市貌进行监督和考核，包括日考核、月考核、季度考核、年度考核，在考核的过程中，发现问题及时整改。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在综合执法时，大大的提高了效率和质量，完成了相应的工作任务，质量达标。包括项目完成数量、质量、时效、成本等情况，对照项目计划完成目标，对截止评价时点的任务量完成、质量标准、进度计划、成本控制目标的实现程度进行评价，并进行分析说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在执法过程中，进一步加强违建管控，提高城管执法力量，为城市管理提供了强有力的支撑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本次综合行政执法费用项目支出绩效自评最终得分</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lang w:val="zh-CN" w:eastAsia="zh-CN"/>
        </w:rPr>
        <w:t>分，评价结果较好。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受益对象满意度不高，主要原因是市民对城市人居环境的要求更高,对执法工作期待更高。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9"/>
        <w:rPr>
          <w:rFonts w:hint="eastAsia" w:ascii="楷体" w:hAnsi="楷体" w:eastAsia="楷体" w:cs="楷体"/>
          <w:b/>
          <w:bCs/>
          <w:sz w:val="32"/>
          <w:szCs w:val="32"/>
          <w:lang w:val="zh-CN" w:eastAsia="zh-CN"/>
        </w:rPr>
      </w:pPr>
      <w:r>
        <w:rPr>
          <w:rFonts w:hint="eastAsia" w:ascii="楷体" w:hAnsi="楷体" w:eastAsia="楷体" w:cs="楷体"/>
          <w:b/>
          <w:bCs/>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针对项目自评中发现的问题，建议我局加强城管执法队员的党风廉政教育，强化管理，严格落实片区责任到人，实行详细的工作绩效考核机制;加强法律、法规学习，规范执法程序。在行政执法案件的查处过程中,按照执法程序，从案件的下达执法文书开始，直到立案审批、查处审批、处罚审批、结案审批、卷宗归案，进行业务知识培训，努力提高行政执法能力。</w:t>
      </w: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32"/>
          <w:szCs w:val="32"/>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AA72F"/>
    <w:multiLevelType w:val="singleLevel"/>
    <w:tmpl w:val="A02AA72F"/>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B03BEED"/>
    <w:multiLevelType w:val="singleLevel"/>
    <w:tmpl w:val="5B03BEED"/>
    <w:lvl w:ilvl="0" w:tentative="0">
      <w:start w:val="3"/>
      <w:numFmt w:val="chineseCounting"/>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MmEyODI0MjEwYjRkNDBkYzM3MjM0NDMzNTEzY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D8A4EFF"/>
    <w:rsid w:val="10C055FF"/>
    <w:rsid w:val="118107EC"/>
    <w:rsid w:val="11DD6519"/>
    <w:rsid w:val="16BB723D"/>
    <w:rsid w:val="18015F3F"/>
    <w:rsid w:val="1A0E60A1"/>
    <w:rsid w:val="1A96102C"/>
    <w:rsid w:val="1BAA6729"/>
    <w:rsid w:val="1BE8440E"/>
    <w:rsid w:val="1D155CEE"/>
    <w:rsid w:val="1E7B23CC"/>
    <w:rsid w:val="20F57F95"/>
    <w:rsid w:val="240371BF"/>
    <w:rsid w:val="25C741E6"/>
    <w:rsid w:val="27842671"/>
    <w:rsid w:val="29FD04D3"/>
    <w:rsid w:val="2ABE7A3E"/>
    <w:rsid w:val="2EFA178C"/>
    <w:rsid w:val="30B46D73"/>
    <w:rsid w:val="3115220C"/>
    <w:rsid w:val="319F7F4E"/>
    <w:rsid w:val="39AE70AB"/>
    <w:rsid w:val="3C0C0783"/>
    <w:rsid w:val="3F5C7D12"/>
    <w:rsid w:val="3F9F3A96"/>
    <w:rsid w:val="493C27E9"/>
    <w:rsid w:val="496F39ED"/>
    <w:rsid w:val="49FF41D3"/>
    <w:rsid w:val="4BE068DB"/>
    <w:rsid w:val="4BF6002B"/>
    <w:rsid w:val="4D6B6D22"/>
    <w:rsid w:val="4ECE2238"/>
    <w:rsid w:val="51DB4B86"/>
    <w:rsid w:val="55333C3E"/>
    <w:rsid w:val="55501DDF"/>
    <w:rsid w:val="5DE62663"/>
    <w:rsid w:val="5FAC19D9"/>
    <w:rsid w:val="64CA39A1"/>
    <w:rsid w:val="65425D45"/>
    <w:rsid w:val="69237D26"/>
    <w:rsid w:val="69DA46D5"/>
    <w:rsid w:val="6B4851BA"/>
    <w:rsid w:val="6C4A05C8"/>
    <w:rsid w:val="6EA03DD8"/>
    <w:rsid w:val="72734D90"/>
    <w:rsid w:val="7337773F"/>
    <w:rsid w:val="778A3877"/>
    <w:rsid w:val="793B09B3"/>
    <w:rsid w:val="79E7B28D"/>
    <w:rsid w:val="7A21770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0" w:beforeAutospacing="0" w:after="150" w:afterAutospacing="0"/>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449;&#24687;\&#26412;&#22320;&#30913;&#30424;%20e\&#38472;&#23432;&#25919;1\2018&#36130;&#25919;&#20449;&#24687;&#20844;&#24320;\2017&#24180;&#22478;&#31649;&#23616;&#25919;&#24220;&#32508;&#21512;&#36130;&#21153;&#25253;&#21578;&#65288;&#23616;&#26412;&#32423;&#65289;\&#39292;&#29366;&#22270;\&#39292;&#22270;%20-%20&#21103;&#2641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449;&#24687;\&#26412;&#22320;&#30913;&#30424;%20e\&#38472;&#23432;&#25919;1\2018&#36130;&#25919;&#20449;&#24687;&#20844;&#24320;\2017&#24180;&#22478;&#31649;&#23616;&#25919;&#24220;&#32508;&#21512;&#36130;&#21153;&#25253;&#21578;&#65288;&#23616;&#26412;&#32423;&#65289;\&#39292;&#29366;&#22270;\&#39292;&#22270;%20-%20&#21103;&#2641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449;&#24687;\&#26412;&#22320;&#30913;&#30424;%20e\&#38472;&#23432;&#25919;1\2018&#36130;&#25919;&#20449;&#24687;&#20844;&#24320;\2017&#24180;&#22478;&#31649;&#23616;&#25919;&#24220;&#32508;&#21512;&#36130;&#21153;&#25253;&#21578;&#65288;&#23616;&#26412;&#32423;&#65289;\&#39292;&#29366;&#22270;\&#39292;&#22270;%20-%20&#21103;&#2641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449;&#24687;\&#26412;&#22320;&#30913;&#30424;%20e\&#38472;&#23432;&#25919;1\2018&#36130;&#25919;&#20449;&#24687;&#20844;&#24320;\2017&#24180;&#22478;&#31649;&#23616;&#25919;&#24220;&#32508;&#21512;&#36130;&#21153;&#25253;&#21578;&#65288;&#23616;&#26412;&#32423;&#65289;\&#39292;&#29366;&#22270;\&#39292;&#22270;%20-%20&#21103;&#26412;.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449;&#24687;\&#26412;&#22320;&#30913;&#30424;%20e\&#38472;&#23432;&#25919;1\2018&#36130;&#25919;&#20449;&#24687;&#20844;&#24320;\2017&#24180;&#22478;&#31649;&#23616;&#25919;&#24220;&#32508;&#21512;&#36130;&#21153;&#25253;&#21578;&#65288;&#23616;&#26412;&#32423;&#65289;\&#39292;&#29366;&#22270;\&#39292;&#22270;%20-%20&#21103;&#26412;%20(2).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449;&#24687;\&#26412;&#22320;&#30913;&#30424;%20e\&#38472;&#23432;&#25919;1\2018&#36130;&#25919;&#20449;&#24687;&#20844;&#24320;\2017&#24180;&#22478;&#31649;&#23616;&#25919;&#24220;&#32508;&#21512;&#36130;&#21153;&#25253;&#21578;&#65288;&#23616;&#26412;&#32423;&#65289;\&#39292;&#29366;&#22270;\&#39292;&#22270;%20-%20&#21103;&#26412;.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449;&#24687;\&#26412;&#22320;&#30913;&#30424;%20e\&#38472;&#23432;&#25919;1\2018&#36130;&#25919;&#20449;&#24687;&#20844;&#24320;\2017&#24180;&#22478;&#31649;&#23616;&#25919;&#24220;&#32508;&#21512;&#36130;&#21153;&#25253;&#21578;&#65288;&#23616;&#26412;&#32423;&#65289;\&#39292;&#29366;&#2227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'[饼图 - 副本.xlsx]柱状图'!$A$13</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副本.xlsx]柱状图'!$B$12:$C$12</c:f>
              <c:strCache>
                <c:ptCount val="2"/>
                <c:pt idx="0">
                  <c:v>收入</c:v>
                </c:pt>
                <c:pt idx="1">
                  <c:v>支出</c:v>
                </c:pt>
              </c:strCache>
            </c:strRef>
          </c:cat>
          <c:val>
            <c:numRef>
              <c:f>'[饼图 - 副本.xlsx]柱状图'!$B$13:$C$13</c:f>
              <c:numCache>
                <c:formatCode>General</c:formatCode>
                <c:ptCount val="2"/>
                <c:pt idx="0">
                  <c:v>6158.8</c:v>
                </c:pt>
                <c:pt idx="1">
                  <c:v>6319.8</c:v>
                </c:pt>
              </c:numCache>
            </c:numRef>
          </c:val>
        </c:ser>
        <c:ser>
          <c:idx val="1"/>
          <c:order val="1"/>
          <c:tx>
            <c:strRef>
              <c:f>'[饼图 - 副本.xlsx]柱状图'!$A$14</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副本.xlsx]柱状图'!$B$12:$C$12</c:f>
              <c:strCache>
                <c:ptCount val="2"/>
                <c:pt idx="0">
                  <c:v>收入</c:v>
                </c:pt>
                <c:pt idx="1">
                  <c:v>支出</c:v>
                </c:pt>
              </c:strCache>
            </c:strRef>
          </c:cat>
          <c:val>
            <c:numRef>
              <c:f>'[饼图 - 副本.xlsx]柱状图'!$B$14:$C$14</c:f>
              <c:numCache>
                <c:formatCode>General</c:formatCode>
                <c:ptCount val="2"/>
                <c:pt idx="0">
                  <c:v>3840.82</c:v>
                </c:pt>
                <c:pt idx="1">
                  <c:v>3871.53</c:v>
                </c:pt>
              </c:numCache>
            </c:numRef>
          </c:val>
        </c:ser>
        <c:dLbls>
          <c:showLegendKey val="0"/>
          <c:showVal val="1"/>
          <c:showCatName val="0"/>
          <c:showSerName val="0"/>
          <c:showPercent val="0"/>
          <c:showBubbleSize val="0"/>
        </c:dLbls>
        <c:gapWidth val="219"/>
        <c:overlap val="-27"/>
        <c:axId val="773092718"/>
        <c:axId val="43639147"/>
      </c:barChart>
      <c:catAx>
        <c:axId val="7730927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39147"/>
        <c:crosses val="autoZero"/>
        <c:auto val="1"/>
        <c:lblAlgn val="ctr"/>
        <c:lblOffset val="100"/>
        <c:noMultiLvlLbl val="0"/>
      </c:catAx>
      <c:valAx>
        <c:axId val="436391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0927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a:t>
            </a:r>
          </a:p>
          <a:p>
            <a:pPr defTabSz="914400">
              <a:defRPr lang="zh-CN" sz="1400" b="0" i="0" u="none" strike="noStrike" kern="1200" spc="0" baseline="0">
                <a:solidFill>
                  <a:schemeClr val="tx1">
                    <a:lumMod val="65000"/>
                    <a:lumOff val="35000"/>
                  </a:schemeClr>
                </a:solidFill>
                <a:latin typeface="+mn-lt"/>
                <a:ea typeface="+mn-ea"/>
                <a:cs typeface="+mn-cs"/>
              </a:defRPr>
            </a:pPr>
            <a:r>
              <a:t>结构图</a:t>
            </a:r>
          </a:p>
        </c:rich>
      </c:tx>
      <c:layout>
        <c:manualLayout>
          <c:xMode val="edge"/>
          <c:yMode val="edge"/>
          <c:x val="0.359583333333333"/>
          <c:y val="0.0358851674641148"/>
        </c:manualLayout>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lt1"/>
                </a:solidFill>
              </a:ln>
              <a:effectLst/>
            </c:spPr>
          </c:dPt>
          <c:dLbls>
            <c:dLbl>
              <c:idx val="1"/>
              <c:layout>
                <c:manualLayout>
                  <c:x val="0.156495375788953"/>
                  <c:y val="-0.187695770035031"/>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1075268817204"/>
                      <c:h val="0.191155988857939"/>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副本.xlsx]饼图'!$A$4:$A$5</c:f>
              <c:strCache>
                <c:ptCount val="2"/>
                <c:pt idx="0">
                  <c:v>一般公共预算财政拨款收入</c:v>
                </c:pt>
                <c:pt idx="1">
                  <c:v>政府性基金预算财政拨款</c:v>
                </c:pt>
              </c:strCache>
            </c:strRef>
          </c:cat>
          <c:val>
            <c:numRef>
              <c:f>'[饼图 - 副本.xlsx]饼图'!$B$4:$B$5</c:f>
              <c:numCache>
                <c:formatCode>General</c:formatCode>
                <c:ptCount val="2"/>
                <c:pt idx="0">
                  <c:v>2130.9</c:v>
                </c:pt>
                <c:pt idx="1">
                  <c:v>1709.92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0779569892473118"/>
          <c:y val="0.888057103064067"/>
          <c:w val="0.918010752688172"/>
          <c:h val="0.05797353760445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a:t>
            </a:r>
          </a:p>
          <a:p>
            <a:pPr defTabSz="914400">
              <a:defRPr lang="zh-CN" sz="1400" b="0" i="0" u="none" strike="noStrike" kern="1200" spc="0" baseline="0">
                <a:solidFill>
                  <a:schemeClr val="tx1">
                    <a:lumMod val="65000"/>
                    <a:lumOff val="35000"/>
                  </a:schemeClr>
                </a:solidFill>
                <a:latin typeface="+mn-lt"/>
                <a:ea typeface="+mn-ea"/>
                <a:cs typeface="+mn-cs"/>
              </a:defRPr>
            </a:pPr>
            <a:r>
              <a:t>结构图</a:t>
            </a:r>
          </a:p>
        </c:rich>
      </c:tx>
      <c:layout>
        <c:manualLayout>
          <c:xMode val="edge"/>
          <c:yMode val="edge"/>
          <c:x val="0.359583333333333"/>
          <c:y val="0.0358851674641148"/>
        </c:manualLayout>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lt1"/>
                </a:solidFill>
              </a:ln>
              <a:effectLst/>
            </c:spPr>
          </c:dPt>
          <c:dLbls>
            <c:dLbl>
              <c:idx val="1"/>
              <c:layout>
                <c:manualLayout>
                  <c:x val="0.156495375788953"/>
                  <c:y val="-0.187695770035031"/>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1075268817204"/>
                      <c:h val="0.191155988857939"/>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副本.xlsx]饼图'!$A$4:$A$5</c:f>
              <c:strCache>
                <c:ptCount val="2"/>
                <c:pt idx="0">
                  <c:v>基本支出</c:v>
                </c:pt>
                <c:pt idx="1">
                  <c:v>项目支出</c:v>
                </c:pt>
              </c:strCache>
            </c:strRef>
          </c:cat>
          <c:val>
            <c:numRef>
              <c:f>'[饼图 - 副本.xlsx]饼图'!$B$4:$B$5</c:f>
              <c:numCache>
                <c:formatCode>General</c:formatCode>
                <c:ptCount val="2"/>
                <c:pt idx="0">
                  <c:v>968.11</c:v>
                </c:pt>
                <c:pt idx="1">
                  <c:v>2903.42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0779569892473118"/>
          <c:y val="0.888057103064067"/>
          <c:w val="0.918010752688172"/>
          <c:h val="0.05797353760445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'[饼图 - 副本.xlsx]柱状图'!$A$13</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副本.xlsx]柱状图'!$B$12:$C$12</c:f>
              <c:strCache>
                <c:ptCount val="2"/>
                <c:pt idx="0">
                  <c:v>收入</c:v>
                </c:pt>
                <c:pt idx="1">
                  <c:v>支出</c:v>
                </c:pt>
              </c:strCache>
            </c:strRef>
          </c:cat>
          <c:val>
            <c:numRef>
              <c:f>'[饼图 - 副本.xlsx]柱状图'!$B$13:$C$13</c:f>
              <c:numCache>
                <c:formatCode>General</c:formatCode>
                <c:ptCount val="2"/>
                <c:pt idx="0">
                  <c:v>6158.8</c:v>
                </c:pt>
                <c:pt idx="1">
                  <c:v>6319.8</c:v>
                </c:pt>
              </c:numCache>
            </c:numRef>
          </c:val>
        </c:ser>
        <c:ser>
          <c:idx val="1"/>
          <c:order val="1"/>
          <c:tx>
            <c:strRef>
              <c:f>'[饼图 - 副本.xlsx]柱状图'!$A$14</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副本.xlsx]柱状图'!$B$12:$C$12</c:f>
              <c:strCache>
                <c:ptCount val="2"/>
                <c:pt idx="0">
                  <c:v>收入</c:v>
                </c:pt>
                <c:pt idx="1">
                  <c:v>支出</c:v>
                </c:pt>
              </c:strCache>
            </c:strRef>
          </c:cat>
          <c:val>
            <c:numRef>
              <c:f>'[饼图 - 副本.xlsx]柱状图'!$B$14:$C$14</c:f>
              <c:numCache>
                <c:formatCode>General</c:formatCode>
                <c:ptCount val="2"/>
                <c:pt idx="0">
                  <c:v>3840.82</c:v>
                </c:pt>
                <c:pt idx="1">
                  <c:v>3871.53</c:v>
                </c:pt>
              </c:numCache>
            </c:numRef>
          </c:val>
        </c:ser>
        <c:dLbls>
          <c:showLegendKey val="0"/>
          <c:showVal val="1"/>
          <c:showCatName val="0"/>
          <c:showSerName val="0"/>
          <c:showPercent val="0"/>
          <c:showBubbleSize val="0"/>
        </c:dLbls>
        <c:gapWidth val="219"/>
        <c:overlap val="-27"/>
        <c:axId val="773092718"/>
        <c:axId val="43639147"/>
      </c:barChart>
      <c:catAx>
        <c:axId val="7730927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39147"/>
        <c:crosses val="autoZero"/>
        <c:auto val="1"/>
        <c:lblAlgn val="ctr"/>
        <c:lblOffset val="100"/>
        <c:noMultiLvlLbl val="0"/>
      </c:catAx>
      <c:valAx>
        <c:axId val="436391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0927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 (2).xlsx]柱状图'!$A$9:$A$10</c:f>
              <c:strCache>
                <c:ptCount val="2"/>
                <c:pt idx="0">
                  <c:v>2020年</c:v>
                </c:pt>
                <c:pt idx="1">
                  <c:v>2021年</c:v>
                </c:pt>
              </c:strCache>
            </c:strRef>
          </c:cat>
          <c:val>
            <c:numRef>
              <c:f>'[饼图 - 副本 (2).xlsx]柱状图'!$B$9:$B$10</c:f>
              <c:numCache>
                <c:formatCode>General</c:formatCode>
                <c:ptCount val="2"/>
                <c:pt idx="0">
                  <c:v>4538.95</c:v>
                </c:pt>
                <c:pt idx="1">
                  <c:v>2161.61</c:v>
                </c:pt>
              </c:numCache>
            </c:numRef>
          </c:val>
        </c:ser>
        <c:dLbls>
          <c:showLegendKey val="0"/>
          <c:showVal val="1"/>
          <c:showCatName val="0"/>
          <c:showSerName val="0"/>
          <c:showPercent val="0"/>
          <c:showBubbleSize val="0"/>
        </c:dLbls>
        <c:gapWidth val="219"/>
        <c:overlap val="-27"/>
        <c:axId val="336835708"/>
        <c:axId val="194197495"/>
      </c:barChart>
      <c:catAx>
        <c:axId val="3368357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197495"/>
        <c:crosses val="autoZero"/>
        <c:auto val="1"/>
        <c:lblAlgn val="ctr"/>
        <c:lblOffset val="100"/>
        <c:noMultiLvlLbl val="0"/>
      </c:catAx>
      <c:valAx>
        <c:axId val="194197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8357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1"/>
              <c:layout>
                <c:manualLayout>
                  <c:x val="-0.0610890810366873"/>
                  <c:y val="0.038879836799644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914002253065479"/>
                  <c:y val="-0.040798404701541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995498368993367"/>
                  <c:y val="0.23375202082911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112391280950937"/>
                  <c:y val="-0.057756290039680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224430169294143"/>
                  <c:y val="0.004910479327972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 - 副本.xlsx]饼图'!$A$36:$A$42</c:f>
              <c:strCache>
                <c:ptCount val="7"/>
                <c:pt idx="0">
                  <c:v>城乡社区支出</c:v>
                </c:pt>
                <c:pt idx="1">
                  <c:v>社会保障和就业支出</c:v>
                </c:pt>
                <c:pt idx="2">
                  <c:v>卫生健康支出</c:v>
                </c:pt>
                <c:pt idx="3">
                  <c:v>节能环保支出</c:v>
                </c:pt>
                <c:pt idx="4">
                  <c:v>住房保障支出</c:v>
                </c:pt>
                <c:pt idx="5">
                  <c:v>农林水支出</c:v>
                </c:pt>
                <c:pt idx="6">
                  <c:v>灾害防治及应急管理支出</c:v>
                </c:pt>
              </c:strCache>
            </c:strRef>
          </c:cat>
          <c:val>
            <c:numRef>
              <c:f>'[饼图 - 副本.xlsx]饼图'!$B$36:$B$42</c:f>
              <c:numCache>
                <c:formatCode>General</c:formatCode>
                <c:ptCount val="7"/>
                <c:pt idx="0">
                  <c:v>1867.75</c:v>
                </c:pt>
                <c:pt idx="1">
                  <c:v>29.39</c:v>
                </c:pt>
                <c:pt idx="2">
                  <c:v>42.8</c:v>
                </c:pt>
                <c:pt idx="3">
                  <c:v>10</c:v>
                </c:pt>
                <c:pt idx="4">
                  <c:v>51.18</c:v>
                </c:pt>
                <c:pt idx="5">
                  <c:v>43.45</c:v>
                </c:pt>
                <c:pt idx="6">
                  <c:v>117.04</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'[饼图 - 副本.xlsx]饼图'!$A$36:$A$42</c:f>
              <c:strCache>
                <c:ptCount val="7"/>
                <c:pt idx="0">
                  <c:v>城乡社区支出</c:v>
                </c:pt>
                <c:pt idx="1">
                  <c:v>社会保障和就业支出</c:v>
                </c:pt>
                <c:pt idx="2">
                  <c:v>卫生健康支出</c:v>
                </c:pt>
                <c:pt idx="3">
                  <c:v>节能环保支出</c:v>
                </c:pt>
                <c:pt idx="4">
                  <c:v>住房保障支出</c:v>
                </c:pt>
                <c:pt idx="5">
                  <c:v>农林水支出</c:v>
                </c:pt>
                <c:pt idx="6">
                  <c:v>灾害防治及应急管理支出</c:v>
                </c:pt>
              </c:strCache>
            </c:strRef>
          </c:cat>
          <c:val>
            <c:numRef>
              <c:f>'[饼图 - 副本.xlsx]饼图'!$C$36:$C$42</c:f>
              <c:numCache>
                <c:formatCode>General</c:formatCode>
                <c:ptCount val="7"/>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[饼图.xlsx]柱状图!$A$7:$A$10</c:f>
              <c:strCache>
                <c:ptCount val="4"/>
                <c:pt idx="0">
                  <c:v>公务用车购置及运行费</c:v>
                </c:pt>
                <c:pt idx="1">
                  <c:v>公务接待费</c:v>
                </c:pt>
              </c:strCache>
            </c:strRef>
          </c:cat>
          <c:val>
            <c:numRef>
              <c:f>[饼图.xlsx]柱状图!$B$7:$B$10</c:f>
              <c:numCache>
                <c:formatCode>#,##0.00</c:formatCode>
                <c:ptCount val="4"/>
                <c:pt idx="0">
                  <c:v>19.97</c:v>
                </c:pt>
                <c:pt idx="1">
                  <c:v>0.59</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[饼图.xlsx]柱状图!$A$7:$A$10</c:f>
              <c:strCache>
                <c:ptCount val="4"/>
                <c:pt idx="0">
                  <c:v>公务用车购置及运行费</c:v>
                </c:pt>
                <c:pt idx="1">
                  <c:v>公务接待费</c:v>
                </c:pt>
              </c:strCache>
            </c:strRef>
          </c:cat>
          <c:val>
            <c:numRef>
              <c:f>[饼图.xlsx]柱状图!$C$7:$C$10</c:f>
              <c:numCache>
                <c:formatCode>0.00%</c:formatCode>
                <c:ptCount val="4"/>
                <c:pt idx="0">
                  <c:v>0.9702</c:v>
                </c:pt>
                <c:pt idx="1">
                  <c:v>0.0298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15529</Words>
  <Characters>18458</Characters>
  <Lines>61</Lines>
  <Paragraphs>17</Paragraphs>
  <TotalTime>8</TotalTime>
  <ScaleCrop>false</ScaleCrop>
  <LinksUpToDate>false</LinksUpToDate>
  <CharactersWithSpaces>18513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焱火</cp:lastModifiedBy>
  <cp:lastPrinted>2022-09-01T07:52:00Z</cp:lastPrinted>
  <dcterms:modified xsi:type="dcterms:W3CDTF">2022-09-02T03:50:34Z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8CB7261557104DEBB7F38CF8D3023569</vt:lpwstr>
  </property>
</Properties>
</file>