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D5D99C">
      <w:pPr>
        <w:spacing w:line="600" w:lineRule="exact"/>
        <w:jc w:val="left"/>
        <w:outlineLvl w:val="0"/>
        <w:rPr>
          <w:rFonts w:ascii="方正小标宋简体" w:hAnsi="宋体" w:eastAsia="方正小标宋简体"/>
          <w:szCs w:val="21"/>
        </w:rPr>
      </w:pPr>
      <w:bookmarkStart w:id="0" w:name="_Toc15306267"/>
    </w:p>
    <w:p w14:paraId="69757F09">
      <w:pPr>
        <w:pStyle w:val="6"/>
        <w:spacing w:before="93"/>
      </w:pPr>
    </w:p>
    <w:p w14:paraId="21D9D923">
      <w:pPr>
        <w:spacing w:line="600" w:lineRule="exact"/>
        <w:jc w:val="center"/>
        <w:outlineLvl w:val="0"/>
        <w:rPr>
          <w:rFonts w:ascii="方正小标宋简体" w:hAnsi="宋体" w:eastAsia="方正小标宋简体"/>
          <w:sz w:val="72"/>
          <w:szCs w:val="72"/>
        </w:rPr>
      </w:pPr>
    </w:p>
    <w:p w14:paraId="5AC7715F">
      <w:pPr>
        <w:spacing w:line="600" w:lineRule="exact"/>
        <w:jc w:val="center"/>
        <w:outlineLvl w:val="0"/>
        <w:rPr>
          <w:rFonts w:ascii="方正小标宋简体" w:hAnsi="宋体" w:eastAsia="方正小标宋简体"/>
          <w:sz w:val="72"/>
          <w:szCs w:val="72"/>
        </w:rPr>
      </w:pPr>
    </w:p>
    <w:p w14:paraId="79C34A5E">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7425"/>
      <w:bookmarkStart w:id="2" w:name="_Toc15378441"/>
      <w:bookmarkStart w:id="3" w:name="_Toc15377193"/>
      <w:bookmarkStart w:id="4" w:name="_Toc15396597"/>
      <w:bookmarkStart w:id="5" w:name="_Toc15396475"/>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p>
    <w:p w14:paraId="668C0F6F">
      <w:pPr>
        <w:adjustRightInd w:val="0"/>
        <w:snapToGrid w:val="0"/>
        <w:spacing w:line="360" w:lineRule="auto"/>
        <w:jc w:val="center"/>
        <w:outlineLvl w:val="0"/>
        <w:rPr>
          <w:rFonts w:hint="eastAsia" w:ascii="方正小标宋简体" w:hAnsi="方正小标宋简体" w:eastAsia="方正小标宋简体" w:cs="方正小标宋简体"/>
          <w:sz w:val="72"/>
          <w:szCs w:val="72"/>
        </w:rPr>
      </w:pPr>
      <w:bookmarkStart w:id="6" w:name="_Toc15396476"/>
      <w:bookmarkStart w:id="7" w:name="_Toc15396598"/>
      <w:bookmarkStart w:id="8" w:name="_Toc15377426"/>
      <w:bookmarkStart w:id="9" w:name="_Toc15377194"/>
      <w:bookmarkStart w:id="10" w:name="_Toc15378442"/>
      <w:r>
        <w:rPr>
          <w:rFonts w:hint="eastAsia" w:ascii="方正小标宋简体" w:hAnsi="方正小标宋简体" w:eastAsia="方正小标宋简体" w:cs="方正小标宋简体"/>
          <w:sz w:val="72"/>
          <w:szCs w:val="72"/>
        </w:rPr>
        <w:t>四川省</w:t>
      </w:r>
      <w:bookmarkEnd w:id="0"/>
      <w:bookmarkStart w:id="11" w:name="_Toc15306268"/>
      <w:r>
        <w:rPr>
          <w:rFonts w:hint="eastAsia" w:ascii="方正小标宋简体" w:hAnsi="方正小标宋简体" w:eastAsia="方正小标宋简体" w:cs="方正小标宋简体"/>
          <w:sz w:val="72"/>
          <w:szCs w:val="72"/>
        </w:rPr>
        <w:t>达州市</w:t>
      </w:r>
    </w:p>
    <w:p w14:paraId="03834724">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大竹县林木种苗发展中心</w:t>
      </w:r>
      <w:r>
        <w:rPr>
          <w:rFonts w:hint="eastAsia" w:ascii="方正小标宋简体" w:hAnsi="方正小标宋简体" w:eastAsia="方正小标宋简体" w:cs="方正小标宋简体"/>
          <w:sz w:val="72"/>
          <w:szCs w:val="72"/>
          <w:lang w:val="en-US" w:eastAsia="zh-CN"/>
        </w:rPr>
        <w:t xml:space="preserve"> (</w:t>
      </w:r>
      <w:r>
        <w:rPr>
          <w:rFonts w:hint="eastAsia" w:ascii="方正小标宋简体" w:hAnsi="方正小标宋简体" w:eastAsia="方正小标宋简体" w:cs="方正小标宋简体"/>
          <w:sz w:val="72"/>
          <w:szCs w:val="72"/>
        </w:rPr>
        <w:t>原大竹县林业站）决算</w:t>
      </w:r>
      <w:bookmarkEnd w:id="6"/>
      <w:bookmarkEnd w:id="7"/>
      <w:bookmarkEnd w:id="8"/>
      <w:bookmarkEnd w:id="9"/>
      <w:bookmarkEnd w:id="10"/>
      <w:bookmarkEnd w:id="11"/>
    </w:p>
    <w:p w14:paraId="2AF0C59F">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14:paraId="57E2B167">
      <w:pPr>
        <w:widowControl/>
        <w:jc w:val="center"/>
        <w:rPr>
          <w:rFonts w:ascii="黑体" w:hAnsi="黑体" w:eastAsia="黑体" w:cstheme="minorBidi"/>
          <w:sz w:val="28"/>
          <w:szCs w:val="28"/>
        </w:rPr>
      </w:pPr>
      <w:bookmarkStart w:id="68" w:name="_GoBack"/>
      <w:bookmarkEnd w:id="68"/>
    </w:p>
    <w:p w14:paraId="048BC9FD">
      <w:pPr>
        <w:pStyle w:val="12"/>
      </w:pPr>
      <w:r>
        <w:rPr>
          <w:rFonts w:hint="eastAsia"/>
        </w:rPr>
        <w:t>公开时间：2023年</w:t>
      </w:r>
      <w:r>
        <w:rPr>
          <w:rFonts w:hint="eastAsia"/>
          <w:lang w:val="en-US" w:eastAsia="zh-CN"/>
        </w:rPr>
        <w:t>10</w:t>
      </w:r>
      <w:r>
        <w:rPr>
          <w:rFonts w:hint="eastAsia"/>
        </w:rPr>
        <w:t>月</w:t>
      </w:r>
      <w:r>
        <w:rPr>
          <w:rFonts w:hint="eastAsia"/>
          <w:lang w:val="en-US" w:eastAsia="zh-CN"/>
        </w:rPr>
        <w:t>18</w:t>
      </w:r>
      <w:r>
        <w:rPr>
          <w:rFonts w:hint="eastAsia"/>
        </w:rPr>
        <w:t>日</w:t>
      </w:r>
    </w:p>
    <w:p w14:paraId="3DC81B59"/>
    <w:p w14:paraId="4B82BAF2">
      <w:pPr>
        <w:pStyle w:val="12"/>
        <w:adjustRightInd w:val="0"/>
        <w:snapToGrid w:val="0"/>
        <w:spacing w:before="0" w:line="440" w:lineRule="exact"/>
        <w:jc w:val="both"/>
        <w:rPr>
          <w:rFonts w:ascii="Times New Roman" w:hAnsi="Times New Roman" w:eastAsia="宋体" w:cs="Times New Roman"/>
          <w:kern w:val="2"/>
          <w:sz w:val="24"/>
          <w:szCs w:val="24"/>
          <w:lang w:val="en-US" w:eastAsia="zh-CN" w:bidi="ar-SA"/>
        </w:rPr>
      </w:pPr>
      <w:r>
        <w:rPr>
          <w:rFonts w:hint="eastAsia" w:asciiTheme="majorEastAsia" w:hAnsiTheme="majorEastAsia" w:eastAsiaTheme="majorEastAsia"/>
          <w:sz w:val="24"/>
        </w:rPr>
        <w:t>第一部分</w:t>
      </w:r>
      <w:r>
        <w:rPr>
          <w:rFonts w:asciiTheme="majorEastAsia" w:hAnsiTheme="majorEastAsia" w:eastAsiaTheme="majorEastAsia"/>
          <w:sz w:val="24"/>
        </w:rPr>
        <w:t xml:space="preserve"> </w:t>
      </w:r>
      <w:r>
        <w:rPr>
          <w:rFonts w:hint="eastAsia" w:asciiTheme="majorEastAsia" w:hAnsiTheme="majorEastAsia" w:eastAsiaTheme="majorEastAsia"/>
          <w:sz w:val="24"/>
        </w:rPr>
        <w:t>单位概况</w:t>
      </w:r>
      <w:r>
        <w:rPr>
          <w:rFonts w:ascii="Times New Roman" w:hAnsi="Times New Roman" w:eastAsia="宋体"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4</w:t>
      </w:r>
    </w:p>
    <w:p w14:paraId="54D536E2">
      <w:pPr>
        <w:pStyle w:val="13"/>
        <w:adjustRightInd w:val="0"/>
        <w:snapToGrid w:val="0"/>
        <w:spacing w:line="440" w:lineRule="exact"/>
        <w:jc w:val="both"/>
        <w:rPr>
          <w:sz w:val="24"/>
        </w:rPr>
      </w:pPr>
      <w:r>
        <w:rPr>
          <w:rFonts w:hint="eastAsia"/>
          <w:sz w:val="24"/>
        </w:rPr>
        <w:t>一、主要职责</w:t>
      </w:r>
      <w:r>
        <w:rPr>
          <w:sz w:val="24"/>
        </w:rPr>
        <w:t>……………………………………………………………………</w:t>
      </w:r>
      <w:r>
        <w:rPr>
          <w:rFonts w:hint="eastAsia"/>
          <w:sz w:val="24"/>
        </w:rPr>
        <w:t>4</w:t>
      </w:r>
    </w:p>
    <w:p w14:paraId="754C75CC">
      <w:pPr>
        <w:pStyle w:val="13"/>
        <w:adjustRightInd w:val="0"/>
        <w:snapToGrid w:val="0"/>
        <w:spacing w:line="440" w:lineRule="exact"/>
        <w:jc w:val="both"/>
      </w:pPr>
      <w:r>
        <w:rPr>
          <w:rFonts w:hint="eastAsia"/>
          <w:sz w:val="24"/>
        </w:rPr>
        <w:t>二、机构设置</w:t>
      </w:r>
      <w:r>
        <w:rPr>
          <w:sz w:val="24"/>
        </w:rPr>
        <w:t>……………………………………………………………………</w:t>
      </w:r>
      <w:r>
        <w:rPr>
          <w:rFonts w:hint="eastAsia"/>
          <w:sz w:val="24"/>
        </w:rPr>
        <w:t>4</w:t>
      </w:r>
    </w:p>
    <w:p w14:paraId="6049D0D7">
      <w:pPr>
        <w:pStyle w:val="12"/>
        <w:adjustRightInd w:val="0"/>
        <w:snapToGrid w:val="0"/>
        <w:spacing w:before="0" w:line="440" w:lineRule="exact"/>
        <w:jc w:val="both"/>
        <w:rPr>
          <w:sz w:val="24"/>
          <w:szCs w:val="24"/>
        </w:rPr>
      </w:pPr>
      <w:r>
        <w:rPr>
          <w:rFonts w:hint="eastAsia" w:asciiTheme="majorEastAsia" w:hAnsiTheme="majorEastAsia" w:eastAsiaTheme="majorEastAsia"/>
          <w:sz w:val="24"/>
        </w:rPr>
        <w:t>第二部分 2023年度单位决算情况说明</w:t>
      </w:r>
      <w:r>
        <w:rPr>
          <w:sz w:val="24"/>
        </w:rPr>
        <w:t>……………………………………………</w:t>
      </w:r>
      <w:r>
        <w:rPr>
          <w:rFonts w:hint="eastAsia"/>
          <w:sz w:val="24"/>
        </w:rPr>
        <w:t>4</w:t>
      </w:r>
    </w:p>
    <w:p w14:paraId="2A4A9537">
      <w:pPr>
        <w:pStyle w:val="13"/>
        <w:adjustRightInd w:val="0"/>
        <w:snapToGrid w:val="0"/>
        <w:spacing w:line="440" w:lineRule="exact"/>
        <w:jc w:val="both"/>
        <w:rPr>
          <w:sz w:val="24"/>
        </w:rPr>
      </w:pPr>
      <w:r>
        <w:rPr>
          <w:rFonts w:hint="eastAsia"/>
          <w:sz w:val="24"/>
        </w:rPr>
        <w:t xml:space="preserve">一、收入支出决算总体情况说明  </w:t>
      </w:r>
      <w:r>
        <w:rPr>
          <w:sz w:val="24"/>
        </w:rPr>
        <w:t>……………………………………………</w:t>
      </w:r>
      <w:r>
        <w:rPr>
          <w:rFonts w:hint="eastAsia"/>
          <w:sz w:val="24"/>
        </w:rPr>
        <w:t>4</w:t>
      </w:r>
    </w:p>
    <w:p w14:paraId="60E667D9">
      <w:pPr>
        <w:pStyle w:val="13"/>
        <w:adjustRightInd w:val="0"/>
        <w:snapToGrid w:val="0"/>
        <w:spacing w:line="440" w:lineRule="exact"/>
        <w:jc w:val="both"/>
        <w:rPr>
          <w:rFonts w:ascii="仿宋" w:hAnsi="仿宋" w:eastAsia="仿宋" w:cstheme="minorBidi"/>
          <w:sz w:val="24"/>
        </w:rPr>
      </w:pPr>
      <w:r>
        <w:rPr>
          <w:rFonts w:hint="eastAsia"/>
          <w:sz w:val="24"/>
        </w:rPr>
        <w:t>二、收入决算情况说明</w:t>
      </w:r>
      <w:r>
        <w:rPr>
          <w:sz w:val="24"/>
        </w:rPr>
        <w:t>…………………………………………………………</w:t>
      </w:r>
      <w:r>
        <w:rPr>
          <w:rFonts w:hint="eastAsia"/>
          <w:sz w:val="24"/>
        </w:rPr>
        <w:t>5</w:t>
      </w:r>
    </w:p>
    <w:p w14:paraId="63D6BA98">
      <w:pPr>
        <w:pStyle w:val="13"/>
        <w:adjustRightInd w:val="0"/>
        <w:snapToGrid w:val="0"/>
        <w:spacing w:line="440" w:lineRule="exact"/>
        <w:jc w:val="both"/>
        <w:rPr>
          <w:rFonts w:ascii="仿宋" w:hAnsi="仿宋" w:eastAsia="仿宋" w:cstheme="minorBidi"/>
          <w:sz w:val="24"/>
        </w:rPr>
      </w:pPr>
      <w:r>
        <w:rPr>
          <w:rFonts w:hint="eastAsia"/>
          <w:sz w:val="24"/>
        </w:rPr>
        <w:t>三、支出决算情况说明</w:t>
      </w:r>
      <w:r>
        <w:rPr>
          <w:sz w:val="24"/>
        </w:rPr>
        <w:t>…………………………………………………………</w:t>
      </w:r>
      <w:r>
        <w:rPr>
          <w:rFonts w:hint="eastAsia"/>
          <w:sz w:val="24"/>
        </w:rPr>
        <w:t>6</w:t>
      </w:r>
    </w:p>
    <w:p w14:paraId="13E83D92">
      <w:pPr>
        <w:pStyle w:val="13"/>
        <w:adjustRightInd w:val="0"/>
        <w:snapToGrid w:val="0"/>
        <w:spacing w:line="440" w:lineRule="exact"/>
        <w:jc w:val="both"/>
        <w:rPr>
          <w:rFonts w:ascii="仿宋" w:hAnsi="仿宋" w:eastAsia="仿宋" w:cstheme="minorBidi"/>
          <w:sz w:val="24"/>
        </w:rPr>
      </w:pPr>
      <w:r>
        <w:rPr>
          <w:rFonts w:hint="eastAsia"/>
          <w:sz w:val="24"/>
        </w:rPr>
        <w:t>四、财政拨款收入支出决算总体情况说明</w:t>
      </w:r>
      <w:r>
        <w:rPr>
          <w:sz w:val="24"/>
        </w:rPr>
        <w:t>……………………………………</w:t>
      </w:r>
      <w:r>
        <w:rPr>
          <w:rFonts w:hint="eastAsia"/>
          <w:sz w:val="24"/>
        </w:rPr>
        <w:t>6</w:t>
      </w:r>
    </w:p>
    <w:p w14:paraId="09C0CE5E">
      <w:pPr>
        <w:pStyle w:val="13"/>
        <w:adjustRightInd w:val="0"/>
        <w:snapToGrid w:val="0"/>
        <w:spacing w:line="440" w:lineRule="exact"/>
        <w:jc w:val="both"/>
        <w:rPr>
          <w:rFonts w:ascii="仿宋" w:hAnsi="仿宋" w:eastAsia="仿宋" w:cstheme="minorBidi"/>
          <w:sz w:val="24"/>
        </w:rPr>
      </w:pPr>
      <w:r>
        <w:rPr>
          <w:rFonts w:hint="eastAsia"/>
          <w:sz w:val="24"/>
        </w:rPr>
        <w:t>五、一般公共预算财政拨款支出决算情况说明</w:t>
      </w:r>
      <w:r>
        <w:rPr>
          <w:sz w:val="24"/>
        </w:rPr>
        <w:t>………………………………</w:t>
      </w:r>
      <w:r>
        <w:rPr>
          <w:rFonts w:hint="eastAsia"/>
          <w:sz w:val="24"/>
        </w:rPr>
        <w:t>7</w:t>
      </w:r>
    </w:p>
    <w:p w14:paraId="30E36335">
      <w:pPr>
        <w:pStyle w:val="13"/>
        <w:adjustRightInd w:val="0"/>
        <w:snapToGrid w:val="0"/>
        <w:spacing w:line="440" w:lineRule="exact"/>
        <w:jc w:val="both"/>
        <w:rPr>
          <w:rFonts w:ascii="仿宋" w:hAnsi="仿宋" w:eastAsia="仿宋" w:cstheme="minorBidi"/>
          <w:sz w:val="24"/>
        </w:rPr>
      </w:pPr>
      <w:r>
        <w:rPr>
          <w:rFonts w:hint="eastAsia"/>
          <w:sz w:val="24"/>
        </w:rPr>
        <w:t>六、一般公共预算财政拨款基本支出决算情况说明</w:t>
      </w:r>
      <w:r>
        <w:rPr>
          <w:sz w:val="24"/>
        </w:rPr>
        <w:t>…………………………</w:t>
      </w:r>
      <w:r>
        <w:rPr>
          <w:rFonts w:hint="eastAsia"/>
          <w:sz w:val="24"/>
        </w:rPr>
        <w:t>10</w:t>
      </w:r>
    </w:p>
    <w:p w14:paraId="61DA8FBE">
      <w:pPr>
        <w:pStyle w:val="13"/>
        <w:adjustRightInd w:val="0"/>
        <w:snapToGrid w:val="0"/>
        <w:spacing w:line="440" w:lineRule="exact"/>
        <w:jc w:val="both"/>
        <w:rPr>
          <w:rFonts w:ascii="仿宋" w:hAnsi="仿宋" w:eastAsia="仿宋" w:cstheme="minorBidi"/>
          <w:sz w:val="24"/>
        </w:rPr>
      </w:pPr>
      <w:r>
        <w:rPr>
          <w:rFonts w:hint="eastAsia"/>
          <w:sz w:val="24"/>
        </w:rPr>
        <w:t>七、财政拨款“三公”经费支出决算情况说明</w:t>
      </w:r>
      <w:r>
        <w:rPr>
          <w:sz w:val="24"/>
        </w:rPr>
        <w:t>………………………………</w:t>
      </w:r>
      <w:r>
        <w:rPr>
          <w:rFonts w:hint="eastAsia"/>
          <w:sz w:val="24"/>
        </w:rPr>
        <w:t>11</w:t>
      </w:r>
    </w:p>
    <w:p w14:paraId="75B298F2">
      <w:pPr>
        <w:pStyle w:val="13"/>
        <w:adjustRightInd w:val="0"/>
        <w:snapToGrid w:val="0"/>
        <w:spacing w:line="440" w:lineRule="exact"/>
        <w:jc w:val="both"/>
        <w:rPr>
          <w:rFonts w:ascii="仿宋" w:hAnsi="仿宋" w:eastAsia="仿宋" w:cstheme="minorBidi"/>
          <w:sz w:val="24"/>
        </w:rPr>
      </w:pPr>
      <w:r>
        <w:rPr>
          <w:rFonts w:hint="eastAsia"/>
          <w:sz w:val="24"/>
        </w:rPr>
        <w:t>八、政府性基金预算支出决算情况说明</w:t>
      </w:r>
      <w:r>
        <w:rPr>
          <w:sz w:val="24"/>
        </w:rPr>
        <w:t>………………………………………</w:t>
      </w:r>
      <w:r>
        <w:rPr>
          <w:rFonts w:hint="eastAsia"/>
          <w:sz w:val="24"/>
        </w:rPr>
        <w:t>13</w:t>
      </w:r>
    </w:p>
    <w:p w14:paraId="6206F1DB">
      <w:pPr>
        <w:pStyle w:val="13"/>
        <w:adjustRightInd w:val="0"/>
        <w:snapToGrid w:val="0"/>
        <w:spacing w:line="440" w:lineRule="exact"/>
        <w:jc w:val="both"/>
        <w:rPr>
          <w:sz w:val="24"/>
        </w:rPr>
      </w:pPr>
      <w:r>
        <w:rPr>
          <w:rFonts w:hint="eastAsia"/>
          <w:sz w:val="24"/>
        </w:rPr>
        <w:t>九、国有资本经营预算支出决算情况说明</w:t>
      </w:r>
      <w:r>
        <w:rPr>
          <w:sz w:val="24"/>
        </w:rPr>
        <w:t>……………………………………</w:t>
      </w:r>
      <w:r>
        <w:rPr>
          <w:rFonts w:hint="eastAsia"/>
          <w:sz w:val="24"/>
        </w:rPr>
        <w:t>13</w:t>
      </w:r>
    </w:p>
    <w:p w14:paraId="66EB7C3B">
      <w:pPr>
        <w:pStyle w:val="13"/>
        <w:adjustRightInd w:val="0"/>
        <w:snapToGrid w:val="0"/>
        <w:spacing w:line="440" w:lineRule="exact"/>
        <w:jc w:val="both"/>
        <w:rPr>
          <w:rFonts w:hint="eastAsia"/>
          <w:sz w:val="24"/>
        </w:rPr>
      </w:pPr>
      <w:r>
        <w:rPr>
          <w:rFonts w:hint="eastAsia"/>
          <w:sz w:val="24"/>
        </w:rPr>
        <w:t>十、其他重要事项的情况说明</w:t>
      </w:r>
      <w:r>
        <w:rPr>
          <w:sz w:val="24"/>
        </w:rPr>
        <w:t>…………………………………………………</w:t>
      </w:r>
      <w:r>
        <w:rPr>
          <w:rFonts w:hint="eastAsia"/>
          <w:sz w:val="24"/>
        </w:rPr>
        <w:t>13</w:t>
      </w:r>
    </w:p>
    <w:p w14:paraId="301C08F7">
      <w:pPr>
        <w:pStyle w:val="12"/>
        <w:adjustRightInd w:val="0"/>
        <w:snapToGrid w:val="0"/>
        <w:spacing w:before="0" w:line="440" w:lineRule="exact"/>
        <w:jc w:val="both"/>
        <w:rPr>
          <w:sz w:val="24"/>
          <w:szCs w:val="24"/>
        </w:rPr>
      </w:pPr>
      <w:r>
        <w:rPr>
          <w:rFonts w:hint="eastAsia" w:asciiTheme="minorEastAsia" w:hAnsiTheme="minorEastAsia" w:eastAsiaTheme="minorEastAsia"/>
          <w:sz w:val="24"/>
        </w:rPr>
        <w:t>第三部分</w:t>
      </w:r>
      <w:r>
        <w:rPr>
          <w:rFonts w:asciiTheme="minorEastAsia" w:hAnsiTheme="minorEastAsia" w:eastAsiaTheme="minorEastAsia"/>
          <w:sz w:val="24"/>
        </w:rPr>
        <w:t xml:space="preserve"> </w:t>
      </w:r>
      <w:r>
        <w:rPr>
          <w:rFonts w:hint="eastAsia" w:asciiTheme="minorEastAsia" w:hAnsiTheme="minorEastAsia" w:eastAsiaTheme="minorEastAsia"/>
          <w:sz w:val="24"/>
        </w:rPr>
        <w:t>名词解释</w:t>
      </w:r>
      <w:r>
        <w:rPr>
          <w:sz w:val="24"/>
        </w:rPr>
        <w:t>…………………………………………………………………</w:t>
      </w:r>
      <w:r>
        <w:rPr>
          <w:rFonts w:hint="eastAsia" w:ascii="Times New Roman" w:hAnsi="Times New Roman" w:eastAsia="宋体"/>
          <w:sz w:val="24"/>
          <w:szCs w:val="24"/>
        </w:rPr>
        <w:t>15</w:t>
      </w:r>
    </w:p>
    <w:p w14:paraId="1FA3B989">
      <w:pPr>
        <w:pStyle w:val="13"/>
        <w:adjustRightInd w:val="0"/>
        <w:snapToGrid w:val="0"/>
        <w:spacing w:line="440" w:lineRule="exact"/>
        <w:ind w:left="0" w:leftChars="0"/>
        <w:jc w:val="both"/>
        <w:rPr>
          <w:sz w:val="24"/>
        </w:rPr>
      </w:pPr>
      <w:r>
        <w:rPr>
          <w:rFonts w:hint="eastAsia"/>
          <w:sz w:val="24"/>
        </w:rPr>
        <w:t>第四部分</w:t>
      </w:r>
      <w:r>
        <w:rPr>
          <w:sz w:val="24"/>
        </w:rPr>
        <w:t xml:space="preserve"> </w:t>
      </w:r>
      <w:r>
        <w:rPr>
          <w:rFonts w:hint="eastAsia"/>
          <w:sz w:val="24"/>
        </w:rPr>
        <w:t>附件</w:t>
      </w:r>
      <w:r>
        <w:rPr>
          <w:sz w:val="24"/>
        </w:rPr>
        <w:t>………………………………………………………………………</w:t>
      </w:r>
      <w:r>
        <w:rPr>
          <w:rFonts w:hint="eastAsia" w:ascii="Times New Roman" w:hAnsi="Times New Roman" w:eastAsia="宋体" w:cs="Times New Roman"/>
          <w:kern w:val="2"/>
          <w:sz w:val="24"/>
          <w:szCs w:val="24"/>
          <w:lang w:val="en-US" w:eastAsia="zh-CN" w:bidi="ar-SA"/>
        </w:rPr>
        <w:t>18</w:t>
      </w:r>
    </w:p>
    <w:p w14:paraId="55421613">
      <w:pPr>
        <w:pStyle w:val="12"/>
        <w:adjustRightInd w:val="0"/>
        <w:snapToGrid w:val="0"/>
        <w:spacing w:before="0" w:line="440" w:lineRule="exact"/>
        <w:jc w:val="both"/>
        <w:rPr>
          <w:rFonts w:ascii="Times New Roman" w:hAnsi="Times New Roman" w:eastAsia="宋体"/>
          <w:sz w:val="24"/>
          <w:szCs w:val="24"/>
        </w:rPr>
      </w:pPr>
      <w:r>
        <w:rPr>
          <w:rFonts w:hint="eastAsia" w:ascii="Times New Roman" w:hAnsi="Times New Roman" w:eastAsia="宋体"/>
          <w:sz w:val="24"/>
          <w:szCs w:val="24"/>
        </w:rPr>
        <w:t>第五部分</w:t>
      </w:r>
      <w:r>
        <w:rPr>
          <w:rFonts w:ascii="Times New Roman" w:hAnsi="Times New Roman" w:eastAsia="宋体"/>
          <w:sz w:val="24"/>
          <w:szCs w:val="24"/>
        </w:rPr>
        <w:t xml:space="preserve"> </w:t>
      </w:r>
      <w:r>
        <w:rPr>
          <w:rFonts w:hint="eastAsia" w:ascii="Times New Roman" w:hAnsi="Times New Roman" w:eastAsia="宋体"/>
          <w:sz w:val="24"/>
          <w:szCs w:val="24"/>
        </w:rPr>
        <w:t>附表</w:t>
      </w:r>
      <w:r>
        <w:rPr>
          <w:rFonts w:ascii="Times New Roman" w:hAnsi="Times New Roman" w:eastAsia="宋体"/>
          <w:sz w:val="24"/>
          <w:szCs w:val="24"/>
        </w:rPr>
        <w:t>………………………………………………………………………</w:t>
      </w:r>
      <w:r>
        <w:rPr>
          <w:rFonts w:hint="eastAsia" w:ascii="Times New Roman" w:hAnsi="Times New Roman" w:eastAsia="宋体"/>
          <w:sz w:val="24"/>
          <w:szCs w:val="24"/>
        </w:rPr>
        <w:t>27</w:t>
      </w:r>
    </w:p>
    <w:p w14:paraId="5B4183F5">
      <w:pPr>
        <w:pStyle w:val="13"/>
        <w:adjustRightInd w:val="0"/>
        <w:snapToGrid w:val="0"/>
        <w:spacing w:line="440" w:lineRule="exact"/>
        <w:jc w:val="both"/>
        <w:rPr>
          <w:sz w:val="24"/>
        </w:rPr>
      </w:pPr>
      <w:r>
        <w:rPr>
          <w:rFonts w:hint="eastAsia"/>
          <w:sz w:val="24"/>
        </w:rPr>
        <w:t>二、收入决算表</w:t>
      </w:r>
      <w:r>
        <w:rPr>
          <w:sz w:val="24"/>
        </w:rPr>
        <w:t>…………………………………………………………………</w:t>
      </w:r>
      <w:r>
        <w:rPr>
          <w:rFonts w:hint="eastAsia"/>
          <w:sz w:val="24"/>
        </w:rPr>
        <w:t>27</w:t>
      </w:r>
    </w:p>
    <w:p w14:paraId="5A9602FA">
      <w:pPr>
        <w:pStyle w:val="13"/>
        <w:adjustRightInd w:val="0"/>
        <w:snapToGrid w:val="0"/>
        <w:spacing w:line="440" w:lineRule="exact"/>
        <w:jc w:val="both"/>
        <w:rPr>
          <w:sz w:val="24"/>
        </w:rPr>
      </w:pPr>
      <w:r>
        <w:rPr>
          <w:rFonts w:hint="eastAsia"/>
          <w:sz w:val="24"/>
        </w:rPr>
        <w:t>三、支出决算表</w:t>
      </w:r>
      <w:r>
        <w:rPr>
          <w:sz w:val="24"/>
        </w:rPr>
        <w:t>…………………………………………………………………</w:t>
      </w:r>
      <w:r>
        <w:rPr>
          <w:rFonts w:hint="eastAsia"/>
          <w:sz w:val="24"/>
        </w:rPr>
        <w:t>27</w:t>
      </w:r>
    </w:p>
    <w:p w14:paraId="2A629F8C">
      <w:pPr>
        <w:pStyle w:val="13"/>
        <w:adjustRightInd w:val="0"/>
        <w:snapToGrid w:val="0"/>
        <w:spacing w:line="440" w:lineRule="exact"/>
        <w:jc w:val="both"/>
        <w:rPr>
          <w:sz w:val="24"/>
        </w:rPr>
      </w:pPr>
      <w:r>
        <w:rPr>
          <w:rFonts w:hint="eastAsia"/>
          <w:sz w:val="24"/>
        </w:rPr>
        <w:t>四、财政拨款收入支出决算总表</w:t>
      </w:r>
      <w:r>
        <w:rPr>
          <w:sz w:val="24"/>
        </w:rPr>
        <w:t>………………………………………………</w:t>
      </w:r>
      <w:r>
        <w:rPr>
          <w:rFonts w:hint="eastAsia"/>
          <w:sz w:val="24"/>
        </w:rPr>
        <w:t>27</w:t>
      </w:r>
    </w:p>
    <w:p w14:paraId="08EC0250">
      <w:pPr>
        <w:pStyle w:val="13"/>
        <w:adjustRightInd w:val="0"/>
        <w:snapToGrid w:val="0"/>
        <w:spacing w:line="440" w:lineRule="exact"/>
        <w:jc w:val="both"/>
        <w:rPr>
          <w:sz w:val="24"/>
        </w:rPr>
      </w:pPr>
      <w:r>
        <w:rPr>
          <w:rFonts w:hint="eastAsia"/>
          <w:sz w:val="24"/>
        </w:rPr>
        <w:t>五、财政拨款支出决算明细表</w:t>
      </w:r>
      <w:r>
        <w:rPr>
          <w:sz w:val="24"/>
        </w:rPr>
        <w:t>…………………………………………………</w:t>
      </w:r>
      <w:r>
        <w:rPr>
          <w:rFonts w:hint="eastAsia"/>
          <w:sz w:val="24"/>
        </w:rPr>
        <w:t>27六、一般公共预算财政拨款支出决算表</w:t>
      </w:r>
      <w:r>
        <w:rPr>
          <w:sz w:val="24"/>
        </w:rPr>
        <w:t>………………………………………</w:t>
      </w:r>
      <w:r>
        <w:rPr>
          <w:rFonts w:hint="eastAsia"/>
          <w:sz w:val="24"/>
        </w:rPr>
        <w:t>27七、一般公共预算财政拨款支出决算明细表</w:t>
      </w:r>
      <w:r>
        <w:rPr>
          <w:sz w:val="24"/>
        </w:rPr>
        <w:t>…………………………………</w:t>
      </w:r>
      <w:r>
        <w:rPr>
          <w:rFonts w:hint="eastAsia"/>
          <w:sz w:val="24"/>
        </w:rPr>
        <w:t>27</w:t>
      </w:r>
    </w:p>
    <w:p w14:paraId="56B8862E">
      <w:pPr>
        <w:pStyle w:val="13"/>
        <w:adjustRightInd w:val="0"/>
        <w:snapToGrid w:val="0"/>
        <w:spacing w:line="440" w:lineRule="exact"/>
        <w:jc w:val="both"/>
        <w:rPr>
          <w:sz w:val="24"/>
        </w:rPr>
      </w:pPr>
      <w:r>
        <w:rPr>
          <w:rFonts w:hint="eastAsia"/>
          <w:sz w:val="24"/>
        </w:rPr>
        <w:t>八、一般公共预算财政拨款基本支出决算明细表</w:t>
      </w:r>
      <w:r>
        <w:rPr>
          <w:sz w:val="24"/>
        </w:rPr>
        <w:t>……………………………</w:t>
      </w:r>
      <w:r>
        <w:rPr>
          <w:rFonts w:hint="eastAsia"/>
          <w:sz w:val="24"/>
        </w:rPr>
        <w:t>27</w:t>
      </w:r>
    </w:p>
    <w:p w14:paraId="39383206">
      <w:pPr>
        <w:pStyle w:val="13"/>
        <w:adjustRightInd w:val="0"/>
        <w:snapToGrid w:val="0"/>
        <w:spacing w:line="440" w:lineRule="exact"/>
        <w:jc w:val="both"/>
        <w:rPr>
          <w:sz w:val="24"/>
        </w:rPr>
      </w:pPr>
      <w:r>
        <w:rPr>
          <w:rFonts w:hint="eastAsia"/>
          <w:sz w:val="24"/>
        </w:rPr>
        <w:t>九、一般公共预算财政拨款项目支出决算表</w:t>
      </w:r>
      <w:r>
        <w:rPr>
          <w:sz w:val="24"/>
        </w:rPr>
        <w:t>…………………………………</w:t>
      </w:r>
      <w:r>
        <w:rPr>
          <w:rFonts w:hint="eastAsia"/>
          <w:sz w:val="24"/>
        </w:rPr>
        <w:t>27</w:t>
      </w:r>
    </w:p>
    <w:p w14:paraId="671DB58B">
      <w:pPr>
        <w:pStyle w:val="13"/>
        <w:adjustRightInd w:val="0"/>
        <w:snapToGrid w:val="0"/>
        <w:spacing w:line="440" w:lineRule="exact"/>
        <w:jc w:val="both"/>
        <w:rPr>
          <w:sz w:val="24"/>
        </w:rPr>
      </w:pPr>
      <w:r>
        <w:rPr>
          <w:rFonts w:hint="eastAsia"/>
          <w:sz w:val="24"/>
        </w:rPr>
        <w:t>十、政府性基金预算财政拨款收入支出决算表</w:t>
      </w:r>
      <w:r>
        <w:rPr>
          <w:sz w:val="24"/>
        </w:rPr>
        <w:t>………………………………</w:t>
      </w:r>
      <w:r>
        <w:rPr>
          <w:rFonts w:hint="eastAsia"/>
          <w:sz w:val="24"/>
        </w:rPr>
        <w:t>27</w:t>
      </w:r>
    </w:p>
    <w:p w14:paraId="462B84B9">
      <w:pPr>
        <w:pStyle w:val="13"/>
        <w:adjustRightInd w:val="0"/>
        <w:snapToGrid w:val="0"/>
        <w:spacing w:line="440" w:lineRule="exact"/>
        <w:jc w:val="both"/>
        <w:rPr>
          <w:sz w:val="24"/>
        </w:rPr>
      </w:pPr>
      <w:r>
        <w:rPr>
          <w:rFonts w:hint="eastAsia"/>
          <w:sz w:val="24"/>
        </w:rPr>
        <w:t>十一、国有资本经营预算财政拨款收入支出决算表</w:t>
      </w:r>
      <w:r>
        <w:rPr>
          <w:sz w:val="24"/>
        </w:rPr>
        <w:t>…………………………</w:t>
      </w:r>
      <w:r>
        <w:rPr>
          <w:rFonts w:hint="eastAsia"/>
          <w:sz w:val="24"/>
        </w:rPr>
        <w:t>27</w:t>
      </w:r>
    </w:p>
    <w:p w14:paraId="0E0304CC">
      <w:pPr>
        <w:pStyle w:val="13"/>
        <w:adjustRightInd w:val="0"/>
        <w:snapToGrid w:val="0"/>
        <w:spacing w:line="440" w:lineRule="exact"/>
        <w:jc w:val="both"/>
        <w:rPr>
          <w:sz w:val="24"/>
        </w:rPr>
      </w:pPr>
      <w:r>
        <w:rPr>
          <w:rFonts w:hint="eastAsia"/>
          <w:sz w:val="24"/>
        </w:rPr>
        <w:t>十二、国有资本经营预算财政拨款支出决算表</w:t>
      </w:r>
      <w:r>
        <w:rPr>
          <w:sz w:val="24"/>
        </w:rPr>
        <w:t>………………………………</w:t>
      </w:r>
      <w:r>
        <w:rPr>
          <w:rFonts w:hint="eastAsia"/>
          <w:sz w:val="24"/>
        </w:rPr>
        <w:t>27</w:t>
      </w:r>
    </w:p>
    <w:p w14:paraId="4FFC1E78">
      <w:pPr>
        <w:pStyle w:val="13"/>
        <w:adjustRightInd w:val="0"/>
        <w:snapToGrid w:val="0"/>
        <w:spacing w:line="440" w:lineRule="exact"/>
        <w:jc w:val="both"/>
        <w:rPr>
          <w:sz w:val="24"/>
        </w:rPr>
      </w:pPr>
      <w:r>
        <w:rPr>
          <w:rFonts w:hint="eastAsia"/>
          <w:sz w:val="24"/>
        </w:rPr>
        <w:t>十三、财政拨款“三公”经费支出决算表</w:t>
      </w:r>
      <w:r>
        <w:rPr>
          <w:sz w:val="24"/>
        </w:rPr>
        <w:t>……………………………………</w:t>
      </w:r>
      <w:r>
        <w:rPr>
          <w:rFonts w:hint="eastAsia"/>
          <w:sz w:val="24"/>
        </w:rPr>
        <w:t>27</w:t>
      </w:r>
    </w:p>
    <w:p w14:paraId="108BCA54">
      <w:pPr>
        <w:widowControl/>
        <w:spacing w:line="440" w:lineRule="exact"/>
        <w:jc w:val="right"/>
        <w:rPr>
          <w:rFonts w:ascii="仿宋" w:hAnsi="仿宋" w:eastAsia="仿宋"/>
          <w:bCs/>
          <w:kern w:val="44"/>
          <w:sz w:val="24"/>
        </w:rPr>
      </w:pPr>
      <w:bookmarkStart w:id="12" w:name="_Toc15377196"/>
      <w:bookmarkStart w:id="13" w:name="_Toc15396599"/>
      <w:r>
        <w:rPr>
          <w:rFonts w:ascii="仿宋" w:hAnsi="仿宋" w:eastAsia="仿宋"/>
          <w:b/>
          <w:sz w:val="24"/>
        </w:rPr>
        <w:br w:type="page"/>
      </w:r>
    </w:p>
    <w:p w14:paraId="671579ED">
      <w:pPr>
        <w:pStyle w:val="3"/>
        <w:jc w:val="center"/>
        <w:rPr>
          <w:rFonts w:ascii="黑体" w:hAnsi="黑体" w:eastAsia="黑体"/>
          <w:bCs w:val="0"/>
        </w:rPr>
      </w:pPr>
      <w:r>
        <w:rPr>
          <w:rFonts w:hint="eastAsia" w:ascii="黑体" w:hAnsi="黑体" w:eastAsia="黑体"/>
          <w:b w:val="0"/>
        </w:rPr>
        <w:t>第一部分 单位</w:t>
      </w:r>
      <w:r>
        <w:rPr>
          <w:rStyle w:val="28"/>
          <w:rFonts w:hint="eastAsia" w:ascii="黑体" w:hAnsi="黑体" w:eastAsia="黑体"/>
          <w:b w:val="0"/>
          <w:bCs w:val="0"/>
        </w:rPr>
        <w:t>概况</w:t>
      </w:r>
      <w:bookmarkEnd w:id="12"/>
      <w:bookmarkEnd w:id="13"/>
    </w:p>
    <w:p w14:paraId="59004826">
      <w:pPr>
        <w:pStyle w:val="4"/>
        <w:numPr>
          <w:ilvl w:val="0"/>
          <w:numId w:val="1"/>
        </w:numPr>
        <w:rPr>
          <w:rStyle w:val="29"/>
          <w:rFonts w:ascii="黑体" w:hAnsi="黑体" w:eastAsia="黑体"/>
          <w:b w:val="0"/>
          <w:bCs w:val="0"/>
        </w:rPr>
      </w:pPr>
      <w:bookmarkStart w:id="14" w:name="_Toc15396600"/>
      <w:bookmarkStart w:id="15" w:name="_Toc15377197"/>
      <w:r>
        <w:rPr>
          <w:rStyle w:val="29"/>
          <w:rFonts w:hint="eastAsia" w:ascii="黑体" w:hAnsi="黑体" w:eastAsia="黑体"/>
          <w:b w:val="0"/>
          <w:bCs w:val="0"/>
        </w:rPr>
        <w:t>主要职责</w:t>
      </w:r>
    </w:p>
    <w:p w14:paraId="41D01160">
      <w:pPr>
        <w:spacing w:line="600" w:lineRule="exact"/>
        <w:ind w:firstLine="640" w:firstLineChars="200"/>
        <w:rPr>
          <w:rFonts w:ascii="仿宋" w:hAnsi="仿宋" w:eastAsia="仿宋"/>
          <w:sz w:val="32"/>
          <w:szCs w:val="32"/>
        </w:rPr>
      </w:pPr>
      <w:r>
        <w:rPr>
          <w:rFonts w:hint="eastAsia" w:ascii="仿宋" w:hAnsi="仿宋" w:eastAsia="仿宋"/>
          <w:sz w:val="32"/>
          <w:szCs w:val="32"/>
        </w:rPr>
        <w:t>大竹县林业站主要职能：负责指导全县林木种苗生产、经营活动；负责全县林木种苗新品种、新技术的推广、试验、示范工作；受县自然资源局委托负责全县林木种苗品种的质量管理工作等职能职责；负责林业科学技术推广与试验示范基地建设相关社会服务</w:t>
      </w:r>
    </w:p>
    <w:p w14:paraId="55F63DBD">
      <w:pPr>
        <w:pStyle w:val="4"/>
        <w:rPr>
          <w:rFonts w:ascii="黑体" w:hAnsi="黑体" w:eastAsia="黑体"/>
          <w:b w:val="0"/>
        </w:rPr>
      </w:pPr>
      <w:r>
        <w:rPr>
          <w:rFonts w:hint="eastAsia" w:ascii="黑体" w:hAnsi="黑体" w:eastAsia="黑体"/>
          <w:b w:val="0"/>
        </w:rPr>
        <w:t>二、机构设置</w:t>
      </w:r>
    </w:p>
    <w:p w14:paraId="40CB6925">
      <w:pPr>
        <w:spacing w:line="600" w:lineRule="exact"/>
        <w:ind w:firstLine="640" w:firstLineChars="200"/>
        <w:rPr>
          <w:rFonts w:ascii="仿宋" w:hAnsi="仿宋" w:eastAsia="仿宋"/>
          <w:sz w:val="32"/>
          <w:szCs w:val="32"/>
        </w:rPr>
      </w:pPr>
      <w:r>
        <w:rPr>
          <w:rFonts w:hint="eastAsia" w:ascii="仿宋" w:hAnsi="仿宋" w:eastAsia="仿宋"/>
          <w:sz w:val="32"/>
          <w:szCs w:val="32"/>
        </w:rPr>
        <w:t>大竹县林业站下属二级预算单位0个，其中行政单位0个，参照公务员法管理的事业单位0个，其他事业单位0个。</w:t>
      </w:r>
    </w:p>
    <w:p w14:paraId="3BBE5FE0">
      <w:pPr>
        <w:spacing w:line="600" w:lineRule="exact"/>
        <w:ind w:firstLine="640" w:firstLineChars="200"/>
        <w:rPr>
          <w:rFonts w:ascii="仿宋" w:hAnsi="仿宋" w:eastAsia="仿宋"/>
          <w:sz w:val="32"/>
          <w:szCs w:val="32"/>
        </w:rPr>
      </w:pPr>
      <w:r>
        <w:rPr>
          <w:rFonts w:hint="eastAsia" w:ascii="仿宋" w:hAnsi="仿宋" w:eastAsia="仿宋"/>
          <w:sz w:val="32"/>
          <w:szCs w:val="32"/>
        </w:rPr>
        <w:t>无纳入大竹县林业站2023年度部门决算编制范围的二级预算单位。</w:t>
      </w:r>
      <w:bookmarkEnd w:id="14"/>
      <w:bookmarkEnd w:id="15"/>
    </w:p>
    <w:p w14:paraId="65C6AE9A">
      <w:pPr>
        <w:pStyle w:val="3"/>
        <w:ind w:right="440"/>
        <w:jc w:val="center"/>
        <w:rPr>
          <w:rFonts w:ascii="黑体" w:hAnsi="黑体" w:eastAsia="黑体"/>
          <w:b w:val="0"/>
        </w:rPr>
      </w:pPr>
      <w:bookmarkStart w:id="16" w:name="_Toc15396602"/>
      <w:bookmarkStart w:id="17" w:name="_Toc15377204"/>
      <w:r>
        <w:rPr>
          <w:rFonts w:hint="eastAsia" w:ascii="黑体" w:hAnsi="黑体" w:eastAsia="黑体"/>
          <w:b w:val="0"/>
        </w:rPr>
        <w:t>第二部分 2023年度</w:t>
      </w:r>
      <w:r>
        <w:rPr>
          <w:rStyle w:val="28"/>
          <w:rFonts w:hint="eastAsia" w:ascii="黑体" w:hAnsi="黑体" w:eastAsia="黑体"/>
          <w:b w:val="0"/>
          <w:bCs/>
        </w:rPr>
        <w:t>单位决算情况说明</w:t>
      </w:r>
      <w:bookmarkEnd w:id="16"/>
      <w:bookmarkEnd w:id="17"/>
    </w:p>
    <w:p w14:paraId="74D42669">
      <w:pPr>
        <w:pStyle w:val="27"/>
        <w:numPr>
          <w:ilvl w:val="0"/>
          <w:numId w:val="2"/>
        </w:numPr>
        <w:spacing w:line="600" w:lineRule="exact"/>
        <w:ind w:firstLineChars="0"/>
        <w:outlineLvl w:val="1"/>
        <w:rPr>
          <w:rStyle w:val="29"/>
          <w:rFonts w:ascii="黑体" w:hAnsi="黑体" w:eastAsia="黑体"/>
          <w:b w:val="0"/>
        </w:rPr>
      </w:pPr>
      <w:bookmarkStart w:id="18" w:name="_Toc15377205"/>
      <w:bookmarkStart w:id="19" w:name="_Toc15396603"/>
      <w:r>
        <w:rPr>
          <w:rFonts w:hint="eastAsia" w:ascii="黑体" w:hAnsi="黑体" w:eastAsia="黑体"/>
          <w:sz w:val="32"/>
          <w:szCs w:val="32"/>
        </w:rPr>
        <w:t>收</w:t>
      </w:r>
      <w:r>
        <w:rPr>
          <w:rStyle w:val="29"/>
          <w:rFonts w:hint="eastAsia" w:ascii="黑体" w:hAnsi="黑体" w:eastAsia="黑体"/>
          <w:b w:val="0"/>
        </w:rPr>
        <w:t>入支出决算总体情况说明</w:t>
      </w:r>
      <w:bookmarkEnd w:id="18"/>
      <w:bookmarkEnd w:id="19"/>
    </w:p>
    <w:p w14:paraId="3FE57D53">
      <w:pPr>
        <w:spacing w:line="600" w:lineRule="exact"/>
        <w:ind w:firstLine="640" w:firstLineChars="200"/>
        <w:rPr>
          <w:rFonts w:ascii="仿宋" w:hAnsi="仿宋" w:eastAsia="仿宋"/>
          <w:sz w:val="32"/>
          <w:szCs w:val="32"/>
        </w:rPr>
      </w:pPr>
      <w:r>
        <w:rPr>
          <w:rFonts w:hint="eastAsia" w:ascii="仿宋" w:hAnsi="仿宋" w:eastAsia="仿宋"/>
          <w:sz w:val="32"/>
          <w:szCs w:val="32"/>
        </w:rPr>
        <w:t>2023年度收、支总计均为</w:t>
      </w:r>
      <w:r>
        <w:rPr>
          <w:rFonts w:hint="eastAsia" w:ascii="仿宋" w:hAnsi="仿宋" w:eastAsia="仿宋"/>
          <w:b/>
          <w:sz w:val="32"/>
          <w:szCs w:val="32"/>
        </w:rPr>
        <w:t>349.89</w:t>
      </w:r>
      <w:r>
        <w:rPr>
          <w:rFonts w:hint="eastAsia" w:ascii="仿宋" w:hAnsi="仿宋" w:eastAsia="仿宋"/>
          <w:sz w:val="32"/>
          <w:szCs w:val="32"/>
        </w:rPr>
        <w:t>万元。与2022年度相比，收、支总计各增加</w:t>
      </w:r>
      <w:r>
        <w:rPr>
          <w:rFonts w:hint="eastAsia" w:ascii="仿宋" w:hAnsi="仿宋" w:eastAsia="仿宋"/>
          <w:b/>
          <w:sz w:val="32"/>
          <w:szCs w:val="32"/>
        </w:rPr>
        <w:t>59.03</w:t>
      </w:r>
      <w:r>
        <w:rPr>
          <w:rFonts w:hint="eastAsia" w:ascii="仿宋" w:hAnsi="仿宋" w:eastAsia="仿宋"/>
          <w:sz w:val="32"/>
          <w:szCs w:val="32"/>
        </w:rPr>
        <w:t>万元，增长</w:t>
      </w:r>
      <w:r>
        <w:rPr>
          <w:rFonts w:hint="eastAsia" w:ascii="仿宋" w:hAnsi="仿宋" w:eastAsia="仿宋"/>
          <w:b/>
          <w:sz w:val="32"/>
          <w:szCs w:val="32"/>
        </w:rPr>
        <w:t>20.3</w:t>
      </w:r>
      <w:r>
        <w:rPr>
          <w:rFonts w:ascii="仿宋" w:hAnsi="仿宋" w:eastAsia="仿宋"/>
          <w:sz w:val="32"/>
          <w:szCs w:val="32"/>
        </w:rPr>
        <w:t>%</w:t>
      </w:r>
      <w:r>
        <w:rPr>
          <w:rFonts w:hint="eastAsia" w:ascii="仿宋" w:hAnsi="仿宋" w:eastAsia="仿宋"/>
          <w:sz w:val="32"/>
          <w:szCs w:val="32"/>
        </w:rPr>
        <w:t>。主要变动原因是</w:t>
      </w:r>
      <w:r>
        <w:rPr>
          <w:rFonts w:hint="eastAsia" w:ascii="仿宋_GB2312" w:hAnsi="仿宋" w:eastAsia="仿宋_GB2312"/>
          <w:sz w:val="32"/>
          <w:szCs w:val="32"/>
        </w:rPr>
        <w:t>本年增人增资、2022年4季度基础绩效及目标考核兑付增资、退休生活补贴调标增资、退休职工职业年金做实及一次性补贴增资</w:t>
      </w:r>
      <w:r>
        <w:rPr>
          <w:rFonts w:hint="eastAsia" w:ascii="仿宋" w:hAnsi="仿宋" w:eastAsia="仿宋"/>
          <w:sz w:val="32"/>
          <w:szCs w:val="32"/>
        </w:rPr>
        <w:t>。</w:t>
      </w:r>
    </w:p>
    <w:p w14:paraId="76A5BD77">
      <w:pPr>
        <w:pStyle w:val="2"/>
      </w:pPr>
      <w:r>
        <w:drawing>
          <wp:inline distT="0" distB="0" distL="0" distR="0">
            <wp:extent cx="5828665" cy="3774440"/>
            <wp:effectExtent l="19050" t="0" r="19493"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421F654E">
      <w:pPr>
        <w:spacing w:line="600" w:lineRule="exact"/>
        <w:ind w:firstLine="640" w:firstLineChars="200"/>
        <w:rPr>
          <w:rFonts w:ascii="仿宋" w:hAnsi="仿宋" w:eastAsia="仿宋"/>
          <w:sz w:val="32"/>
          <w:szCs w:val="32"/>
        </w:rPr>
      </w:pPr>
    </w:p>
    <w:p w14:paraId="5437AE70">
      <w:pPr>
        <w:spacing w:line="600" w:lineRule="exact"/>
        <w:ind w:firstLine="640" w:firstLineChars="200"/>
        <w:rPr>
          <w:rFonts w:ascii="仿宋" w:hAnsi="仿宋" w:eastAsia="仿宋"/>
          <w:sz w:val="32"/>
          <w:szCs w:val="32"/>
        </w:rPr>
      </w:pPr>
      <w:r>
        <w:rPr>
          <w:rFonts w:hint="eastAsia" w:ascii="仿宋" w:hAnsi="仿宋" w:eastAsia="仿宋"/>
          <w:sz w:val="32"/>
          <w:szCs w:val="32"/>
        </w:rPr>
        <w:t xml:space="preserve">    （图</w:t>
      </w:r>
      <w:r>
        <w:rPr>
          <w:rFonts w:ascii="仿宋" w:hAnsi="仿宋" w:eastAsia="仿宋"/>
          <w:sz w:val="32"/>
          <w:szCs w:val="32"/>
        </w:rPr>
        <w:t>1</w:t>
      </w:r>
      <w:r>
        <w:rPr>
          <w:rFonts w:hint="eastAsia" w:ascii="仿宋" w:hAnsi="仿宋" w:eastAsia="仿宋"/>
          <w:sz w:val="32"/>
          <w:szCs w:val="32"/>
        </w:rPr>
        <w:t>：收、支决算总计变动情况图）</w:t>
      </w:r>
    </w:p>
    <w:p w14:paraId="7D684ED7">
      <w:pPr>
        <w:pStyle w:val="27"/>
        <w:numPr>
          <w:ilvl w:val="0"/>
          <w:numId w:val="2"/>
        </w:numPr>
        <w:spacing w:line="600" w:lineRule="exact"/>
        <w:ind w:firstLineChars="0"/>
        <w:outlineLvl w:val="1"/>
        <w:rPr>
          <w:rStyle w:val="29"/>
          <w:rFonts w:ascii="黑体" w:hAnsi="黑体" w:eastAsia="黑体"/>
          <w:b w:val="0"/>
        </w:rPr>
      </w:pPr>
      <w:bookmarkStart w:id="20" w:name="_Toc15396604"/>
      <w:bookmarkStart w:id="21" w:name="_Toc15377206"/>
      <w:r>
        <w:rPr>
          <w:rFonts w:hint="eastAsia" w:ascii="黑体" w:hAnsi="黑体" w:eastAsia="黑体"/>
          <w:sz w:val="32"/>
          <w:szCs w:val="32"/>
        </w:rPr>
        <w:t>收</w:t>
      </w:r>
      <w:r>
        <w:rPr>
          <w:rStyle w:val="29"/>
          <w:rFonts w:hint="eastAsia" w:ascii="黑体" w:hAnsi="黑体" w:eastAsia="黑体"/>
          <w:b w:val="0"/>
        </w:rPr>
        <w:t>入决算情况说明</w:t>
      </w:r>
      <w:bookmarkEnd w:id="20"/>
      <w:bookmarkEnd w:id="21"/>
    </w:p>
    <w:p w14:paraId="3F12D8E4">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2023年度本年收入合计</w:t>
      </w:r>
      <w:r>
        <w:rPr>
          <w:rFonts w:ascii="仿宋" w:hAnsi="仿宋" w:eastAsia="仿宋"/>
          <w:b/>
          <w:sz w:val="32"/>
          <w:szCs w:val="32"/>
        </w:rPr>
        <w:t>348.28</w:t>
      </w:r>
      <w:r>
        <w:rPr>
          <w:rFonts w:hint="eastAsia" w:ascii="仿宋" w:hAnsi="仿宋" w:eastAsia="仿宋"/>
          <w:sz w:val="32"/>
          <w:szCs w:val="32"/>
        </w:rPr>
        <w:t>万元，其中：一般公共预算财政拨款收入</w:t>
      </w:r>
      <w:r>
        <w:rPr>
          <w:rFonts w:ascii="仿宋" w:hAnsi="仿宋" w:eastAsia="仿宋"/>
          <w:b/>
          <w:sz w:val="32"/>
          <w:szCs w:val="32"/>
        </w:rPr>
        <w:t>348.28</w:t>
      </w:r>
      <w:r>
        <w:rPr>
          <w:rFonts w:hint="eastAsia" w:ascii="仿宋" w:hAnsi="仿宋" w:eastAsia="仿宋"/>
          <w:sz w:val="32"/>
          <w:szCs w:val="32"/>
        </w:rPr>
        <w:t>万元，占</w:t>
      </w:r>
      <w:r>
        <w:rPr>
          <w:rFonts w:ascii="仿宋" w:hAnsi="仿宋" w:eastAsia="仿宋"/>
          <w:b/>
          <w:sz w:val="32"/>
          <w:szCs w:val="32"/>
        </w:rPr>
        <w:t>100%</w:t>
      </w:r>
      <w:r>
        <w:rPr>
          <w:rFonts w:hint="eastAsia" w:ascii="仿宋" w:hAnsi="仿宋" w:eastAsia="仿宋"/>
          <w:sz w:val="32"/>
          <w:szCs w:val="32"/>
        </w:rPr>
        <w:t>；政府性基金预算财政拨款收入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；国有资本经营预算财政拨款收入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；上级补助收入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hint="eastAsia" w:ascii="仿宋" w:hAnsi="仿宋" w:eastAsia="仿宋"/>
          <w:sz w:val="32"/>
          <w:szCs w:val="32"/>
        </w:rPr>
        <w:t>；事业收入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；附属单位上缴收入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；其他收入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p>
    <w:p w14:paraId="558E2532">
      <w:pPr>
        <w:pStyle w:val="2"/>
      </w:pPr>
      <w:r>
        <w:drawing>
          <wp:inline distT="0" distB="0" distL="0" distR="0">
            <wp:extent cx="5488305" cy="2593975"/>
            <wp:effectExtent l="19050" t="0" r="16835" b="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1F01305">
      <w:pPr>
        <w:spacing w:line="600" w:lineRule="exact"/>
        <w:ind w:firstLine="640" w:firstLineChars="200"/>
        <w:rPr>
          <w:rFonts w:ascii="仿宋" w:hAnsi="仿宋" w:eastAsia="仿宋"/>
          <w:sz w:val="32"/>
          <w:szCs w:val="32"/>
        </w:rPr>
      </w:pPr>
      <w:r>
        <w:rPr>
          <w:rFonts w:hint="eastAsia" w:ascii="仿宋" w:hAnsi="仿宋" w:eastAsia="仿宋"/>
          <w:sz w:val="32"/>
          <w:szCs w:val="32"/>
        </w:rPr>
        <w:t xml:space="preserve">          （图2：收入决算结构图）</w:t>
      </w:r>
    </w:p>
    <w:p w14:paraId="3A104DAD">
      <w:pPr>
        <w:pStyle w:val="27"/>
        <w:numPr>
          <w:ilvl w:val="0"/>
          <w:numId w:val="2"/>
        </w:numPr>
        <w:spacing w:line="600" w:lineRule="exact"/>
        <w:ind w:firstLineChars="0"/>
        <w:outlineLvl w:val="1"/>
        <w:rPr>
          <w:rStyle w:val="29"/>
          <w:rFonts w:ascii="黑体" w:hAnsi="黑体" w:eastAsia="黑体"/>
          <w:b w:val="0"/>
        </w:rPr>
      </w:pPr>
      <w:bookmarkStart w:id="22" w:name="_Toc15396605"/>
      <w:bookmarkStart w:id="23" w:name="_Toc15377207"/>
      <w:r>
        <w:rPr>
          <w:rFonts w:hint="eastAsia" w:ascii="黑体" w:hAnsi="黑体" w:eastAsia="黑体"/>
          <w:sz w:val="32"/>
          <w:szCs w:val="32"/>
        </w:rPr>
        <w:t>支</w:t>
      </w:r>
      <w:r>
        <w:rPr>
          <w:rStyle w:val="29"/>
          <w:rFonts w:hint="eastAsia" w:ascii="黑体" w:hAnsi="黑体" w:eastAsia="黑体"/>
          <w:b w:val="0"/>
        </w:rPr>
        <w:t>出决算情况说明</w:t>
      </w:r>
      <w:bookmarkEnd w:id="22"/>
      <w:bookmarkEnd w:id="23"/>
    </w:p>
    <w:p w14:paraId="5988B85A">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2023年度本年支出合计</w:t>
      </w:r>
      <w:r>
        <w:rPr>
          <w:rFonts w:ascii="仿宋" w:hAnsi="仿宋" w:eastAsia="仿宋"/>
          <w:b/>
          <w:sz w:val="32"/>
          <w:szCs w:val="32"/>
        </w:rPr>
        <w:t>349.89</w:t>
      </w:r>
      <w:r>
        <w:rPr>
          <w:rFonts w:hint="eastAsia" w:ascii="仿宋" w:hAnsi="仿宋" w:eastAsia="仿宋"/>
          <w:sz w:val="32"/>
          <w:szCs w:val="32"/>
        </w:rPr>
        <w:t>万元，其中：基本支出</w:t>
      </w:r>
      <w:r>
        <w:rPr>
          <w:rFonts w:ascii="仿宋" w:hAnsi="仿宋" w:eastAsia="仿宋"/>
          <w:b/>
          <w:sz w:val="32"/>
          <w:szCs w:val="32"/>
        </w:rPr>
        <w:t>349.89</w:t>
      </w:r>
      <w:r>
        <w:rPr>
          <w:rFonts w:hint="eastAsia" w:ascii="仿宋" w:hAnsi="仿宋" w:eastAsia="仿宋"/>
          <w:sz w:val="32"/>
          <w:szCs w:val="32"/>
        </w:rPr>
        <w:t>万元，占</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；项目支出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；上缴上级支出</w:t>
      </w:r>
      <w:r>
        <w:rPr>
          <w:rFonts w:ascii="仿宋" w:hAnsi="仿宋" w:eastAsia="仿宋"/>
          <w:b/>
          <w:sz w:val="32"/>
          <w:szCs w:val="32"/>
        </w:rPr>
        <w:t>0</w:t>
      </w:r>
      <w:r>
        <w:rPr>
          <w:rFonts w:hint="eastAsia" w:ascii="仿宋" w:hAnsi="仿宋" w:eastAsia="仿宋"/>
          <w:sz w:val="32"/>
          <w:szCs w:val="32"/>
        </w:rPr>
        <w:t>万元，占</w:t>
      </w:r>
      <w:r>
        <w:rPr>
          <w:rFonts w:hint="eastAsia"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；对附属单位补助支出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w:t>
      </w:r>
    </w:p>
    <w:p w14:paraId="0E334019">
      <w:r>
        <w:drawing>
          <wp:inline distT="0" distB="0" distL="0" distR="0">
            <wp:extent cx="5360670" cy="2615565"/>
            <wp:effectExtent l="19050" t="0" r="11238" b="0"/>
            <wp:docPr id="4"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1F382D2">
      <w:pPr>
        <w:spacing w:line="600" w:lineRule="exact"/>
        <w:ind w:firstLine="640" w:firstLineChars="200"/>
        <w:rPr>
          <w:rFonts w:ascii="仿宋" w:hAnsi="仿宋" w:eastAsia="仿宋"/>
          <w:sz w:val="32"/>
          <w:szCs w:val="32"/>
        </w:rPr>
      </w:pPr>
      <w:r>
        <w:rPr>
          <w:rFonts w:hint="eastAsia" w:ascii="仿宋" w:hAnsi="仿宋" w:eastAsia="仿宋"/>
          <w:sz w:val="32"/>
          <w:szCs w:val="32"/>
        </w:rPr>
        <w:t xml:space="preserve">          （图3：支出决算结构图）</w:t>
      </w:r>
    </w:p>
    <w:p w14:paraId="7AC63AC1">
      <w:pPr>
        <w:spacing w:line="600" w:lineRule="exact"/>
        <w:ind w:firstLine="640" w:firstLineChars="200"/>
        <w:outlineLvl w:val="1"/>
        <w:rPr>
          <w:rStyle w:val="29"/>
          <w:rFonts w:ascii="黑体" w:hAnsi="黑体" w:eastAsia="黑体"/>
          <w:b w:val="0"/>
        </w:rPr>
      </w:pPr>
      <w:bookmarkStart w:id="24" w:name="_Toc15377208"/>
      <w:bookmarkStart w:id="25" w:name="_Toc15396606"/>
      <w:r>
        <w:rPr>
          <w:rFonts w:hint="eastAsia" w:ascii="黑体" w:hAnsi="黑体" w:eastAsia="黑体"/>
          <w:sz w:val="32"/>
          <w:szCs w:val="32"/>
        </w:rPr>
        <w:t>四、财</w:t>
      </w:r>
      <w:r>
        <w:rPr>
          <w:rStyle w:val="29"/>
          <w:rFonts w:hint="eastAsia" w:ascii="黑体" w:hAnsi="黑体" w:eastAsia="黑体"/>
          <w:b w:val="0"/>
        </w:rPr>
        <w:t>政拨款收入支出决算总体情况说明</w:t>
      </w:r>
      <w:bookmarkEnd w:id="24"/>
      <w:bookmarkEnd w:id="25"/>
    </w:p>
    <w:p w14:paraId="0D081B7D">
      <w:pPr>
        <w:spacing w:line="600" w:lineRule="exact"/>
        <w:ind w:firstLine="640"/>
        <w:rPr>
          <w:rFonts w:ascii="仿宋_GB2312" w:hAnsi="仿宋" w:eastAsia="仿宋_GB2312"/>
          <w:sz w:val="32"/>
          <w:szCs w:val="32"/>
        </w:rPr>
      </w:pPr>
      <w:r>
        <w:rPr>
          <w:rFonts w:hint="eastAsia" w:ascii="仿宋" w:hAnsi="仿宋" w:eastAsia="仿宋"/>
          <w:sz w:val="32"/>
          <w:szCs w:val="32"/>
        </w:rPr>
        <w:t>2023年度财政拨款收、支总计均为</w:t>
      </w:r>
      <w:r>
        <w:rPr>
          <w:rFonts w:ascii="仿宋" w:hAnsi="仿宋" w:eastAsia="仿宋"/>
          <w:b/>
          <w:sz w:val="32"/>
          <w:szCs w:val="32"/>
        </w:rPr>
        <w:t>349.89</w:t>
      </w:r>
      <w:r>
        <w:rPr>
          <w:rFonts w:hint="eastAsia" w:ascii="仿宋" w:hAnsi="仿宋" w:eastAsia="仿宋"/>
          <w:sz w:val="32"/>
          <w:szCs w:val="32"/>
        </w:rPr>
        <w:t>万元。与2022年度相比，财政拨款收、支总计各增加</w:t>
      </w:r>
      <w:r>
        <w:rPr>
          <w:rFonts w:hint="eastAsia" w:ascii="仿宋" w:hAnsi="仿宋" w:eastAsia="仿宋"/>
          <w:b/>
          <w:sz w:val="32"/>
          <w:szCs w:val="32"/>
        </w:rPr>
        <w:t>59.03</w:t>
      </w:r>
      <w:r>
        <w:rPr>
          <w:rFonts w:hint="eastAsia" w:ascii="仿宋" w:hAnsi="仿宋" w:eastAsia="仿宋"/>
          <w:sz w:val="32"/>
          <w:szCs w:val="32"/>
        </w:rPr>
        <w:t>万元，增长</w:t>
      </w:r>
      <w:r>
        <w:rPr>
          <w:rFonts w:hint="eastAsia" w:ascii="仿宋" w:hAnsi="仿宋" w:eastAsia="仿宋"/>
          <w:b/>
          <w:sz w:val="32"/>
          <w:szCs w:val="32"/>
        </w:rPr>
        <w:t>20.3</w:t>
      </w:r>
      <w:r>
        <w:rPr>
          <w:rFonts w:ascii="仿宋" w:hAnsi="仿宋" w:eastAsia="仿宋"/>
          <w:b/>
          <w:sz w:val="32"/>
          <w:szCs w:val="32"/>
        </w:rPr>
        <w:t>%</w:t>
      </w:r>
      <w:r>
        <w:rPr>
          <w:rFonts w:hint="eastAsia" w:ascii="仿宋" w:hAnsi="仿宋" w:eastAsia="仿宋"/>
          <w:sz w:val="32"/>
          <w:szCs w:val="32"/>
        </w:rPr>
        <w:t>。主要变动原因是</w:t>
      </w:r>
      <w:r>
        <w:rPr>
          <w:rFonts w:hint="eastAsia" w:ascii="仿宋_GB2312" w:hAnsi="仿宋" w:eastAsia="仿宋_GB2312"/>
          <w:sz w:val="32"/>
          <w:szCs w:val="32"/>
        </w:rPr>
        <w:t>本年增人增资、2022年4季度基础绩效及目标考核兑付增资、退休生活补贴调标增资、退休职工职业年金做实及一次性补贴增资。</w:t>
      </w:r>
    </w:p>
    <w:p w14:paraId="39914D84">
      <w:pPr>
        <w:pStyle w:val="2"/>
      </w:pPr>
      <w:r>
        <w:drawing>
          <wp:inline distT="0" distB="0" distL="0" distR="0">
            <wp:extent cx="4965700" cy="2551430"/>
            <wp:effectExtent l="19050" t="0" r="25075" b="886"/>
            <wp:docPr id="10"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5FC103B">
      <w:pPr>
        <w:spacing w:line="60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w:t>
      </w:r>
    </w:p>
    <w:p w14:paraId="39B06ECA">
      <w:pPr>
        <w:spacing w:line="600" w:lineRule="exact"/>
        <w:ind w:firstLine="640" w:firstLineChars="200"/>
        <w:outlineLvl w:val="1"/>
        <w:rPr>
          <w:rStyle w:val="29"/>
          <w:rFonts w:ascii="黑体" w:hAnsi="黑体" w:eastAsia="黑体"/>
          <w:b w:val="0"/>
        </w:rPr>
      </w:pPr>
      <w:bookmarkStart w:id="26" w:name="_Toc15377209"/>
      <w:bookmarkStart w:id="27" w:name="_Toc15396607"/>
      <w:r>
        <w:rPr>
          <w:rFonts w:hint="eastAsia" w:ascii="黑体" w:hAnsi="黑体" w:eastAsia="黑体"/>
          <w:sz w:val="32"/>
          <w:szCs w:val="32"/>
        </w:rPr>
        <w:t>五、</w:t>
      </w:r>
      <w:r>
        <w:rPr>
          <w:rFonts w:hint="eastAsia" w:ascii="黑体" w:hAnsi="黑体" w:eastAsia="黑体"/>
          <w:b/>
          <w:sz w:val="32"/>
          <w:szCs w:val="32"/>
        </w:rPr>
        <w:t>一</w:t>
      </w:r>
      <w:r>
        <w:rPr>
          <w:rStyle w:val="29"/>
          <w:rFonts w:hint="eastAsia" w:ascii="黑体" w:hAnsi="黑体" w:eastAsia="黑体"/>
          <w:b w:val="0"/>
        </w:rPr>
        <w:t>般公共预算财政拨款支出决算情况说明</w:t>
      </w:r>
      <w:bookmarkEnd w:id="26"/>
      <w:bookmarkEnd w:id="27"/>
    </w:p>
    <w:p w14:paraId="1B9CDB4D">
      <w:pPr>
        <w:spacing w:line="600" w:lineRule="exact"/>
        <w:ind w:firstLine="643"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14:paraId="2F9AE49D">
      <w:pPr>
        <w:spacing w:line="600" w:lineRule="exact"/>
        <w:ind w:firstLine="640" w:firstLineChars="200"/>
        <w:rPr>
          <w:rFonts w:ascii="仿宋" w:hAnsi="仿宋" w:eastAsia="仿宋"/>
          <w:sz w:val="32"/>
          <w:szCs w:val="32"/>
        </w:rPr>
      </w:pPr>
      <w:r>
        <w:rPr>
          <w:rFonts w:hint="eastAsia" w:ascii="仿宋" w:hAnsi="仿宋" w:eastAsia="仿宋"/>
          <w:sz w:val="32"/>
          <w:szCs w:val="32"/>
        </w:rPr>
        <w:t>2023年度一般公共预算财政拨款支出</w:t>
      </w:r>
      <w:r>
        <w:rPr>
          <w:rFonts w:ascii="仿宋" w:hAnsi="仿宋" w:eastAsia="仿宋"/>
          <w:b/>
          <w:sz w:val="32"/>
          <w:szCs w:val="32"/>
        </w:rPr>
        <w:t>349.89</w:t>
      </w:r>
      <w:r>
        <w:rPr>
          <w:rFonts w:hint="eastAsia" w:ascii="仿宋" w:hAnsi="仿宋" w:eastAsia="仿宋"/>
          <w:sz w:val="32"/>
          <w:szCs w:val="32"/>
        </w:rPr>
        <w:t>万元，占本年支出合计的</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。与2022年度相比，一般公共预算财政拨款支出增加</w:t>
      </w:r>
      <w:r>
        <w:rPr>
          <w:rFonts w:hint="eastAsia" w:ascii="仿宋" w:hAnsi="仿宋" w:eastAsia="仿宋"/>
          <w:b/>
          <w:sz w:val="32"/>
          <w:szCs w:val="32"/>
        </w:rPr>
        <w:t>59.03</w:t>
      </w:r>
      <w:r>
        <w:rPr>
          <w:rFonts w:hint="eastAsia" w:ascii="仿宋" w:hAnsi="仿宋" w:eastAsia="仿宋"/>
          <w:sz w:val="32"/>
          <w:szCs w:val="32"/>
        </w:rPr>
        <w:t>万元，增长</w:t>
      </w:r>
      <w:r>
        <w:rPr>
          <w:rFonts w:hint="eastAsia" w:ascii="仿宋" w:hAnsi="仿宋" w:eastAsia="仿宋"/>
          <w:b/>
          <w:sz w:val="32"/>
          <w:szCs w:val="32"/>
        </w:rPr>
        <w:t>20.3</w:t>
      </w:r>
      <w:r>
        <w:rPr>
          <w:rFonts w:ascii="仿宋" w:hAnsi="仿宋" w:eastAsia="仿宋"/>
          <w:b/>
          <w:sz w:val="32"/>
          <w:szCs w:val="32"/>
        </w:rPr>
        <w:t>%</w:t>
      </w:r>
      <w:r>
        <w:rPr>
          <w:rFonts w:hint="eastAsia" w:ascii="仿宋" w:hAnsi="仿宋" w:eastAsia="仿宋"/>
          <w:sz w:val="32"/>
          <w:szCs w:val="32"/>
        </w:rPr>
        <w:t>。主要变动原因是</w:t>
      </w:r>
      <w:r>
        <w:rPr>
          <w:rFonts w:hint="eastAsia" w:ascii="仿宋_GB2312" w:hAnsi="仿宋" w:eastAsia="仿宋_GB2312"/>
          <w:sz w:val="32"/>
          <w:szCs w:val="32"/>
        </w:rPr>
        <w:t>本年增人增资、2022年4季度基础绩效及目标考核兑付增资、退休生活补贴调标增资、退休职工职业年金做实及一次性补贴增资。</w:t>
      </w:r>
    </w:p>
    <w:p w14:paraId="697C6DFA">
      <w:pPr>
        <w:pStyle w:val="2"/>
      </w:pPr>
      <w:r>
        <w:rPr>
          <w:rFonts w:hint="eastAsia"/>
        </w:rPr>
        <w:drawing>
          <wp:inline distT="0" distB="0" distL="0" distR="0">
            <wp:extent cx="5360670" cy="2806700"/>
            <wp:effectExtent l="19050" t="0" r="11238" b="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093F735">
      <w:pPr>
        <w:spacing w:line="600" w:lineRule="exact"/>
        <w:rPr>
          <w:rFonts w:ascii="仿宋" w:hAnsi="仿宋" w:eastAsia="仿宋"/>
          <w:sz w:val="32"/>
          <w:szCs w:val="32"/>
        </w:rPr>
      </w:pPr>
      <w:r>
        <w:rPr>
          <w:rFonts w:hint="eastAsia" w:ascii="仿宋" w:hAnsi="仿宋" w:eastAsia="仿宋"/>
          <w:sz w:val="32"/>
          <w:szCs w:val="32"/>
        </w:rPr>
        <w:t xml:space="preserve">   （图5：一般公共预算财政拨款支出决算变动情况）</w:t>
      </w:r>
    </w:p>
    <w:p w14:paraId="51211169">
      <w:pPr>
        <w:spacing w:line="600" w:lineRule="exact"/>
        <w:ind w:firstLine="643"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14:paraId="3E63DD2A">
      <w:pPr>
        <w:spacing w:line="600" w:lineRule="exact"/>
        <w:ind w:firstLine="640"/>
        <w:rPr>
          <w:rFonts w:ascii="仿宋" w:hAnsi="仿宋" w:eastAsia="仿宋"/>
          <w:b/>
          <w:sz w:val="32"/>
          <w:szCs w:val="32"/>
        </w:rPr>
      </w:pPr>
      <w:r>
        <w:rPr>
          <w:rFonts w:hint="eastAsia" w:ascii="仿宋" w:hAnsi="仿宋" w:eastAsia="仿宋"/>
          <w:sz w:val="32"/>
          <w:szCs w:val="32"/>
        </w:rPr>
        <w:t>2023年度一般公共预算财政拨款支出</w:t>
      </w:r>
      <w:r>
        <w:rPr>
          <w:rFonts w:ascii="仿宋" w:hAnsi="仿宋" w:eastAsia="仿宋"/>
          <w:b/>
          <w:sz w:val="32"/>
          <w:szCs w:val="32"/>
        </w:rPr>
        <w:t>349.89</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b/>
          <w:sz w:val="32"/>
          <w:szCs w:val="32"/>
        </w:rPr>
        <w:t>77.44</w:t>
      </w:r>
      <w:r>
        <w:rPr>
          <w:rFonts w:hint="eastAsia" w:ascii="仿宋" w:hAnsi="仿宋" w:eastAsia="仿宋"/>
          <w:sz w:val="32"/>
          <w:szCs w:val="32"/>
        </w:rPr>
        <w:t>万元，占</w:t>
      </w:r>
      <w:r>
        <w:rPr>
          <w:rFonts w:hint="eastAsia" w:ascii="仿宋" w:hAnsi="仿宋" w:eastAsia="仿宋"/>
          <w:b/>
          <w:sz w:val="32"/>
          <w:szCs w:val="32"/>
        </w:rPr>
        <w:t>22.13</w:t>
      </w:r>
      <w:r>
        <w:rPr>
          <w:rFonts w:ascii="仿宋" w:hAnsi="仿宋" w:eastAsia="仿宋"/>
          <w:b/>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b/>
          <w:sz w:val="32"/>
          <w:szCs w:val="32"/>
        </w:rPr>
        <w:t>10.47</w:t>
      </w:r>
      <w:r>
        <w:rPr>
          <w:rFonts w:hint="eastAsia" w:ascii="仿宋" w:hAnsi="仿宋" w:eastAsia="仿宋"/>
          <w:sz w:val="32"/>
          <w:szCs w:val="32"/>
        </w:rPr>
        <w:t>万元，占</w:t>
      </w:r>
      <w:r>
        <w:rPr>
          <w:rFonts w:hint="eastAsia" w:ascii="仿宋" w:hAnsi="仿宋" w:eastAsia="仿宋"/>
          <w:b/>
          <w:sz w:val="32"/>
          <w:szCs w:val="32"/>
        </w:rPr>
        <w:t>2.99</w:t>
      </w:r>
      <w:r>
        <w:rPr>
          <w:rFonts w:ascii="仿宋" w:hAnsi="仿宋" w:eastAsia="仿宋"/>
          <w:b/>
          <w:sz w:val="32"/>
          <w:szCs w:val="32"/>
        </w:rPr>
        <w:t>%</w:t>
      </w:r>
      <w:r>
        <w:rPr>
          <w:rFonts w:hint="eastAsia" w:ascii="仿宋" w:hAnsi="仿宋" w:eastAsia="仿宋"/>
          <w:sz w:val="32"/>
          <w:szCs w:val="32"/>
        </w:rPr>
        <w:t>；</w:t>
      </w:r>
      <w:r>
        <w:rPr>
          <w:rFonts w:hint="eastAsia" w:ascii="仿宋" w:hAnsi="仿宋" w:eastAsia="仿宋"/>
          <w:b/>
          <w:sz w:val="32"/>
          <w:szCs w:val="32"/>
        </w:rPr>
        <w:t>农林水支出239.27</w:t>
      </w:r>
      <w:r>
        <w:rPr>
          <w:rFonts w:hint="eastAsia" w:ascii="仿宋" w:hAnsi="仿宋" w:eastAsia="仿宋"/>
          <w:sz w:val="32"/>
          <w:szCs w:val="32"/>
        </w:rPr>
        <w:t>万元，占</w:t>
      </w:r>
      <w:r>
        <w:rPr>
          <w:rFonts w:hint="eastAsia" w:ascii="仿宋" w:hAnsi="仿宋" w:eastAsia="仿宋"/>
          <w:b/>
          <w:sz w:val="32"/>
          <w:szCs w:val="32"/>
        </w:rPr>
        <w:t>68.38</w:t>
      </w:r>
      <w:r>
        <w:rPr>
          <w:rFonts w:ascii="仿宋" w:hAnsi="仿宋" w:eastAsia="仿宋"/>
          <w:b/>
          <w:sz w:val="32"/>
          <w:szCs w:val="32"/>
        </w:rPr>
        <w:t>%</w:t>
      </w:r>
      <w:r>
        <w:rPr>
          <w:rFonts w:hint="eastAsia" w:ascii="仿宋" w:hAnsi="仿宋" w:eastAsia="仿宋"/>
          <w:sz w:val="32"/>
          <w:szCs w:val="32"/>
        </w:rPr>
        <w:t>；</w:t>
      </w:r>
      <w:r>
        <w:rPr>
          <w:rFonts w:hint="eastAsia" w:ascii="仿宋" w:hAnsi="仿宋" w:eastAsia="仿宋"/>
          <w:b/>
          <w:sz w:val="32"/>
          <w:szCs w:val="32"/>
        </w:rPr>
        <w:t>农林水支出22.71</w:t>
      </w:r>
      <w:r>
        <w:rPr>
          <w:rFonts w:hint="eastAsia" w:ascii="仿宋" w:hAnsi="仿宋" w:eastAsia="仿宋"/>
          <w:sz w:val="32"/>
          <w:szCs w:val="32"/>
        </w:rPr>
        <w:t>万元，占</w:t>
      </w:r>
      <w:r>
        <w:rPr>
          <w:rFonts w:hint="eastAsia" w:ascii="仿宋" w:hAnsi="仿宋" w:eastAsia="仿宋"/>
          <w:b/>
          <w:sz w:val="32"/>
          <w:szCs w:val="32"/>
        </w:rPr>
        <w:t>6.5</w:t>
      </w:r>
      <w:r>
        <w:rPr>
          <w:rFonts w:ascii="仿宋" w:hAnsi="仿宋" w:eastAsia="仿宋"/>
          <w:b/>
          <w:sz w:val="32"/>
          <w:szCs w:val="32"/>
        </w:rPr>
        <w:t>%</w:t>
      </w:r>
      <w:r>
        <w:rPr>
          <w:rFonts w:hint="eastAsia" w:ascii="仿宋" w:hAnsi="仿宋" w:eastAsia="仿宋"/>
          <w:sz w:val="32"/>
          <w:szCs w:val="32"/>
        </w:rPr>
        <w:t>。</w:t>
      </w:r>
    </w:p>
    <w:p w14:paraId="23DF99BE">
      <w:pPr>
        <w:pStyle w:val="2"/>
      </w:pPr>
      <w:r>
        <w:drawing>
          <wp:inline distT="0" distB="0" distL="0" distR="0">
            <wp:extent cx="5360670" cy="2700655"/>
            <wp:effectExtent l="19050" t="0" r="11238" b="4430"/>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F48B894">
      <w:pPr>
        <w:spacing w:line="600" w:lineRule="exact"/>
        <w:ind w:firstLine="640" w:firstLineChars="200"/>
        <w:rPr>
          <w:rFonts w:ascii="仿宋" w:hAnsi="仿宋" w:eastAsia="仿宋"/>
          <w:sz w:val="32"/>
          <w:szCs w:val="32"/>
        </w:rPr>
      </w:pPr>
      <w:r>
        <w:rPr>
          <w:rFonts w:hint="eastAsia" w:ascii="仿宋" w:hAnsi="仿宋" w:eastAsia="仿宋"/>
          <w:sz w:val="32"/>
          <w:szCs w:val="32"/>
        </w:rPr>
        <w:t xml:space="preserve">   （图6：一般公共预算财政拨款支出决算结构）</w:t>
      </w:r>
    </w:p>
    <w:p w14:paraId="7C11209E">
      <w:pPr>
        <w:spacing w:line="600" w:lineRule="exact"/>
        <w:ind w:firstLine="643" w:firstLineChars="200"/>
        <w:outlineLvl w:val="2"/>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14:paraId="69E5AB42">
      <w:pPr>
        <w:spacing w:line="600" w:lineRule="exact"/>
        <w:ind w:firstLine="643" w:firstLineChars="200"/>
        <w:outlineLvl w:val="2"/>
        <w:rPr>
          <w:rFonts w:ascii="仿宋" w:hAnsi="仿宋" w:eastAsia="仿宋"/>
          <w:sz w:val="32"/>
          <w:szCs w:val="32"/>
        </w:rPr>
      </w:pPr>
      <w:bookmarkStart w:id="31" w:name="_Toc15378460"/>
      <w:bookmarkStart w:id="32" w:name="_Toc15377444"/>
      <w:bookmarkStart w:id="33" w:name="_Toc15377213"/>
      <w:r>
        <w:rPr>
          <w:rFonts w:hint="eastAsia" w:ascii="仿宋" w:hAnsi="仿宋" w:eastAsia="仿宋"/>
          <w:b/>
          <w:sz w:val="32"/>
          <w:szCs w:val="32"/>
        </w:rPr>
        <w:t>2023年度一般公共预算支出决算数为</w:t>
      </w:r>
      <w:r>
        <w:rPr>
          <w:rFonts w:ascii="仿宋" w:hAnsi="仿宋" w:eastAsia="仿宋"/>
          <w:b/>
          <w:sz w:val="32"/>
          <w:szCs w:val="32"/>
        </w:rPr>
        <w:t>349.89</w:t>
      </w:r>
      <w:r>
        <w:rPr>
          <w:rFonts w:hint="eastAsia" w:ascii="仿宋" w:hAnsi="仿宋" w:eastAsia="仿宋"/>
          <w:sz w:val="32"/>
          <w:szCs w:val="32"/>
        </w:rPr>
        <w:t>，</w:t>
      </w:r>
      <w:r>
        <w:rPr>
          <w:rStyle w:val="18"/>
          <w:rFonts w:hint="eastAsia" w:ascii="仿宋" w:hAnsi="仿宋" w:eastAsia="仿宋"/>
          <w:bCs/>
          <w:sz w:val="32"/>
          <w:szCs w:val="32"/>
        </w:rPr>
        <w:t>完成预算100</w:t>
      </w:r>
      <w:r>
        <w:rPr>
          <w:rStyle w:val="18"/>
          <w:rFonts w:ascii="仿宋" w:hAnsi="仿宋" w:eastAsia="仿宋"/>
          <w:bCs/>
          <w:sz w:val="32"/>
          <w:szCs w:val="32"/>
        </w:rPr>
        <w:t>%</w:t>
      </w:r>
      <w:r>
        <w:rPr>
          <w:rStyle w:val="18"/>
          <w:rFonts w:hint="eastAsia" w:ascii="仿宋" w:hAnsi="仿宋" w:eastAsia="仿宋"/>
          <w:bCs/>
          <w:sz w:val="32"/>
          <w:szCs w:val="32"/>
        </w:rPr>
        <w:t>。其中：</w:t>
      </w:r>
      <w:bookmarkEnd w:id="31"/>
      <w:bookmarkEnd w:id="32"/>
      <w:bookmarkEnd w:id="33"/>
    </w:p>
    <w:p w14:paraId="43D02922">
      <w:pPr>
        <w:spacing w:line="600" w:lineRule="exact"/>
        <w:ind w:firstLine="643" w:firstLineChars="200"/>
        <w:rPr>
          <w:rFonts w:ascii="仿宋" w:hAnsi="仿宋" w:eastAsia="仿宋"/>
          <w:b/>
          <w:sz w:val="32"/>
          <w:szCs w:val="32"/>
        </w:rPr>
      </w:pPr>
      <w:r>
        <w:rPr>
          <w:rStyle w:val="18"/>
          <w:rFonts w:ascii="仿宋" w:hAnsi="仿宋" w:eastAsia="仿宋"/>
          <w:bCs/>
          <w:sz w:val="32"/>
          <w:szCs w:val="32"/>
        </w:rPr>
        <w:t>1.</w:t>
      </w:r>
      <w:r>
        <w:rPr>
          <w:rStyle w:val="18"/>
          <w:rFonts w:hint="eastAsia" w:ascii="仿宋" w:hAnsi="仿宋" w:eastAsia="仿宋"/>
          <w:bCs/>
          <w:sz w:val="32"/>
          <w:szCs w:val="32"/>
        </w:rPr>
        <w:t>社会保障和就业（208）</w:t>
      </w:r>
      <w:r>
        <w:rPr>
          <w:rStyle w:val="18"/>
          <w:rFonts w:hint="eastAsia" w:ascii="仿宋" w:hAnsi="仿宋" w:eastAsia="仿宋" w:cstheme="minorBidi"/>
          <w:bCs/>
          <w:sz w:val="32"/>
          <w:szCs w:val="32"/>
        </w:rPr>
        <w:t>行政事业单位养老支出（05）事业单位离退休</w:t>
      </w:r>
      <w:r>
        <w:rPr>
          <w:rStyle w:val="18"/>
          <w:rFonts w:hint="eastAsia" w:ascii="仿宋" w:hAnsi="仿宋" w:eastAsia="仿宋"/>
          <w:bCs/>
          <w:sz w:val="32"/>
          <w:szCs w:val="32"/>
        </w:rPr>
        <w:t>（02）</w:t>
      </w:r>
      <w:r>
        <w:rPr>
          <w:rStyle w:val="18"/>
          <w:rFonts w:ascii="仿宋" w:hAnsi="仿宋" w:eastAsia="仿宋"/>
          <w:bCs/>
          <w:sz w:val="32"/>
          <w:szCs w:val="32"/>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w:t>
      </w:r>
      <w:r>
        <w:rPr>
          <w:rStyle w:val="18"/>
          <w:rFonts w:hint="eastAsia" w:ascii="仿宋" w:hAnsi="仿宋" w:eastAsia="仿宋"/>
          <w:bCs/>
          <w:sz w:val="32"/>
          <w:szCs w:val="32"/>
        </w:rPr>
        <w:t>1.37</w:t>
      </w:r>
      <w:r>
        <w:rPr>
          <w:rStyle w:val="18"/>
          <w:rFonts w:hint="eastAsia" w:ascii="仿宋" w:hAnsi="仿宋" w:eastAsia="仿宋"/>
          <w:b w:val="0"/>
          <w:bCs/>
          <w:sz w:val="32"/>
          <w:szCs w:val="32"/>
        </w:rPr>
        <w:t>万元，完成预算</w:t>
      </w:r>
      <w:r>
        <w:rPr>
          <w:rStyle w:val="18"/>
          <w:rFonts w:hint="eastAsia" w:ascii="仿宋" w:hAnsi="仿宋" w:eastAsia="仿宋"/>
          <w:bCs/>
          <w:sz w:val="32"/>
          <w:szCs w:val="32"/>
        </w:rPr>
        <w:t>100</w:t>
      </w:r>
      <w:r>
        <w:rPr>
          <w:rStyle w:val="18"/>
          <w:rFonts w:ascii="仿宋" w:hAnsi="仿宋" w:eastAsia="仿宋"/>
          <w:bCs/>
          <w:sz w:val="32"/>
          <w:szCs w:val="32"/>
        </w:rPr>
        <w:t>%</w:t>
      </w:r>
      <w:r>
        <w:rPr>
          <w:rStyle w:val="18"/>
          <w:rFonts w:hint="eastAsia" w:ascii="仿宋" w:hAnsi="仿宋" w:eastAsia="仿宋"/>
          <w:b w:val="0"/>
          <w:bCs/>
          <w:sz w:val="32"/>
          <w:szCs w:val="32"/>
        </w:rPr>
        <w:t>，决算数等于预算数。</w:t>
      </w:r>
    </w:p>
    <w:p w14:paraId="1BE2C865">
      <w:pPr>
        <w:spacing w:line="600" w:lineRule="exact"/>
        <w:ind w:firstLine="643" w:firstLineChars="200"/>
        <w:rPr>
          <w:rFonts w:ascii="仿宋" w:hAnsi="仿宋" w:eastAsia="仿宋"/>
          <w:b/>
          <w:sz w:val="32"/>
          <w:szCs w:val="32"/>
        </w:rPr>
      </w:pPr>
      <w:r>
        <w:rPr>
          <w:rStyle w:val="18"/>
          <w:rFonts w:ascii="仿宋" w:hAnsi="仿宋" w:eastAsia="仿宋"/>
          <w:bCs/>
          <w:sz w:val="32"/>
          <w:szCs w:val="32"/>
        </w:rPr>
        <w:t>2.</w:t>
      </w:r>
      <w:r>
        <w:rPr>
          <w:rStyle w:val="18"/>
          <w:rFonts w:hint="eastAsia" w:ascii="仿宋" w:hAnsi="仿宋" w:eastAsia="仿宋"/>
          <w:bCs/>
          <w:sz w:val="32"/>
          <w:szCs w:val="32"/>
        </w:rPr>
        <w:t>社会保障和就业（208）</w:t>
      </w:r>
      <w:r>
        <w:rPr>
          <w:rStyle w:val="18"/>
          <w:rFonts w:hint="eastAsia" w:ascii="仿宋" w:hAnsi="仿宋" w:eastAsia="仿宋" w:cstheme="minorBidi"/>
          <w:bCs/>
          <w:sz w:val="32"/>
          <w:szCs w:val="32"/>
        </w:rPr>
        <w:t>行政事业单位养老支出（05）机关事业单位基本养老保险缴费支出</w:t>
      </w:r>
      <w:r>
        <w:rPr>
          <w:rStyle w:val="18"/>
          <w:rFonts w:hint="eastAsia" w:ascii="仿宋" w:hAnsi="仿宋" w:eastAsia="仿宋"/>
          <w:bCs/>
          <w:sz w:val="32"/>
          <w:szCs w:val="32"/>
        </w:rPr>
        <w:t>（05）</w:t>
      </w:r>
      <w:r>
        <w:rPr>
          <w:rStyle w:val="18"/>
          <w:rFonts w:ascii="仿宋" w:hAnsi="仿宋" w:eastAsia="仿宋"/>
          <w:bCs/>
          <w:sz w:val="32"/>
          <w:szCs w:val="32"/>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w:t>
      </w:r>
      <w:r>
        <w:rPr>
          <w:rStyle w:val="18"/>
          <w:rFonts w:hint="eastAsia" w:ascii="仿宋" w:hAnsi="仿宋" w:eastAsia="仿宋"/>
          <w:bCs/>
          <w:sz w:val="32"/>
          <w:szCs w:val="32"/>
        </w:rPr>
        <w:t>27.22</w:t>
      </w:r>
      <w:r>
        <w:rPr>
          <w:rStyle w:val="18"/>
          <w:rFonts w:hint="eastAsia" w:ascii="仿宋" w:hAnsi="仿宋" w:eastAsia="仿宋"/>
          <w:b w:val="0"/>
          <w:bCs/>
          <w:sz w:val="32"/>
          <w:szCs w:val="32"/>
        </w:rPr>
        <w:t>万元，完成预算</w:t>
      </w:r>
      <w:r>
        <w:rPr>
          <w:rStyle w:val="18"/>
          <w:rFonts w:hint="eastAsia" w:ascii="仿宋" w:hAnsi="仿宋" w:eastAsia="仿宋"/>
          <w:bCs/>
          <w:sz w:val="32"/>
          <w:szCs w:val="32"/>
        </w:rPr>
        <w:t>100</w:t>
      </w:r>
      <w:r>
        <w:rPr>
          <w:rStyle w:val="18"/>
          <w:rFonts w:ascii="仿宋" w:hAnsi="仿宋" w:eastAsia="仿宋"/>
          <w:bCs/>
          <w:sz w:val="32"/>
          <w:szCs w:val="32"/>
        </w:rPr>
        <w:t>%</w:t>
      </w:r>
      <w:r>
        <w:rPr>
          <w:rStyle w:val="18"/>
          <w:rFonts w:hint="eastAsia" w:ascii="仿宋" w:hAnsi="仿宋" w:eastAsia="仿宋"/>
          <w:bCs/>
          <w:sz w:val="32"/>
          <w:szCs w:val="32"/>
        </w:rPr>
        <w:t>，</w:t>
      </w:r>
      <w:r>
        <w:rPr>
          <w:rStyle w:val="18"/>
          <w:rFonts w:hint="eastAsia" w:ascii="仿宋" w:hAnsi="仿宋" w:eastAsia="仿宋"/>
          <w:b w:val="0"/>
          <w:bCs/>
          <w:sz w:val="32"/>
          <w:szCs w:val="32"/>
        </w:rPr>
        <w:t>决算数等于预算数。</w:t>
      </w:r>
    </w:p>
    <w:p w14:paraId="79E4A6BF">
      <w:pPr>
        <w:spacing w:line="600" w:lineRule="exact"/>
        <w:ind w:firstLine="643" w:firstLineChars="200"/>
        <w:rPr>
          <w:rFonts w:ascii="仿宋" w:hAnsi="仿宋" w:eastAsia="仿宋"/>
          <w:b/>
          <w:sz w:val="32"/>
          <w:szCs w:val="32"/>
        </w:rPr>
      </w:pPr>
      <w:r>
        <w:rPr>
          <w:rStyle w:val="18"/>
          <w:rFonts w:ascii="仿宋" w:hAnsi="仿宋" w:eastAsia="仿宋"/>
          <w:bCs/>
          <w:sz w:val="32"/>
          <w:szCs w:val="32"/>
        </w:rPr>
        <w:t>3.</w:t>
      </w:r>
      <w:r>
        <w:rPr>
          <w:rStyle w:val="18"/>
          <w:rFonts w:hint="eastAsia" w:ascii="仿宋" w:hAnsi="仿宋" w:eastAsia="仿宋"/>
          <w:bCs/>
          <w:sz w:val="32"/>
          <w:szCs w:val="32"/>
        </w:rPr>
        <w:t>社会保障和就业（208）</w:t>
      </w:r>
      <w:r>
        <w:rPr>
          <w:rStyle w:val="18"/>
          <w:rFonts w:hint="eastAsia" w:ascii="仿宋" w:hAnsi="仿宋" w:eastAsia="仿宋" w:cstheme="minorBidi"/>
          <w:bCs/>
          <w:sz w:val="32"/>
          <w:szCs w:val="32"/>
        </w:rPr>
        <w:t>行政事业单位养老支出</w:t>
      </w:r>
      <w:r>
        <w:rPr>
          <w:rStyle w:val="18"/>
          <w:rFonts w:hint="eastAsia" w:ascii="仿宋" w:hAnsi="仿宋" w:eastAsia="仿宋"/>
          <w:bCs/>
          <w:sz w:val="32"/>
          <w:szCs w:val="32"/>
        </w:rPr>
        <w:t>（05）机关事业单位职业年金缴费支出（06）</w:t>
      </w:r>
      <w:r>
        <w:rPr>
          <w:rStyle w:val="18"/>
          <w:rFonts w:ascii="仿宋" w:hAnsi="仿宋" w:eastAsia="仿宋"/>
          <w:bCs/>
          <w:sz w:val="32"/>
          <w:szCs w:val="32"/>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w:t>
      </w:r>
      <w:r>
        <w:rPr>
          <w:rStyle w:val="18"/>
          <w:rFonts w:hint="eastAsia" w:ascii="仿宋" w:hAnsi="仿宋" w:eastAsia="仿宋"/>
          <w:bCs/>
          <w:sz w:val="32"/>
          <w:szCs w:val="32"/>
        </w:rPr>
        <w:t>4.15</w:t>
      </w:r>
      <w:r>
        <w:rPr>
          <w:rStyle w:val="18"/>
          <w:rFonts w:hint="eastAsia" w:ascii="仿宋" w:hAnsi="仿宋" w:eastAsia="仿宋"/>
          <w:b w:val="0"/>
          <w:bCs/>
          <w:sz w:val="32"/>
          <w:szCs w:val="32"/>
        </w:rPr>
        <w:t>万元，完成预算</w:t>
      </w:r>
      <w:r>
        <w:rPr>
          <w:rStyle w:val="18"/>
          <w:rFonts w:hint="eastAsia" w:ascii="仿宋" w:hAnsi="仿宋" w:eastAsia="仿宋"/>
          <w:bCs/>
          <w:sz w:val="32"/>
          <w:szCs w:val="32"/>
        </w:rPr>
        <w:t>100</w:t>
      </w:r>
      <w:r>
        <w:rPr>
          <w:rStyle w:val="18"/>
          <w:rFonts w:ascii="仿宋" w:hAnsi="仿宋" w:eastAsia="仿宋"/>
          <w:bCs/>
          <w:sz w:val="32"/>
          <w:szCs w:val="32"/>
        </w:rPr>
        <w:t>%</w:t>
      </w:r>
      <w:r>
        <w:rPr>
          <w:rStyle w:val="18"/>
          <w:rFonts w:hint="eastAsia" w:ascii="仿宋" w:hAnsi="仿宋" w:eastAsia="仿宋"/>
          <w:b w:val="0"/>
          <w:bCs/>
          <w:sz w:val="32"/>
          <w:szCs w:val="32"/>
        </w:rPr>
        <w:t>，决算数等于预算数。</w:t>
      </w:r>
    </w:p>
    <w:p w14:paraId="68B8D668">
      <w:pPr>
        <w:spacing w:line="600" w:lineRule="exact"/>
        <w:ind w:firstLine="643" w:firstLineChars="200"/>
        <w:rPr>
          <w:rFonts w:ascii="仿宋" w:hAnsi="仿宋" w:eastAsia="仿宋"/>
          <w:b/>
          <w:sz w:val="32"/>
          <w:szCs w:val="32"/>
        </w:rPr>
      </w:pPr>
      <w:r>
        <w:rPr>
          <w:rStyle w:val="18"/>
          <w:rFonts w:ascii="仿宋" w:hAnsi="仿宋" w:eastAsia="仿宋"/>
          <w:bCs/>
          <w:sz w:val="32"/>
          <w:szCs w:val="32"/>
        </w:rPr>
        <w:t>4.</w:t>
      </w:r>
      <w:r>
        <w:rPr>
          <w:rStyle w:val="18"/>
          <w:rFonts w:hint="eastAsia" w:ascii="仿宋" w:hAnsi="仿宋" w:eastAsia="仿宋"/>
          <w:bCs/>
          <w:sz w:val="32"/>
          <w:szCs w:val="32"/>
        </w:rPr>
        <w:t>社会保障和就业（208）</w:t>
      </w:r>
      <w:r>
        <w:rPr>
          <w:rStyle w:val="18"/>
          <w:rFonts w:hint="eastAsia" w:ascii="仿宋" w:hAnsi="仿宋" w:eastAsia="仿宋" w:cstheme="minorBidi"/>
          <w:bCs/>
          <w:sz w:val="32"/>
          <w:szCs w:val="32"/>
        </w:rPr>
        <w:t>行政事业单位养老支出</w:t>
      </w:r>
      <w:r>
        <w:rPr>
          <w:rStyle w:val="18"/>
          <w:rFonts w:hint="eastAsia" w:ascii="仿宋" w:hAnsi="仿宋" w:eastAsia="仿宋"/>
          <w:bCs/>
          <w:sz w:val="32"/>
          <w:szCs w:val="32"/>
        </w:rPr>
        <w:t>（05）</w:t>
      </w:r>
      <w:r>
        <w:rPr>
          <w:rStyle w:val="18"/>
          <w:rFonts w:hint="eastAsia" w:ascii="仿宋" w:hAnsi="仿宋" w:eastAsia="仿宋" w:cstheme="minorBidi"/>
          <w:bCs/>
          <w:sz w:val="32"/>
          <w:szCs w:val="32"/>
        </w:rPr>
        <w:t>其他行政事业单位养老支出</w:t>
      </w:r>
      <w:r>
        <w:rPr>
          <w:rStyle w:val="18"/>
          <w:rFonts w:hint="eastAsia" w:ascii="仿宋" w:hAnsi="仿宋" w:eastAsia="仿宋"/>
          <w:bCs/>
          <w:sz w:val="32"/>
          <w:szCs w:val="32"/>
        </w:rPr>
        <w:t>（99）</w:t>
      </w:r>
      <w:r>
        <w:rPr>
          <w:rStyle w:val="18"/>
          <w:rFonts w:ascii="仿宋" w:hAnsi="仿宋" w:eastAsia="仿宋"/>
          <w:bCs/>
          <w:sz w:val="32"/>
          <w:szCs w:val="32"/>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w:t>
      </w:r>
      <w:r>
        <w:rPr>
          <w:rStyle w:val="18"/>
          <w:rFonts w:hint="eastAsia" w:ascii="仿宋" w:hAnsi="仿宋" w:eastAsia="仿宋"/>
          <w:bCs/>
          <w:sz w:val="32"/>
          <w:szCs w:val="32"/>
        </w:rPr>
        <w:t>40.57</w:t>
      </w:r>
      <w:r>
        <w:rPr>
          <w:rStyle w:val="18"/>
          <w:rFonts w:hint="eastAsia" w:ascii="仿宋" w:hAnsi="仿宋" w:eastAsia="仿宋"/>
          <w:b w:val="0"/>
          <w:bCs/>
          <w:sz w:val="32"/>
          <w:szCs w:val="32"/>
        </w:rPr>
        <w:t>万元，完成预算</w:t>
      </w:r>
      <w:r>
        <w:rPr>
          <w:rStyle w:val="18"/>
          <w:rFonts w:hint="eastAsia" w:ascii="仿宋" w:hAnsi="仿宋" w:eastAsia="仿宋"/>
          <w:bCs/>
          <w:sz w:val="32"/>
          <w:szCs w:val="32"/>
        </w:rPr>
        <w:t>100</w:t>
      </w:r>
      <w:r>
        <w:rPr>
          <w:rStyle w:val="18"/>
          <w:rFonts w:ascii="仿宋" w:hAnsi="仿宋" w:eastAsia="仿宋"/>
          <w:bCs/>
          <w:sz w:val="32"/>
          <w:szCs w:val="32"/>
        </w:rPr>
        <w:t>%</w:t>
      </w:r>
      <w:r>
        <w:rPr>
          <w:rStyle w:val="18"/>
          <w:rFonts w:hint="eastAsia" w:ascii="仿宋" w:hAnsi="仿宋" w:eastAsia="仿宋"/>
          <w:b w:val="0"/>
          <w:bCs/>
          <w:sz w:val="32"/>
          <w:szCs w:val="32"/>
        </w:rPr>
        <w:t>，决算数等于预算数。</w:t>
      </w:r>
    </w:p>
    <w:p w14:paraId="11337341">
      <w:pPr>
        <w:spacing w:line="600" w:lineRule="exact"/>
        <w:ind w:firstLine="643" w:firstLineChars="200"/>
        <w:rPr>
          <w:rFonts w:ascii="仿宋" w:hAnsi="仿宋" w:eastAsia="仿宋"/>
          <w:b/>
          <w:sz w:val="32"/>
          <w:szCs w:val="32"/>
        </w:rPr>
      </w:pPr>
      <w:r>
        <w:rPr>
          <w:rStyle w:val="18"/>
          <w:rFonts w:ascii="仿宋" w:hAnsi="仿宋" w:eastAsia="仿宋"/>
          <w:bCs/>
          <w:sz w:val="32"/>
          <w:szCs w:val="32"/>
        </w:rPr>
        <w:t>5.</w:t>
      </w:r>
      <w:r>
        <w:rPr>
          <w:rStyle w:val="18"/>
          <w:rFonts w:hint="eastAsia" w:ascii="仿宋" w:hAnsi="仿宋" w:eastAsia="仿宋"/>
          <w:bCs/>
          <w:sz w:val="32"/>
          <w:szCs w:val="32"/>
        </w:rPr>
        <w:t>社会保障和就业（208）</w:t>
      </w:r>
      <w:r>
        <w:rPr>
          <w:rStyle w:val="18"/>
          <w:rFonts w:hint="eastAsia" w:ascii="仿宋" w:hAnsi="仿宋" w:eastAsia="仿宋" w:cstheme="minorBidi"/>
          <w:bCs/>
          <w:sz w:val="32"/>
          <w:szCs w:val="32"/>
        </w:rPr>
        <w:t>抚恤</w:t>
      </w:r>
      <w:r>
        <w:rPr>
          <w:rStyle w:val="18"/>
          <w:rFonts w:hint="eastAsia" w:ascii="仿宋" w:hAnsi="仿宋" w:eastAsia="仿宋"/>
          <w:bCs/>
          <w:sz w:val="32"/>
          <w:szCs w:val="32"/>
        </w:rPr>
        <w:t>（08）死亡抚恤（01）</w:t>
      </w:r>
      <w:r>
        <w:rPr>
          <w:rStyle w:val="18"/>
          <w:rFonts w:ascii="仿宋" w:hAnsi="仿宋" w:eastAsia="仿宋"/>
          <w:bCs/>
          <w:sz w:val="32"/>
          <w:szCs w:val="32"/>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w:t>
      </w:r>
      <w:r>
        <w:rPr>
          <w:rStyle w:val="18"/>
          <w:rFonts w:hint="eastAsia" w:ascii="仿宋" w:hAnsi="仿宋" w:eastAsia="仿宋"/>
          <w:bCs/>
          <w:sz w:val="32"/>
          <w:szCs w:val="32"/>
        </w:rPr>
        <w:t>1.04</w:t>
      </w:r>
      <w:r>
        <w:rPr>
          <w:rStyle w:val="18"/>
          <w:rFonts w:hint="eastAsia" w:ascii="仿宋" w:hAnsi="仿宋" w:eastAsia="仿宋"/>
          <w:b w:val="0"/>
          <w:bCs/>
          <w:sz w:val="32"/>
          <w:szCs w:val="32"/>
        </w:rPr>
        <w:t>万元，完成预算</w:t>
      </w:r>
      <w:r>
        <w:rPr>
          <w:rStyle w:val="18"/>
          <w:rFonts w:hint="eastAsia" w:ascii="仿宋" w:hAnsi="仿宋" w:eastAsia="仿宋"/>
          <w:bCs/>
          <w:sz w:val="32"/>
          <w:szCs w:val="32"/>
        </w:rPr>
        <w:t>100</w:t>
      </w:r>
      <w:r>
        <w:rPr>
          <w:rStyle w:val="18"/>
          <w:rFonts w:ascii="仿宋" w:hAnsi="仿宋" w:eastAsia="仿宋"/>
          <w:bCs/>
          <w:sz w:val="32"/>
          <w:szCs w:val="32"/>
        </w:rPr>
        <w:t>%</w:t>
      </w:r>
      <w:r>
        <w:rPr>
          <w:rStyle w:val="18"/>
          <w:rFonts w:hint="eastAsia" w:ascii="仿宋" w:hAnsi="仿宋" w:eastAsia="仿宋"/>
          <w:b w:val="0"/>
          <w:bCs/>
          <w:sz w:val="32"/>
          <w:szCs w:val="32"/>
        </w:rPr>
        <w:t>，决算数等于预算数。</w:t>
      </w:r>
    </w:p>
    <w:p w14:paraId="6F11AE7C">
      <w:pPr>
        <w:spacing w:line="600" w:lineRule="exact"/>
        <w:ind w:firstLine="643" w:firstLineChars="200"/>
        <w:rPr>
          <w:rFonts w:ascii="仿宋" w:hAnsi="仿宋" w:eastAsia="仿宋"/>
          <w:b/>
          <w:sz w:val="32"/>
          <w:szCs w:val="32"/>
        </w:rPr>
      </w:pPr>
      <w:r>
        <w:rPr>
          <w:rStyle w:val="18"/>
          <w:rFonts w:ascii="仿宋" w:hAnsi="仿宋" w:eastAsia="仿宋"/>
          <w:bCs/>
          <w:sz w:val="32"/>
          <w:szCs w:val="32"/>
        </w:rPr>
        <w:t>6.</w:t>
      </w:r>
      <w:r>
        <w:rPr>
          <w:rStyle w:val="18"/>
          <w:rFonts w:hint="eastAsia" w:ascii="仿宋" w:hAnsi="仿宋" w:eastAsia="仿宋"/>
          <w:bCs/>
          <w:sz w:val="32"/>
          <w:szCs w:val="32"/>
        </w:rPr>
        <w:t>社会保障和就业（208）抚恤（08）伤残抚恤（02）</w:t>
      </w:r>
      <w:r>
        <w:rPr>
          <w:rStyle w:val="18"/>
          <w:rFonts w:ascii="仿宋" w:hAnsi="仿宋" w:eastAsia="仿宋"/>
          <w:bCs/>
          <w:sz w:val="32"/>
          <w:szCs w:val="32"/>
        </w:rPr>
        <w:t>:</w:t>
      </w:r>
      <w:r>
        <w:rPr>
          <w:rStyle w:val="18"/>
          <w:rFonts w:hint="eastAsia" w:ascii="仿宋" w:hAnsi="仿宋" w:eastAsia="仿宋"/>
          <w:b w:val="0"/>
          <w:bCs/>
          <w:sz w:val="32"/>
          <w:szCs w:val="32"/>
        </w:rPr>
        <w:t>支出决算为</w:t>
      </w:r>
      <w:r>
        <w:rPr>
          <w:rStyle w:val="18"/>
          <w:rFonts w:hint="eastAsia" w:ascii="仿宋" w:hAnsi="仿宋" w:eastAsia="仿宋"/>
          <w:bCs/>
          <w:sz w:val="32"/>
          <w:szCs w:val="32"/>
        </w:rPr>
        <w:t>1.99</w:t>
      </w:r>
      <w:r>
        <w:rPr>
          <w:rStyle w:val="18"/>
          <w:rFonts w:hint="eastAsia" w:ascii="仿宋" w:hAnsi="仿宋" w:eastAsia="仿宋"/>
          <w:b w:val="0"/>
          <w:bCs/>
          <w:sz w:val="32"/>
          <w:szCs w:val="32"/>
        </w:rPr>
        <w:t>万元，完成预算</w:t>
      </w:r>
      <w:r>
        <w:rPr>
          <w:rStyle w:val="18"/>
          <w:rFonts w:hint="eastAsia" w:ascii="仿宋" w:hAnsi="仿宋" w:eastAsia="仿宋"/>
          <w:bCs/>
          <w:sz w:val="32"/>
          <w:szCs w:val="32"/>
        </w:rPr>
        <w:t>100</w:t>
      </w:r>
      <w:r>
        <w:rPr>
          <w:rStyle w:val="18"/>
          <w:rFonts w:ascii="仿宋" w:hAnsi="仿宋" w:eastAsia="仿宋"/>
          <w:bCs/>
          <w:sz w:val="32"/>
          <w:szCs w:val="32"/>
        </w:rPr>
        <w:t>%</w:t>
      </w:r>
      <w:r>
        <w:rPr>
          <w:rStyle w:val="18"/>
          <w:rFonts w:hint="eastAsia" w:ascii="仿宋" w:hAnsi="仿宋" w:eastAsia="仿宋"/>
          <w:b w:val="0"/>
          <w:bCs/>
          <w:sz w:val="32"/>
          <w:szCs w:val="32"/>
        </w:rPr>
        <w:t>，决算数等于预算数。</w:t>
      </w:r>
    </w:p>
    <w:p w14:paraId="742B9B37">
      <w:pPr>
        <w:spacing w:line="600" w:lineRule="exact"/>
        <w:ind w:firstLine="643" w:firstLineChars="200"/>
        <w:rPr>
          <w:rFonts w:ascii="仿宋" w:hAnsi="仿宋" w:eastAsia="仿宋"/>
          <w:b/>
          <w:sz w:val="32"/>
          <w:szCs w:val="32"/>
        </w:rPr>
      </w:pPr>
      <w:r>
        <w:rPr>
          <w:rStyle w:val="18"/>
          <w:rFonts w:hint="eastAsia" w:ascii="仿宋" w:hAnsi="仿宋" w:eastAsia="仿宋"/>
          <w:bCs/>
          <w:sz w:val="32"/>
          <w:szCs w:val="32"/>
        </w:rPr>
        <w:t>7</w:t>
      </w:r>
      <w:r>
        <w:rPr>
          <w:rStyle w:val="18"/>
          <w:rFonts w:ascii="仿宋" w:hAnsi="仿宋" w:eastAsia="仿宋"/>
          <w:bCs/>
          <w:sz w:val="32"/>
          <w:szCs w:val="32"/>
        </w:rPr>
        <w:t>.</w:t>
      </w:r>
      <w:r>
        <w:rPr>
          <w:rStyle w:val="18"/>
          <w:rFonts w:hint="eastAsia" w:ascii="仿宋" w:hAnsi="仿宋" w:eastAsia="仿宋"/>
          <w:bCs/>
          <w:sz w:val="32"/>
          <w:szCs w:val="32"/>
        </w:rPr>
        <w:t>社会保障和就业（208）其他社会保障和就业支出（99）其他社会保障和就业支出（99）</w:t>
      </w:r>
      <w:r>
        <w:rPr>
          <w:rStyle w:val="18"/>
          <w:rFonts w:ascii="仿宋" w:hAnsi="仿宋" w:eastAsia="仿宋"/>
          <w:bCs/>
          <w:sz w:val="32"/>
          <w:szCs w:val="32"/>
        </w:rPr>
        <w:t>:</w:t>
      </w:r>
      <w:r>
        <w:rPr>
          <w:rStyle w:val="18"/>
          <w:rFonts w:hint="eastAsia" w:ascii="仿宋" w:hAnsi="仿宋" w:eastAsia="仿宋"/>
          <w:b w:val="0"/>
          <w:bCs/>
          <w:sz w:val="32"/>
          <w:szCs w:val="32"/>
        </w:rPr>
        <w:t>支出决算为</w:t>
      </w:r>
      <w:r>
        <w:rPr>
          <w:rStyle w:val="18"/>
          <w:rFonts w:hint="eastAsia" w:ascii="仿宋" w:hAnsi="仿宋" w:eastAsia="仿宋"/>
          <w:bCs/>
          <w:sz w:val="32"/>
          <w:szCs w:val="32"/>
        </w:rPr>
        <w:t>1.10</w:t>
      </w:r>
      <w:r>
        <w:rPr>
          <w:rStyle w:val="18"/>
          <w:rFonts w:hint="eastAsia" w:ascii="仿宋" w:hAnsi="仿宋" w:eastAsia="仿宋"/>
          <w:b w:val="0"/>
          <w:bCs/>
          <w:sz w:val="32"/>
          <w:szCs w:val="32"/>
        </w:rPr>
        <w:t>万元，完成预算</w:t>
      </w:r>
      <w:r>
        <w:rPr>
          <w:rStyle w:val="18"/>
          <w:rFonts w:hint="eastAsia" w:ascii="仿宋" w:hAnsi="仿宋" w:eastAsia="仿宋"/>
          <w:bCs/>
          <w:sz w:val="32"/>
          <w:szCs w:val="32"/>
        </w:rPr>
        <w:t>100</w:t>
      </w:r>
      <w:r>
        <w:rPr>
          <w:rStyle w:val="18"/>
          <w:rFonts w:ascii="仿宋" w:hAnsi="仿宋" w:eastAsia="仿宋"/>
          <w:bCs/>
          <w:sz w:val="32"/>
          <w:szCs w:val="32"/>
        </w:rPr>
        <w:t>%</w:t>
      </w:r>
      <w:r>
        <w:rPr>
          <w:rStyle w:val="18"/>
          <w:rFonts w:hint="eastAsia" w:ascii="仿宋" w:hAnsi="仿宋" w:eastAsia="仿宋"/>
          <w:b w:val="0"/>
          <w:bCs/>
          <w:sz w:val="32"/>
          <w:szCs w:val="32"/>
        </w:rPr>
        <w:t>，决算数等于预算数。</w:t>
      </w:r>
    </w:p>
    <w:p w14:paraId="27D95A65">
      <w:pPr>
        <w:spacing w:line="600" w:lineRule="exact"/>
        <w:ind w:firstLine="643" w:firstLineChars="200"/>
        <w:rPr>
          <w:rFonts w:ascii="仿宋" w:hAnsi="仿宋" w:eastAsia="仿宋"/>
          <w:b/>
          <w:sz w:val="32"/>
          <w:szCs w:val="32"/>
        </w:rPr>
      </w:pPr>
      <w:r>
        <w:rPr>
          <w:rStyle w:val="18"/>
          <w:rFonts w:hint="eastAsia" w:ascii="仿宋" w:hAnsi="仿宋" w:eastAsia="仿宋"/>
          <w:bCs/>
          <w:sz w:val="32"/>
          <w:szCs w:val="32"/>
        </w:rPr>
        <w:t>8</w:t>
      </w:r>
      <w:r>
        <w:rPr>
          <w:rStyle w:val="18"/>
          <w:rFonts w:ascii="仿宋" w:hAnsi="仿宋" w:eastAsia="仿宋"/>
          <w:bCs/>
          <w:sz w:val="32"/>
          <w:szCs w:val="32"/>
        </w:rPr>
        <w:t>.</w:t>
      </w:r>
      <w:r>
        <w:rPr>
          <w:rFonts w:hint="eastAsia" w:ascii="仿宋" w:hAnsi="仿宋" w:eastAsia="仿宋"/>
          <w:b/>
          <w:bCs/>
          <w:sz w:val="32"/>
          <w:szCs w:val="32"/>
        </w:rPr>
        <w:t>卫生健康</w:t>
      </w:r>
      <w:r>
        <w:rPr>
          <w:rStyle w:val="18"/>
          <w:rFonts w:hint="eastAsia" w:ascii="仿宋" w:hAnsi="仿宋" w:eastAsia="仿宋"/>
          <w:bCs/>
          <w:sz w:val="32"/>
          <w:szCs w:val="32"/>
        </w:rPr>
        <w:t>（210）</w:t>
      </w:r>
      <w:r>
        <w:rPr>
          <w:rFonts w:hint="eastAsia" w:ascii="仿宋" w:hAnsi="仿宋" w:eastAsia="仿宋"/>
          <w:b/>
          <w:bCs/>
          <w:sz w:val="32"/>
          <w:szCs w:val="32"/>
        </w:rPr>
        <w:t>行政事业单位医疗（11）事业单位医疗</w:t>
      </w:r>
      <w:r>
        <w:rPr>
          <w:rStyle w:val="18"/>
          <w:rFonts w:hint="eastAsia" w:ascii="仿宋" w:hAnsi="仿宋" w:eastAsia="仿宋"/>
          <w:bCs/>
          <w:sz w:val="32"/>
          <w:szCs w:val="32"/>
        </w:rPr>
        <w:t>（02）</w:t>
      </w:r>
      <w:r>
        <w:rPr>
          <w:rStyle w:val="18"/>
          <w:rFonts w:ascii="仿宋" w:hAnsi="仿宋" w:eastAsia="仿宋"/>
          <w:bCs/>
          <w:sz w:val="32"/>
          <w:szCs w:val="32"/>
        </w:rPr>
        <w:t>:</w:t>
      </w:r>
      <w:r>
        <w:rPr>
          <w:rStyle w:val="18"/>
          <w:rFonts w:hint="eastAsia" w:ascii="仿宋" w:hAnsi="仿宋" w:eastAsia="仿宋"/>
          <w:b w:val="0"/>
          <w:bCs/>
          <w:sz w:val="32"/>
          <w:szCs w:val="32"/>
        </w:rPr>
        <w:t>支出决算为</w:t>
      </w:r>
      <w:r>
        <w:rPr>
          <w:rStyle w:val="18"/>
          <w:rFonts w:hint="eastAsia" w:ascii="仿宋" w:hAnsi="仿宋" w:eastAsia="仿宋"/>
          <w:bCs/>
          <w:sz w:val="32"/>
          <w:szCs w:val="32"/>
        </w:rPr>
        <w:t>10.47</w:t>
      </w:r>
      <w:r>
        <w:rPr>
          <w:rStyle w:val="18"/>
          <w:rFonts w:hint="eastAsia" w:ascii="仿宋" w:hAnsi="仿宋" w:eastAsia="仿宋"/>
          <w:b w:val="0"/>
          <w:bCs/>
          <w:sz w:val="32"/>
          <w:szCs w:val="32"/>
        </w:rPr>
        <w:t>万元，完成预算</w:t>
      </w:r>
      <w:r>
        <w:rPr>
          <w:rStyle w:val="18"/>
          <w:rFonts w:hint="eastAsia" w:ascii="仿宋" w:hAnsi="仿宋" w:eastAsia="仿宋"/>
          <w:bCs/>
          <w:sz w:val="32"/>
          <w:szCs w:val="32"/>
        </w:rPr>
        <w:t>100</w:t>
      </w:r>
      <w:r>
        <w:rPr>
          <w:rStyle w:val="18"/>
          <w:rFonts w:ascii="仿宋" w:hAnsi="仿宋" w:eastAsia="仿宋"/>
          <w:bCs/>
          <w:sz w:val="32"/>
          <w:szCs w:val="32"/>
        </w:rPr>
        <w:t>%</w:t>
      </w:r>
      <w:r>
        <w:rPr>
          <w:rStyle w:val="18"/>
          <w:rFonts w:hint="eastAsia" w:ascii="仿宋" w:hAnsi="仿宋" w:eastAsia="仿宋"/>
          <w:b w:val="0"/>
          <w:bCs/>
          <w:sz w:val="32"/>
          <w:szCs w:val="32"/>
        </w:rPr>
        <w:t>，决算数等于预算数。</w:t>
      </w:r>
    </w:p>
    <w:p w14:paraId="2CAE14DE">
      <w:pPr>
        <w:spacing w:line="600" w:lineRule="exact"/>
        <w:ind w:firstLine="643" w:firstLineChars="200"/>
        <w:rPr>
          <w:rFonts w:ascii="仿宋" w:hAnsi="仿宋" w:eastAsia="仿宋"/>
          <w:b/>
          <w:sz w:val="32"/>
          <w:szCs w:val="32"/>
        </w:rPr>
      </w:pPr>
      <w:r>
        <w:rPr>
          <w:rStyle w:val="18"/>
          <w:rFonts w:hint="eastAsia" w:ascii="仿宋" w:hAnsi="仿宋" w:eastAsia="仿宋"/>
          <w:bCs/>
          <w:sz w:val="32"/>
          <w:szCs w:val="32"/>
        </w:rPr>
        <w:t>9</w:t>
      </w:r>
      <w:r>
        <w:rPr>
          <w:rStyle w:val="18"/>
          <w:rFonts w:ascii="仿宋" w:hAnsi="仿宋" w:eastAsia="仿宋"/>
          <w:bCs/>
          <w:sz w:val="32"/>
          <w:szCs w:val="32"/>
        </w:rPr>
        <w:t>.</w:t>
      </w:r>
      <w:r>
        <w:rPr>
          <w:rFonts w:hint="eastAsia" w:ascii="仿宋" w:hAnsi="仿宋" w:eastAsia="仿宋"/>
          <w:b/>
          <w:bCs/>
          <w:sz w:val="32"/>
          <w:szCs w:val="32"/>
        </w:rPr>
        <w:t>农林水支出</w:t>
      </w:r>
      <w:r>
        <w:rPr>
          <w:rStyle w:val="18"/>
          <w:rFonts w:hint="eastAsia" w:ascii="仿宋" w:hAnsi="仿宋" w:eastAsia="仿宋"/>
          <w:bCs/>
          <w:sz w:val="32"/>
          <w:szCs w:val="32"/>
        </w:rPr>
        <w:t>（213）农业农村（01）事业运行（04）</w:t>
      </w:r>
      <w:r>
        <w:rPr>
          <w:rStyle w:val="18"/>
          <w:rFonts w:ascii="仿宋" w:hAnsi="仿宋" w:eastAsia="仿宋"/>
          <w:bCs/>
          <w:sz w:val="32"/>
          <w:szCs w:val="32"/>
        </w:rPr>
        <w:t>:</w:t>
      </w:r>
      <w:r>
        <w:rPr>
          <w:rStyle w:val="18"/>
          <w:rFonts w:hint="eastAsia" w:ascii="仿宋" w:hAnsi="仿宋" w:eastAsia="仿宋"/>
          <w:b w:val="0"/>
          <w:bCs/>
          <w:sz w:val="32"/>
          <w:szCs w:val="32"/>
        </w:rPr>
        <w:t>支出决算为</w:t>
      </w:r>
      <w:r>
        <w:rPr>
          <w:rStyle w:val="18"/>
          <w:rFonts w:hint="eastAsia" w:ascii="仿宋" w:hAnsi="仿宋" w:eastAsia="仿宋"/>
          <w:bCs/>
          <w:sz w:val="32"/>
          <w:szCs w:val="32"/>
        </w:rPr>
        <w:t>11.82</w:t>
      </w:r>
      <w:r>
        <w:rPr>
          <w:rStyle w:val="18"/>
          <w:rFonts w:hint="eastAsia" w:ascii="仿宋" w:hAnsi="仿宋" w:eastAsia="仿宋"/>
          <w:b w:val="0"/>
          <w:bCs/>
          <w:sz w:val="32"/>
          <w:szCs w:val="32"/>
        </w:rPr>
        <w:t>万元，完成预算</w:t>
      </w:r>
      <w:r>
        <w:rPr>
          <w:rStyle w:val="18"/>
          <w:rFonts w:hint="eastAsia" w:ascii="仿宋" w:hAnsi="仿宋" w:eastAsia="仿宋"/>
          <w:bCs/>
          <w:sz w:val="32"/>
          <w:szCs w:val="32"/>
        </w:rPr>
        <w:t>100</w:t>
      </w:r>
      <w:r>
        <w:rPr>
          <w:rStyle w:val="18"/>
          <w:rFonts w:ascii="仿宋" w:hAnsi="仿宋" w:eastAsia="仿宋"/>
          <w:bCs/>
          <w:sz w:val="32"/>
          <w:szCs w:val="32"/>
        </w:rPr>
        <w:t>%</w:t>
      </w:r>
      <w:r>
        <w:rPr>
          <w:rStyle w:val="18"/>
          <w:rFonts w:hint="eastAsia" w:ascii="仿宋" w:hAnsi="仿宋" w:eastAsia="仿宋"/>
          <w:b w:val="0"/>
          <w:bCs/>
          <w:sz w:val="32"/>
          <w:szCs w:val="32"/>
        </w:rPr>
        <w:t>，决算数等于预算数。</w:t>
      </w:r>
    </w:p>
    <w:p w14:paraId="33EE4363">
      <w:pPr>
        <w:spacing w:line="600" w:lineRule="exact"/>
        <w:ind w:firstLine="643" w:firstLineChars="200"/>
        <w:rPr>
          <w:rFonts w:ascii="仿宋" w:hAnsi="仿宋" w:eastAsia="仿宋"/>
          <w:b/>
          <w:sz w:val="32"/>
          <w:szCs w:val="32"/>
        </w:rPr>
      </w:pPr>
      <w:r>
        <w:rPr>
          <w:rStyle w:val="18"/>
          <w:rFonts w:hint="eastAsia" w:ascii="仿宋" w:hAnsi="仿宋" w:eastAsia="仿宋"/>
          <w:bCs/>
          <w:sz w:val="32"/>
          <w:szCs w:val="32"/>
        </w:rPr>
        <w:t>10</w:t>
      </w:r>
      <w:r>
        <w:rPr>
          <w:rStyle w:val="18"/>
          <w:rFonts w:ascii="仿宋" w:hAnsi="仿宋" w:eastAsia="仿宋"/>
          <w:bCs/>
          <w:sz w:val="32"/>
          <w:szCs w:val="32"/>
        </w:rPr>
        <w:t>.</w:t>
      </w:r>
      <w:r>
        <w:rPr>
          <w:rFonts w:hint="eastAsia" w:ascii="仿宋" w:hAnsi="仿宋" w:eastAsia="仿宋"/>
          <w:b/>
          <w:bCs/>
          <w:sz w:val="32"/>
          <w:szCs w:val="32"/>
        </w:rPr>
        <w:t>农林水支出</w:t>
      </w:r>
      <w:r>
        <w:rPr>
          <w:rStyle w:val="18"/>
          <w:rFonts w:hint="eastAsia" w:ascii="仿宋" w:hAnsi="仿宋" w:eastAsia="仿宋"/>
          <w:bCs/>
          <w:sz w:val="32"/>
          <w:szCs w:val="32"/>
        </w:rPr>
        <w:t>（213）林业和草原（02）事业机构（04）</w:t>
      </w:r>
      <w:r>
        <w:rPr>
          <w:rStyle w:val="18"/>
          <w:rFonts w:ascii="仿宋" w:hAnsi="仿宋" w:eastAsia="仿宋"/>
          <w:bCs/>
          <w:sz w:val="32"/>
          <w:szCs w:val="32"/>
        </w:rPr>
        <w:t>:</w:t>
      </w:r>
      <w:r>
        <w:rPr>
          <w:rStyle w:val="18"/>
          <w:rFonts w:hint="eastAsia" w:ascii="仿宋" w:hAnsi="仿宋" w:eastAsia="仿宋"/>
          <w:b w:val="0"/>
          <w:bCs/>
          <w:sz w:val="32"/>
          <w:szCs w:val="32"/>
        </w:rPr>
        <w:t>支出决算为</w:t>
      </w:r>
      <w:r>
        <w:rPr>
          <w:rStyle w:val="18"/>
          <w:rFonts w:hint="eastAsia" w:ascii="仿宋" w:hAnsi="仿宋" w:eastAsia="仿宋"/>
          <w:bCs/>
          <w:sz w:val="32"/>
          <w:szCs w:val="32"/>
        </w:rPr>
        <w:t>239.27</w:t>
      </w:r>
      <w:r>
        <w:rPr>
          <w:rStyle w:val="18"/>
          <w:rFonts w:hint="eastAsia" w:ascii="仿宋" w:hAnsi="仿宋" w:eastAsia="仿宋"/>
          <w:b w:val="0"/>
          <w:bCs/>
          <w:sz w:val="32"/>
          <w:szCs w:val="32"/>
        </w:rPr>
        <w:t>万元，完成预算</w:t>
      </w:r>
      <w:r>
        <w:rPr>
          <w:rStyle w:val="18"/>
          <w:rFonts w:hint="eastAsia" w:ascii="仿宋" w:hAnsi="仿宋" w:eastAsia="仿宋"/>
          <w:bCs/>
          <w:sz w:val="32"/>
          <w:szCs w:val="32"/>
        </w:rPr>
        <w:t>100</w:t>
      </w:r>
      <w:r>
        <w:rPr>
          <w:rStyle w:val="18"/>
          <w:rFonts w:ascii="仿宋" w:hAnsi="仿宋" w:eastAsia="仿宋"/>
          <w:bCs/>
          <w:sz w:val="32"/>
          <w:szCs w:val="32"/>
        </w:rPr>
        <w:t>%</w:t>
      </w:r>
      <w:r>
        <w:rPr>
          <w:rStyle w:val="18"/>
          <w:rFonts w:hint="eastAsia" w:ascii="仿宋" w:hAnsi="仿宋" w:eastAsia="仿宋"/>
          <w:b w:val="0"/>
          <w:bCs/>
          <w:sz w:val="32"/>
          <w:szCs w:val="32"/>
        </w:rPr>
        <w:t>，决算数等于预算数。</w:t>
      </w:r>
    </w:p>
    <w:p w14:paraId="54EE8783">
      <w:pPr>
        <w:spacing w:line="600" w:lineRule="exact"/>
        <w:ind w:firstLine="643" w:firstLineChars="200"/>
        <w:rPr>
          <w:rFonts w:ascii="仿宋" w:hAnsi="仿宋" w:eastAsia="仿宋"/>
          <w:bCs/>
          <w:sz w:val="32"/>
          <w:szCs w:val="32"/>
        </w:rPr>
      </w:pPr>
      <w:r>
        <w:rPr>
          <w:rStyle w:val="18"/>
          <w:rFonts w:hint="eastAsia" w:ascii="仿宋" w:hAnsi="仿宋" w:eastAsia="仿宋"/>
          <w:bCs/>
          <w:sz w:val="32"/>
          <w:szCs w:val="32"/>
        </w:rPr>
        <w:t>11</w:t>
      </w:r>
      <w:r>
        <w:rPr>
          <w:rStyle w:val="18"/>
          <w:rFonts w:ascii="仿宋" w:hAnsi="仿宋" w:eastAsia="仿宋"/>
          <w:bCs/>
          <w:sz w:val="32"/>
          <w:szCs w:val="32"/>
        </w:rPr>
        <w:t>.</w:t>
      </w:r>
      <w:r>
        <w:rPr>
          <w:rFonts w:hint="eastAsia" w:ascii="仿宋" w:hAnsi="仿宋" w:eastAsia="仿宋"/>
          <w:b/>
          <w:bCs/>
          <w:sz w:val="32"/>
          <w:szCs w:val="32"/>
        </w:rPr>
        <w:t>住房保障支出</w:t>
      </w:r>
      <w:r>
        <w:rPr>
          <w:rStyle w:val="18"/>
          <w:rFonts w:hint="eastAsia" w:ascii="仿宋" w:hAnsi="仿宋" w:eastAsia="仿宋"/>
          <w:bCs/>
          <w:sz w:val="32"/>
          <w:szCs w:val="32"/>
        </w:rPr>
        <w:t>（221）住房改</w:t>
      </w:r>
      <w:r>
        <w:rPr>
          <w:rStyle w:val="18"/>
          <w:rFonts w:hint="eastAsia" w:ascii="仿宋" w:hAnsi="仿宋" w:eastAsia="仿宋" w:cstheme="minorBidi"/>
          <w:bCs/>
          <w:sz w:val="32"/>
          <w:szCs w:val="32"/>
        </w:rPr>
        <w:t>革（</w:t>
      </w:r>
      <w:r>
        <w:rPr>
          <w:rStyle w:val="18"/>
          <w:rFonts w:hint="eastAsia" w:ascii="仿宋" w:hAnsi="仿宋" w:eastAsia="仿宋"/>
          <w:bCs/>
          <w:sz w:val="32"/>
          <w:szCs w:val="32"/>
        </w:rPr>
        <w:t>02）住房公积金（01）</w:t>
      </w:r>
      <w:r>
        <w:rPr>
          <w:rStyle w:val="18"/>
          <w:rFonts w:ascii="仿宋" w:hAnsi="仿宋" w:eastAsia="仿宋"/>
          <w:bCs/>
          <w:sz w:val="32"/>
          <w:szCs w:val="32"/>
        </w:rPr>
        <w:t>:</w:t>
      </w:r>
      <w:r>
        <w:rPr>
          <w:rStyle w:val="18"/>
          <w:rFonts w:hint="eastAsia" w:ascii="仿宋" w:hAnsi="仿宋" w:eastAsia="仿宋"/>
          <w:b w:val="0"/>
          <w:bCs/>
          <w:sz w:val="32"/>
          <w:szCs w:val="32"/>
        </w:rPr>
        <w:t>支出决算为</w:t>
      </w:r>
      <w:r>
        <w:rPr>
          <w:rStyle w:val="18"/>
          <w:rFonts w:hint="eastAsia" w:ascii="仿宋" w:hAnsi="仿宋" w:eastAsia="仿宋"/>
          <w:bCs/>
          <w:sz w:val="32"/>
          <w:szCs w:val="32"/>
        </w:rPr>
        <w:t>22.71</w:t>
      </w:r>
      <w:r>
        <w:rPr>
          <w:rStyle w:val="18"/>
          <w:rFonts w:hint="eastAsia" w:ascii="仿宋" w:hAnsi="仿宋" w:eastAsia="仿宋"/>
          <w:b w:val="0"/>
          <w:bCs/>
          <w:sz w:val="32"/>
          <w:szCs w:val="32"/>
        </w:rPr>
        <w:t>万元，完成预算</w:t>
      </w:r>
      <w:r>
        <w:rPr>
          <w:rStyle w:val="18"/>
          <w:rFonts w:hint="eastAsia" w:ascii="仿宋" w:hAnsi="仿宋" w:eastAsia="仿宋"/>
          <w:bCs/>
          <w:sz w:val="32"/>
          <w:szCs w:val="32"/>
        </w:rPr>
        <w:t>100</w:t>
      </w:r>
      <w:r>
        <w:rPr>
          <w:rStyle w:val="18"/>
          <w:rFonts w:ascii="仿宋" w:hAnsi="仿宋" w:eastAsia="仿宋"/>
          <w:bCs/>
          <w:sz w:val="32"/>
          <w:szCs w:val="32"/>
        </w:rPr>
        <w:t>%</w:t>
      </w:r>
      <w:r>
        <w:rPr>
          <w:rStyle w:val="18"/>
          <w:rFonts w:hint="eastAsia" w:ascii="仿宋" w:hAnsi="仿宋" w:eastAsia="仿宋"/>
          <w:b w:val="0"/>
          <w:bCs/>
          <w:sz w:val="32"/>
          <w:szCs w:val="32"/>
        </w:rPr>
        <w:t>，决算数等于预算数。</w:t>
      </w:r>
    </w:p>
    <w:p w14:paraId="36D72F9C">
      <w:pPr>
        <w:tabs>
          <w:tab w:val="right" w:pos="8306"/>
        </w:tabs>
        <w:spacing w:line="600" w:lineRule="exact"/>
        <w:ind w:firstLine="640"/>
        <w:outlineLvl w:val="1"/>
        <w:rPr>
          <w:rStyle w:val="29"/>
        </w:rPr>
      </w:pPr>
      <w:bookmarkStart w:id="34" w:name="_Toc15377214"/>
      <w:bookmarkStart w:id="35"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9"/>
          <w:rFonts w:hint="eastAsia" w:ascii="黑体" w:hAnsi="黑体" w:eastAsia="黑体"/>
          <w:b w:val="0"/>
        </w:rPr>
        <w:t>般公共预算财政拨款基本支出决算情况说明</w:t>
      </w:r>
      <w:bookmarkEnd w:id="34"/>
      <w:bookmarkEnd w:id="35"/>
      <w:r>
        <w:rPr>
          <w:rStyle w:val="29"/>
          <w:rFonts w:ascii="黑体" w:hAnsi="黑体" w:eastAsia="黑体"/>
          <w:b w:val="0"/>
        </w:rPr>
        <w:tab/>
      </w:r>
    </w:p>
    <w:p w14:paraId="2D2183F6">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rFonts w:ascii="仿宋" w:hAnsi="仿宋" w:eastAsia="仿宋"/>
          <w:b/>
          <w:sz w:val="32"/>
          <w:szCs w:val="32"/>
        </w:rPr>
        <w:t>349.89</w:t>
      </w:r>
      <w:r>
        <w:rPr>
          <w:rFonts w:hint="eastAsia" w:ascii="仿宋" w:hAnsi="仿宋" w:eastAsia="仿宋"/>
          <w:sz w:val="32"/>
          <w:szCs w:val="32"/>
        </w:rPr>
        <w:t>万元，其中：</w:t>
      </w:r>
    </w:p>
    <w:p w14:paraId="3068F210">
      <w:pPr>
        <w:spacing w:line="600" w:lineRule="exact"/>
        <w:ind w:firstLine="645"/>
        <w:rPr>
          <w:rFonts w:ascii="仿宋" w:hAnsi="仿宋" w:eastAsia="仿宋"/>
          <w:sz w:val="32"/>
          <w:szCs w:val="32"/>
        </w:rPr>
      </w:pPr>
      <w:r>
        <w:rPr>
          <w:rFonts w:hint="eastAsia" w:ascii="仿宋" w:hAnsi="仿宋" w:eastAsia="仿宋"/>
          <w:sz w:val="32"/>
          <w:szCs w:val="32"/>
        </w:rPr>
        <w:t>人员经费</w:t>
      </w:r>
      <w:r>
        <w:rPr>
          <w:rFonts w:ascii="仿宋" w:hAnsi="仿宋" w:eastAsia="仿宋"/>
          <w:b/>
          <w:sz w:val="32"/>
          <w:szCs w:val="32"/>
        </w:rPr>
        <w:t>314.6</w:t>
      </w:r>
      <w:r>
        <w:rPr>
          <w:rFonts w:hint="eastAsia" w:ascii="仿宋" w:hAnsi="仿宋" w:eastAsia="仿宋"/>
          <w:sz w:val="32"/>
          <w:szCs w:val="32"/>
        </w:rPr>
        <w:t>万元，主要包括：基本工资83.50万元、津贴补贴</w:t>
      </w:r>
      <w:r>
        <w:rPr>
          <w:rFonts w:hint="eastAsia" w:ascii="仿宋" w:hAnsi="仿宋" w:eastAsia="仿宋"/>
          <w:b/>
          <w:sz w:val="32"/>
          <w:szCs w:val="32"/>
        </w:rPr>
        <w:t>1.67</w:t>
      </w:r>
      <w:r>
        <w:rPr>
          <w:rFonts w:hint="eastAsia" w:ascii="仿宋" w:hAnsi="仿宋" w:eastAsia="仿宋"/>
          <w:sz w:val="32"/>
          <w:szCs w:val="32"/>
        </w:rPr>
        <w:t>万元、绩效工资</w:t>
      </w:r>
      <w:r>
        <w:rPr>
          <w:rFonts w:hint="eastAsia" w:ascii="仿宋" w:hAnsi="仿宋" w:eastAsia="仿宋"/>
          <w:b/>
          <w:sz w:val="32"/>
          <w:szCs w:val="32"/>
        </w:rPr>
        <w:t>44.57</w:t>
      </w:r>
      <w:r>
        <w:rPr>
          <w:rFonts w:hint="eastAsia" w:ascii="仿宋" w:hAnsi="仿宋" w:eastAsia="仿宋"/>
          <w:sz w:val="32"/>
          <w:szCs w:val="32"/>
        </w:rPr>
        <w:t>万元、机关事业单位基本养老保险缴费</w:t>
      </w:r>
      <w:r>
        <w:rPr>
          <w:rFonts w:hint="eastAsia" w:ascii="仿宋" w:hAnsi="仿宋" w:eastAsia="仿宋"/>
          <w:b/>
          <w:sz w:val="32"/>
          <w:szCs w:val="32"/>
        </w:rPr>
        <w:t>27.22</w:t>
      </w:r>
      <w:r>
        <w:rPr>
          <w:rFonts w:hint="eastAsia" w:ascii="仿宋" w:hAnsi="仿宋" w:eastAsia="仿宋"/>
          <w:sz w:val="32"/>
          <w:szCs w:val="32"/>
        </w:rPr>
        <w:t>万元、职业年金缴费</w:t>
      </w:r>
      <w:r>
        <w:rPr>
          <w:rFonts w:hint="eastAsia" w:ascii="仿宋" w:hAnsi="仿宋" w:eastAsia="仿宋"/>
          <w:b/>
          <w:sz w:val="32"/>
          <w:szCs w:val="32"/>
        </w:rPr>
        <w:t>4.15</w:t>
      </w:r>
      <w:r>
        <w:rPr>
          <w:rFonts w:hint="eastAsia" w:ascii="仿宋" w:hAnsi="仿宋" w:eastAsia="仿宋"/>
          <w:sz w:val="32"/>
          <w:szCs w:val="32"/>
        </w:rPr>
        <w:t>万元、其他社会保障缴费</w:t>
      </w:r>
      <w:r>
        <w:rPr>
          <w:rFonts w:hint="eastAsia" w:ascii="仿宋" w:hAnsi="仿宋" w:eastAsia="仿宋"/>
          <w:b/>
          <w:sz w:val="32"/>
          <w:szCs w:val="32"/>
        </w:rPr>
        <w:t>1.10</w:t>
      </w:r>
      <w:r>
        <w:rPr>
          <w:rFonts w:hint="eastAsia" w:ascii="仿宋" w:hAnsi="仿宋" w:eastAsia="仿宋"/>
          <w:sz w:val="32"/>
          <w:szCs w:val="32"/>
        </w:rPr>
        <w:t>万元、其他工资福利支出</w:t>
      </w:r>
      <w:r>
        <w:rPr>
          <w:rFonts w:hint="eastAsia" w:ascii="仿宋" w:hAnsi="仿宋" w:eastAsia="仿宋"/>
          <w:b/>
          <w:sz w:val="32"/>
          <w:szCs w:val="32"/>
        </w:rPr>
        <w:t>74.25</w:t>
      </w:r>
      <w:r>
        <w:rPr>
          <w:rFonts w:hint="eastAsia" w:ascii="仿宋" w:hAnsi="仿宋" w:eastAsia="仿宋"/>
          <w:sz w:val="32"/>
          <w:szCs w:val="32"/>
        </w:rPr>
        <w:t>万元、退休费</w:t>
      </w:r>
      <w:r>
        <w:rPr>
          <w:rFonts w:hint="eastAsia" w:ascii="仿宋" w:hAnsi="仿宋" w:eastAsia="仿宋"/>
          <w:b/>
          <w:sz w:val="32"/>
          <w:szCs w:val="32"/>
        </w:rPr>
        <w:t>1.37</w:t>
      </w:r>
      <w:r>
        <w:rPr>
          <w:rFonts w:hint="eastAsia" w:ascii="仿宋" w:hAnsi="仿宋" w:eastAsia="仿宋"/>
          <w:sz w:val="32"/>
          <w:szCs w:val="32"/>
        </w:rPr>
        <w:t>万元、抚恤金</w:t>
      </w:r>
      <w:r>
        <w:rPr>
          <w:rFonts w:hint="eastAsia" w:ascii="仿宋" w:hAnsi="仿宋" w:eastAsia="仿宋"/>
          <w:b/>
          <w:sz w:val="32"/>
          <w:szCs w:val="32"/>
        </w:rPr>
        <w:t>3.03</w:t>
      </w:r>
      <w:r>
        <w:rPr>
          <w:rFonts w:hint="eastAsia" w:ascii="仿宋" w:hAnsi="仿宋" w:eastAsia="仿宋"/>
          <w:sz w:val="32"/>
          <w:szCs w:val="32"/>
        </w:rPr>
        <w:t>万元、生活补助</w:t>
      </w:r>
      <w:r>
        <w:rPr>
          <w:rFonts w:hint="eastAsia" w:ascii="仿宋" w:hAnsi="仿宋" w:eastAsia="仿宋"/>
          <w:b/>
          <w:sz w:val="32"/>
          <w:szCs w:val="32"/>
        </w:rPr>
        <w:t>40.57</w:t>
      </w:r>
      <w:r>
        <w:rPr>
          <w:rFonts w:hint="eastAsia" w:ascii="仿宋" w:hAnsi="仿宋" w:eastAsia="仿宋"/>
          <w:sz w:val="32"/>
          <w:szCs w:val="32"/>
        </w:rPr>
        <w:t>万元、住房公积金</w:t>
      </w:r>
      <w:r>
        <w:rPr>
          <w:rFonts w:hint="eastAsia" w:ascii="仿宋" w:hAnsi="仿宋" w:eastAsia="仿宋"/>
          <w:b/>
          <w:sz w:val="32"/>
          <w:szCs w:val="32"/>
        </w:rPr>
        <w:t>22.71</w:t>
      </w:r>
      <w:r>
        <w:rPr>
          <w:rFonts w:hint="eastAsia" w:ascii="仿宋" w:hAnsi="仿宋" w:eastAsia="仿宋"/>
          <w:sz w:val="32"/>
          <w:szCs w:val="32"/>
        </w:rPr>
        <w:t>万元。</w:t>
      </w:r>
      <w:r>
        <w:rPr>
          <w:rFonts w:ascii="仿宋" w:hAnsi="仿宋" w:eastAsia="仿宋"/>
          <w:sz w:val="32"/>
          <w:szCs w:val="32"/>
        </w:rPr>
        <w:br w:type="textWrapping"/>
      </w:r>
      <w:r>
        <w:rPr>
          <w:rFonts w:hint="eastAsia" w:ascii="仿宋" w:hAnsi="仿宋" w:eastAsia="仿宋"/>
          <w:sz w:val="32"/>
          <w:szCs w:val="32"/>
        </w:rPr>
        <w:t>　　公用经费</w:t>
      </w:r>
      <w:r>
        <w:rPr>
          <w:rFonts w:ascii="仿宋" w:hAnsi="仿宋" w:eastAsia="仿宋"/>
          <w:b/>
          <w:sz w:val="32"/>
          <w:szCs w:val="32"/>
        </w:rPr>
        <w:t>35.29</w:t>
      </w:r>
      <w:r>
        <w:rPr>
          <w:rFonts w:hint="eastAsia" w:ascii="仿宋" w:hAnsi="仿宋" w:eastAsia="仿宋"/>
          <w:sz w:val="32"/>
          <w:szCs w:val="32"/>
        </w:rPr>
        <w:t>万元，主要包括：办公费</w:t>
      </w:r>
      <w:r>
        <w:rPr>
          <w:rFonts w:hint="eastAsia" w:ascii="仿宋" w:hAnsi="仿宋" w:eastAsia="仿宋"/>
          <w:b/>
          <w:sz w:val="32"/>
          <w:szCs w:val="32"/>
        </w:rPr>
        <w:t>2.00</w:t>
      </w:r>
      <w:r>
        <w:rPr>
          <w:rFonts w:hint="eastAsia" w:ascii="仿宋" w:hAnsi="仿宋" w:eastAsia="仿宋"/>
          <w:sz w:val="32"/>
          <w:szCs w:val="32"/>
        </w:rPr>
        <w:t>万元、水费</w:t>
      </w:r>
      <w:r>
        <w:rPr>
          <w:rFonts w:hint="eastAsia" w:ascii="仿宋" w:hAnsi="仿宋" w:eastAsia="仿宋"/>
          <w:b/>
          <w:sz w:val="32"/>
          <w:szCs w:val="32"/>
        </w:rPr>
        <w:t>0.20</w:t>
      </w:r>
      <w:r>
        <w:rPr>
          <w:rFonts w:hint="eastAsia" w:ascii="仿宋" w:hAnsi="仿宋" w:eastAsia="仿宋"/>
          <w:sz w:val="32"/>
          <w:szCs w:val="32"/>
        </w:rPr>
        <w:t>万元、电费</w:t>
      </w:r>
      <w:r>
        <w:rPr>
          <w:rFonts w:hint="eastAsia" w:ascii="仿宋" w:hAnsi="仿宋" w:eastAsia="仿宋"/>
          <w:b/>
          <w:sz w:val="32"/>
          <w:szCs w:val="32"/>
        </w:rPr>
        <w:t>0.50</w:t>
      </w:r>
      <w:r>
        <w:rPr>
          <w:rFonts w:hint="eastAsia" w:ascii="仿宋" w:hAnsi="仿宋" w:eastAsia="仿宋"/>
          <w:sz w:val="32"/>
          <w:szCs w:val="32"/>
        </w:rPr>
        <w:t>万元、邮电费</w:t>
      </w:r>
      <w:r>
        <w:rPr>
          <w:rFonts w:hint="eastAsia" w:ascii="仿宋" w:hAnsi="仿宋" w:eastAsia="仿宋"/>
          <w:b/>
          <w:sz w:val="32"/>
          <w:szCs w:val="32"/>
        </w:rPr>
        <w:t>0.50</w:t>
      </w:r>
      <w:r>
        <w:rPr>
          <w:rFonts w:hint="eastAsia" w:ascii="仿宋" w:hAnsi="仿宋" w:eastAsia="仿宋"/>
          <w:sz w:val="32"/>
          <w:szCs w:val="32"/>
        </w:rPr>
        <w:t>万元、差旅费</w:t>
      </w:r>
      <w:r>
        <w:rPr>
          <w:rFonts w:hint="eastAsia" w:ascii="仿宋" w:hAnsi="仿宋" w:eastAsia="仿宋"/>
          <w:b/>
          <w:sz w:val="32"/>
          <w:szCs w:val="32"/>
        </w:rPr>
        <w:t>11.80</w:t>
      </w:r>
      <w:r>
        <w:rPr>
          <w:rFonts w:hint="eastAsia" w:ascii="仿宋" w:hAnsi="仿宋" w:eastAsia="仿宋"/>
          <w:sz w:val="32"/>
          <w:szCs w:val="32"/>
        </w:rPr>
        <w:t>万元、维修（护）费</w:t>
      </w:r>
      <w:r>
        <w:rPr>
          <w:rFonts w:hint="eastAsia" w:ascii="仿宋" w:hAnsi="仿宋" w:eastAsia="仿宋"/>
          <w:b/>
          <w:sz w:val="32"/>
          <w:szCs w:val="32"/>
        </w:rPr>
        <w:t>0.90</w:t>
      </w:r>
      <w:r>
        <w:rPr>
          <w:rFonts w:hint="eastAsia" w:ascii="仿宋" w:hAnsi="仿宋" w:eastAsia="仿宋"/>
          <w:sz w:val="32"/>
          <w:szCs w:val="32"/>
        </w:rPr>
        <w:t>万元、培训费</w:t>
      </w:r>
      <w:r>
        <w:rPr>
          <w:rFonts w:hint="eastAsia" w:ascii="仿宋" w:hAnsi="仿宋" w:eastAsia="仿宋"/>
          <w:b/>
          <w:sz w:val="32"/>
          <w:szCs w:val="32"/>
        </w:rPr>
        <w:t>0.10</w:t>
      </w:r>
      <w:r>
        <w:rPr>
          <w:rFonts w:hint="eastAsia" w:ascii="仿宋" w:hAnsi="仿宋" w:eastAsia="仿宋"/>
          <w:sz w:val="32"/>
          <w:szCs w:val="32"/>
        </w:rPr>
        <w:t>万元、公务接待费</w:t>
      </w:r>
      <w:r>
        <w:rPr>
          <w:rFonts w:hint="eastAsia" w:ascii="仿宋" w:hAnsi="仿宋" w:eastAsia="仿宋"/>
          <w:b/>
          <w:sz w:val="32"/>
          <w:szCs w:val="32"/>
        </w:rPr>
        <w:t>0.20</w:t>
      </w:r>
      <w:r>
        <w:rPr>
          <w:rFonts w:hint="eastAsia" w:ascii="仿宋" w:hAnsi="仿宋" w:eastAsia="仿宋"/>
          <w:sz w:val="32"/>
          <w:szCs w:val="32"/>
        </w:rPr>
        <w:t>万元、工会经费</w:t>
      </w:r>
      <w:r>
        <w:rPr>
          <w:rFonts w:hint="eastAsia" w:ascii="仿宋" w:hAnsi="仿宋" w:eastAsia="仿宋"/>
          <w:b/>
          <w:sz w:val="32"/>
          <w:szCs w:val="32"/>
        </w:rPr>
        <w:t>3.98</w:t>
      </w:r>
      <w:r>
        <w:rPr>
          <w:rFonts w:hint="eastAsia" w:ascii="仿宋" w:hAnsi="仿宋" w:eastAsia="仿宋"/>
          <w:sz w:val="32"/>
          <w:szCs w:val="32"/>
        </w:rPr>
        <w:t>万元、福利费</w:t>
      </w:r>
      <w:r>
        <w:rPr>
          <w:rFonts w:hint="eastAsia" w:ascii="仿宋" w:hAnsi="仿宋" w:eastAsia="仿宋"/>
          <w:b/>
          <w:sz w:val="32"/>
          <w:szCs w:val="32"/>
        </w:rPr>
        <w:t>5.49</w:t>
      </w:r>
      <w:r>
        <w:rPr>
          <w:rFonts w:hint="eastAsia" w:ascii="仿宋" w:hAnsi="仿宋" w:eastAsia="仿宋"/>
          <w:sz w:val="32"/>
          <w:szCs w:val="32"/>
        </w:rPr>
        <w:t>万元、其他商品和服务支出</w:t>
      </w:r>
      <w:r>
        <w:rPr>
          <w:rFonts w:hint="eastAsia" w:ascii="仿宋" w:hAnsi="仿宋" w:eastAsia="仿宋"/>
          <w:b/>
          <w:sz w:val="32"/>
          <w:szCs w:val="32"/>
        </w:rPr>
        <w:t>9.62</w:t>
      </w:r>
      <w:r>
        <w:rPr>
          <w:rFonts w:hint="eastAsia" w:ascii="仿宋" w:hAnsi="仿宋" w:eastAsia="仿宋"/>
          <w:sz w:val="32"/>
          <w:szCs w:val="32"/>
        </w:rPr>
        <w:t>万元。</w:t>
      </w:r>
    </w:p>
    <w:p w14:paraId="0E6910BB">
      <w:pPr>
        <w:spacing w:line="600" w:lineRule="exact"/>
        <w:ind w:firstLine="640"/>
        <w:outlineLvl w:val="1"/>
        <w:rPr>
          <w:rStyle w:val="29"/>
          <w:rFonts w:ascii="黑体" w:hAnsi="黑体" w:eastAsia="黑体"/>
          <w:b w:val="0"/>
        </w:rPr>
      </w:pPr>
      <w:bookmarkStart w:id="36" w:name="_Toc15377215"/>
      <w:bookmarkStart w:id="37" w:name="_Toc15396609"/>
      <w:r>
        <w:rPr>
          <w:rFonts w:hint="eastAsia" w:ascii="黑体" w:eastAsia="黑体"/>
          <w:sz w:val="32"/>
          <w:szCs w:val="32"/>
        </w:rPr>
        <w:t>七、</w:t>
      </w:r>
      <w:r>
        <w:rPr>
          <w:rStyle w:val="29"/>
          <w:rFonts w:hint="eastAsia" w:ascii="黑体" w:hAnsi="黑体" w:eastAsia="黑体"/>
          <w:b w:val="0"/>
        </w:rPr>
        <w:t>财政拨款</w:t>
      </w:r>
      <w:r>
        <w:rPr>
          <w:rStyle w:val="29"/>
          <w:rFonts w:hint="eastAsia" w:ascii="黑体" w:hAnsi="黑体" w:eastAsia="黑体"/>
        </w:rPr>
        <w:t>“</w:t>
      </w:r>
      <w:r>
        <w:rPr>
          <w:rStyle w:val="29"/>
          <w:rFonts w:hint="eastAsia" w:ascii="黑体" w:hAnsi="黑体" w:eastAsia="黑体"/>
          <w:b w:val="0"/>
        </w:rPr>
        <w:t>三公”经费支出决算情况说明</w:t>
      </w:r>
      <w:bookmarkEnd w:id="36"/>
      <w:bookmarkEnd w:id="37"/>
    </w:p>
    <w:p w14:paraId="7B71C92C">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14:paraId="364B0E63">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2023年度“三公”经费财政拨款支出决算为</w:t>
      </w:r>
      <w:r>
        <w:rPr>
          <w:rFonts w:ascii="仿宋" w:hAnsi="仿宋" w:eastAsia="仿宋"/>
          <w:b/>
          <w:sz w:val="32"/>
          <w:szCs w:val="32"/>
        </w:rPr>
        <w:t>0.2</w:t>
      </w:r>
      <w:r>
        <w:rPr>
          <w:rFonts w:hint="eastAsia" w:ascii="仿宋" w:hAnsi="仿宋" w:eastAsia="仿宋"/>
          <w:sz w:val="32"/>
          <w:szCs w:val="32"/>
        </w:rPr>
        <w:t>万元，完成预算</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，较上年度增加/减少</w:t>
      </w:r>
      <w:r>
        <w:rPr>
          <w:rFonts w:hint="eastAsia" w:ascii="仿宋" w:hAnsi="仿宋" w:eastAsia="仿宋"/>
          <w:b/>
          <w:sz w:val="32"/>
          <w:szCs w:val="32"/>
        </w:rPr>
        <w:t>0</w:t>
      </w:r>
      <w:r>
        <w:rPr>
          <w:rFonts w:hint="eastAsia" w:ascii="仿宋" w:hAnsi="仿宋" w:eastAsia="仿宋"/>
          <w:sz w:val="32"/>
          <w:szCs w:val="32"/>
        </w:rPr>
        <w:t>万元，增长/下降</w:t>
      </w:r>
      <w:r>
        <w:rPr>
          <w:rFonts w:hint="eastAsia" w:ascii="仿宋" w:hAnsi="仿宋" w:eastAsia="仿宋"/>
          <w:b/>
          <w:sz w:val="32"/>
          <w:szCs w:val="32"/>
        </w:rPr>
        <w:t>0</w:t>
      </w:r>
      <w:r>
        <w:rPr>
          <w:rFonts w:hint="eastAsia" w:ascii="仿宋" w:hAnsi="仿宋" w:eastAsia="仿宋"/>
          <w:sz w:val="32"/>
          <w:szCs w:val="32"/>
        </w:rPr>
        <w:t>%。决算数等于预算数。</w:t>
      </w:r>
    </w:p>
    <w:p w14:paraId="05ADD330">
      <w:pPr>
        <w:spacing w:line="600" w:lineRule="exact"/>
        <w:ind w:firstLine="640"/>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14:paraId="57F694AD">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2023年度“三公”经费财政拨款支出决算中，因公出国（境）费支出决算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；公务接待费支出决算</w:t>
      </w:r>
      <w:r>
        <w:rPr>
          <w:rFonts w:ascii="仿宋" w:hAnsi="仿宋" w:eastAsia="仿宋"/>
          <w:b/>
          <w:sz w:val="32"/>
          <w:szCs w:val="32"/>
        </w:rPr>
        <w:t>0.2</w:t>
      </w:r>
      <w:r>
        <w:rPr>
          <w:rFonts w:hint="eastAsia" w:ascii="仿宋" w:hAnsi="仿宋" w:eastAsia="仿宋"/>
          <w:sz w:val="32"/>
          <w:szCs w:val="32"/>
        </w:rPr>
        <w:t>万元，占</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。具体情况如下：</w:t>
      </w:r>
    </w:p>
    <w:p w14:paraId="17908D23">
      <w:pPr>
        <w:pStyle w:val="2"/>
      </w:pPr>
      <w:r>
        <w:drawing>
          <wp:inline distT="0" distB="0" distL="0" distR="0">
            <wp:extent cx="4977765" cy="2710815"/>
            <wp:effectExtent l="19050" t="0" r="12847" b="0"/>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FF3F25D">
      <w:pPr>
        <w:spacing w:line="600" w:lineRule="exact"/>
        <w:ind w:firstLine="640"/>
        <w:rPr>
          <w:rFonts w:ascii="仿宋" w:hAnsi="仿宋" w:eastAsia="仿宋"/>
          <w:sz w:val="32"/>
          <w:szCs w:val="32"/>
        </w:rPr>
      </w:pPr>
      <w:r>
        <w:rPr>
          <w:rFonts w:hint="eastAsia" w:ascii="仿宋" w:hAnsi="仿宋" w:eastAsia="仿宋"/>
          <w:sz w:val="32"/>
          <w:szCs w:val="32"/>
        </w:rPr>
        <w:t>（图7：“三公”经费财政拨款支出结构）</w:t>
      </w:r>
    </w:p>
    <w:p w14:paraId="69C97673">
      <w:pPr>
        <w:spacing w:line="600" w:lineRule="exact"/>
        <w:ind w:firstLine="640"/>
        <w:rPr>
          <w:rFonts w:ascii="仿宋_GB2312" w:eastAsia="仿宋_GB2312"/>
          <w:b/>
          <w:sz w:val="32"/>
          <w:szCs w:val="32"/>
        </w:rPr>
      </w:pPr>
      <w:bookmarkStart w:id="40" w:name="_Toc15377218"/>
      <w:bookmarkStart w:id="41" w:name="_Toc15396610"/>
      <w:r>
        <w:rPr>
          <w:rFonts w:ascii="仿宋_GB2312" w:eastAsia="仿宋_GB2312"/>
          <w:b/>
          <w:sz w:val="32"/>
          <w:szCs w:val="32"/>
        </w:rPr>
        <w:t>1.</w:t>
      </w:r>
      <w:r>
        <w:rPr>
          <w:rFonts w:hint="eastAsia" w:ascii="仿宋_GB2312" w:eastAsia="仿宋_GB2312"/>
          <w:b/>
          <w:sz w:val="32"/>
          <w:szCs w:val="32"/>
        </w:rPr>
        <w:t>因公出国（境）经费支出</w:t>
      </w:r>
      <w:r>
        <w:rPr>
          <w:rFonts w:ascii="仿宋" w:hAnsi="仿宋" w:eastAsia="仿宋"/>
          <w:b/>
          <w:sz w:val="32"/>
          <w:szCs w:val="32"/>
        </w:rPr>
        <w:t>0</w:t>
      </w:r>
      <w:r>
        <w:rPr>
          <w:rFonts w:hint="eastAsia" w:ascii="仿宋_GB2312" w:eastAsia="仿宋_GB2312"/>
          <w:sz w:val="32"/>
          <w:szCs w:val="32"/>
        </w:rPr>
        <w:t>万元，</w:t>
      </w:r>
      <w:r>
        <w:rPr>
          <w:rStyle w:val="18"/>
          <w:rFonts w:hint="eastAsia" w:ascii="仿宋" w:hAnsi="仿宋" w:eastAsia="仿宋"/>
          <w:b w:val="0"/>
          <w:bCs/>
          <w:sz w:val="32"/>
          <w:szCs w:val="32"/>
        </w:rPr>
        <w:t>完成预算</w:t>
      </w:r>
      <w:r>
        <w:rPr>
          <w:rStyle w:val="18"/>
          <w:rFonts w:ascii="仿宋" w:hAnsi="仿宋" w:eastAsia="仿宋"/>
          <w:bCs/>
          <w:sz w:val="32"/>
          <w:szCs w:val="32"/>
        </w:rPr>
        <w:t>0</w:t>
      </w:r>
      <w:r>
        <w:rPr>
          <w:rStyle w:val="18"/>
          <w:rFonts w:ascii="仿宋" w:hAnsi="仿宋" w:eastAsia="仿宋"/>
          <w:b w:val="0"/>
          <w:bCs/>
          <w:sz w:val="32"/>
          <w:szCs w:val="32"/>
        </w:rPr>
        <w:t>%</w:t>
      </w:r>
      <w:r>
        <w:rPr>
          <w:rStyle w:val="18"/>
          <w:rFonts w:hint="eastAsia" w:ascii="仿宋" w:hAnsi="仿宋" w:eastAsia="仿宋"/>
          <w:b w:val="0"/>
          <w:bCs/>
          <w:sz w:val="32"/>
          <w:szCs w:val="32"/>
        </w:rPr>
        <w:t>。</w:t>
      </w:r>
      <w:r>
        <w:rPr>
          <w:rFonts w:hint="eastAsia" w:ascii="仿宋_GB2312" w:eastAsia="仿宋_GB2312"/>
          <w:sz w:val="32"/>
          <w:szCs w:val="32"/>
        </w:rPr>
        <w:t>全年安排因公出国（境）团组</w:t>
      </w:r>
      <w:r>
        <w:rPr>
          <w:rFonts w:ascii="仿宋_GB2312" w:eastAsia="仿宋_GB2312"/>
          <w:b/>
          <w:sz w:val="32"/>
          <w:szCs w:val="32"/>
        </w:rPr>
        <w:t>0</w:t>
      </w:r>
      <w:r>
        <w:rPr>
          <w:rFonts w:hint="eastAsia" w:ascii="仿宋_GB2312" w:eastAsia="仿宋_GB2312"/>
          <w:sz w:val="32"/>
          <w:szCs w:val="32"/>
        </w:rPr>
        <w:t>次，出国（境）</w:t>
      </w:r>
      <w:r>
        <w:rPr>
          <w:rFonts w:ascii="仿宋_GB2312" w:eastAsia="仿宋_GB2312"/>
          <w:b/>
          <w:sz w:val="32"/>
          <w:szCs w:val="32"/>
        </w:rPr>
        <w:t>0</w:t>
      </w:r>
      <w:r>
        <w:rPr>
          <w:rFonts w:hint="eastAsia" w:ascii="仿宋_GB2312" w:eastAsia="仿宋_GB2312"/>
          <w:sz w:val="32"/>
          <w:szCs w:val="32"/>
        </w:rPr>
        <w:t>人。因公出国（境）支出决算比2022年增加</w:t>
      </w:r>
      <w:r>
        <w:rPr>
          <w:rFonts w:ascii="仿宋_GB2312" w:eastAsia="仿宋_GB2312"/>
          <w:sz w:val="32"/>
          <w:szCs w:val="32"/>
        </w:rPr>
        <w:t>/</w:t>
      </w:r>
      <w:r>
        <w:rPr>
          <w:rFonts w:hint="eastAsia" w:ascii="仿宋_GB2312" w:eastAsia="仿宋_GB2312"/>
          <w:sz w:val="32"/>
          <w:szCs w:val="32"/>
        </w:rPr>
        <w:t>减少</w:t>
      </w:r>
      <w:r>
        <w:rPr>
          <w:rFonts w:ascii="仿宋" w:hAnsi="仿宋" w:eastAsia="仿宋"/>
          <w:b/>
          <w:sz w:val="32"/>
          <w:szCs w:val="32"/>
        </w:rPr>
        <w:t>0</w:t>
      </w:r>
      <w:r>
        <w:rPr>
          <w:rFonts w:hint="eastAsia" w:ascii="仿宋_GB2312" w:eastAsia="仿宋_GB2312"/>
          <w:sz w:val="32"/>
          <w:szCs w:val="32"/>
        </w:rPr>
        <w:t>万元，增长</w:t>
      </w:r>
      <w:r>
        <w:rPr>
          <w:rFonts w:ascii="仿宋_GB2312" w:eastAsia="仿宋_GB2312"/>
          <w:sz w:val="32"/>
          <w:szCs w:val="32"/>
        </w:rPr>
        <w:t>/</w:t>
      </w:r>
      <w:r>
        <w:rPr>
          <w:rFonts w:hint="eastAsia" w:ascii="仿宋_GB2312" w:eastAsia="仿宋_GB2312"/>
          <w:sz w:val="32"/>
          <w:szCs w:val="32"/>
        </w:rPr>
        <w:t>下降</w:t>
      </w:r>
      <w:r>
        <w:rPr>
          <w:rFonts w:ascii="仿宋" w:hAnsi="仿宋" w:eastAsia="仿宋"/>
          <w:b/>
          <w:sz w:val="32"/>
          <w:szCs w:val="32"/>
        </w:rPr>
        <w:t>0</w:t>
      </w:r>
      <w:r>
        <w:rPr>
          <w:rFonts w:ascii="仿宋_GB2312" w:eastAsia="仿宋_GB2312"/>
          <w:sz w:val="32"/>
          <w:szCs w:val="32"/>
        </w:rPr>
        <w:t>%</w:t>
      </w:r>
      <w:r>
        <w:rPr>
          <w:rFonts w:hint="eastAsia" w:ascii="仿宋_GB2312" w:eastAsia="仿宋_GB2312"/>
          <w:sz w:val="32"/>
          <w:szCs w:val="32"/>
        </w:rPr>
        <w:t>。主要原因是本单位本年度无此事项发生。</w:t>
      </w:r>
    </w:p>
    <w:p w14:paraId="70CB7F8A">
      <w:pPr>
        <w:spacing w:line="600" w:lineRule="exact"/>
        <w:ind w:firstLine="640"/>
        <w:rPr>
          <w:rFonts w:ascii="仿宋_GB2312" w:eastAsia="仿宋_GB2312"/>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ascii="仿宋" w:hAnsi="仿宋" w:eastAsia="仿宋"/>
          <w:b/>
          <w:sz w:val="32"/>
          <w:szCs w:val="32"/>
        </w:rPr>
        <w:t>0</w:t>
      </w:r>
      <w:r>
        <w:rPr>
          <w:rFonts w:hint="eastAsia" w:ascii="仿宋_GB2312" w:eastAsia="仿宋_GB2312"/>
          <w:sz w:val="32"/>
          <w:szCs w:val="32"/>
        </w:rPr>
        <w:t>万元,</w:t>
      </w:r>
      <w:r>
        <w:rPr>
          <w:rStyle w:val="18"/>
          <w:rFonts w:hint="eastAsia" w:ascii="仿宋" w:hAnsi="仿宋" w:eastAsia="仿宋"/>
          <w:b w:val="0"/>
          <w:bCs/>
          <w:sz w:val="32"/>
          <w:szCs w:val="32"/>
        </w:rPr>
        <w:t>完成预算</w:t>
      </w:r>
      <w:r>
        <w:rPr>
          <w:rStyle w:val="18"/>
          <w:rFonts w:ascii="仿宋" w:hAnsi="仿宋" w:eastAsia="仿宋"/>
          <w:bCs/>
          <w:sz w:val="32"/>
          <w:szCs w:val="32"/>
        </w:rPr>
        <w:t>0</w:t>
      </w:r>
      <w:r>
        <w:rPr>
          <w:rStyle w:val="18"/>
          <w:rFonts w:ascii="仿宋" w:hAnsi="仿宋" w:eastAsia="仿宋"/>
          <w:b w:val="0"/>
          <w:bCs/>
          <w:sz w:val="32"/>
          <w:szCs w:val="32"/>
        </w:rPr>
        <w:t>%</w:t>
      </w:r>
      <w:r>
        <w:rPr>
          <w:rStyle w:val="18"/>
          <w:rFonts w:hint="eastAsia" w:ascii="仿宋" w:hAnsi="仿宋" w:eastAsia="仿宋"/>
          <w:b w:val="0"/>
          <w:bCs/>
          <w:sz w:val="32"/>
          <w:szCs w:val="32"/>
        </w:rPr>
        <w:t>。</w:t>
      </w:r>
      <w:r>
        <w:rPr>
          <w:rFonts w:hint="eastAsia" w:ascii="仿宋_GB2312" w:eastAsia="仿宋_GB2312"/>
          <w:sz w:val="32"/>
          <w:szCs w:val="32"/>
        </w:rPr>
        <w:t>公务用车购置及运行维护费支出决算比2022年度增加</w:t>
      </w:r>
      <w:r>
        <w:rPr>
          <w:rFonts w:ascii="仿宋_GB2312" w:eastAsia="仿宋_GB2312"/>
          <w:sz w:val="32"/>
          <w:szCs w:val="32"/>
        </w:rPr>
        <w:t>/</w:t>
      </w:r>
      <w:r>
        <w:rPr>
          <w:rFonts w:hint="eastAsia" w:ascii="仿宋_GB2312" w:eastAsia="仿宋_GB2312"/>
          <w:sz w:val="32"/>
          <w:szCs w:val="32"/>
        </w:rPr>
        <w:t>减少</w:t>
      </w:r>
      <w:r>
        <w:rPr>
          <w:rFonts w:ascii="仿宋" w:hAnsi="仿宋" w:eastAsia="仿宋"/>
          <w:b/>
          <w:sz w:val="32"/>
          <w:szCs w:val="32"/>
        </w:rPr>
        <w:t>0</w:t>
      </w:r>
      <w:r>
        <w:rPr>
          <w:rFonts w:hint="eastAsia" w:ascii="仿宋_GB2312" w:eastAsia="仿宋_GB2312"/>
          <w:sz w:val="32"/>
          <w:szCs w:val="32"/>
        </w:rPr>
        <w:t>万元，增长</w:t>
      </w:r>
      <w:r>
        <w:rPr>
          <w:rFonts w:ascii="仿宋_GB2312" w:eastAsia="仿宋_GB2312"/>
          <w:sz w:val="32"/>
          <w:szCs w:val="32"/>
        </w:rPr>
        <w:t>/</w:t>
      </w:r>
      <w:r>
        <w:rPr>
          <w:rFonts w:hint="eastAsia" w:ascii="仿宋_GB2312" w:eastAsia="仿宋_GB2312"/>
          <w:sz w:val="32"/>
          <w:szCs w:val="32"/>
        </w:rPr>
        <w:t>下降</w:t>
      </w:r>
      <w:r>
        <w:rPr>
          <w:rFonts w:ascii="仿宋" w:hAnsi="仿宋" w:eastAsia="仿宋"/>
          <w:b/>
          <w:sz w:val="32"/>
          <w:szCs w:val="32"/>
        </w:rPr>
        <w:t>0</w:t>
      </w:r>
      <w:r>
        <w:rPr>
          <w:rFonts w:ascii="仿宋_GB2312" w:eastAsia="仿宋_GB2312"/>
          <w:sz w:val="32"/>
          <w:szCs w:val="32"/>
        </w:rPr>
        <w:t>%</w:t>
      </w:r>
      <w:r>
        <w:rPr>
          <w:rFonts w:hint="eastAsia" w:ascii="仿宋_GB2312" w:eastAsia="仿宋_GB2312"/>
          <w:sz w:val="32"/>
          <w:szCs w:val="32"/>
        </w:rPr>
        <w:t>。主要原因是本单位本年度无公务用车购置及运行维护费。</w:t>
      </w:r>
    </w:p>
    <w:p w14:paraId="23B47F39">
      <w:pPr>
        <w:spacing w:line="600" w:lineRule="exact"/>
        <w:ind w:firstLine="64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ascii="仿宋" w:hAnsi="仿宋" w:eastAsia="仿宋"/>
          <w:b/>
          <w:sz w:val="32"/>
          <w:szCs w:val="32"/>
        </w:rPr>
        <w:t>0</w:t>
      </w:r>
      <w:r>
        <w:rPr>
          <w:rFonts w:hint="eastAsia" w:ascii="仿宋_GB2312" w:eastAsia="仿宋_GB2312"/>
          <w:sz w:val="32"/>
          <w:szCs w:val="32"/>
        </w:rPr>
        <w:t>万元。全年更新购置公务用车</w:t>
      </w:r>
      <w:r>
        <w:rPr>
          <w:rFonts w:ascii="仿宋" w:hAnsi="仿宋" w:eastAsia="仿宋"/>
          <w:b/>
          <w:sz w:val="32"/>
          <w:szCs w:val="32"/>
        </w:rPr>
        <w:t>0</w:t>
      </w:r>
      <w:r>
        <w:rPr>
          <w:rFonts w:hint="eastAsia" w:ascii="仿宋_GB2312" w:eastAsia="仿宋_GB2312"/>
          <w:sz w:val="32"/>
          <w:szCs w:val="32"/>
        </w:rPr>
        <w:t>辆，其中：轿车</w:t>
      </w:r>
      <w:r>
        <w:rPr>
          <w:rFonts w:ascii="仿宋" w:hAnsi="仿宋" w:eastAsia="仿宋"/>
          <w:b/>
          <w:sz w:val="32"/>
          <w:szCs w:val="32"/>
        </w:rPr>
        <w:t>0</w:t>
      </w:r>
      <w:r>
        <w:rPr>
          <w:rFonts w:hint="eastAsia" w:ascii="仿宋_GB2312" w:eastAsia="仿宋_GB2312"/>
          <w:sz w:val="32"/>
          <w:szCs w:val="32"/>
        </w:rPr>
        <w:t>辆、金额</w:t>
      </w:r>
      <w:r>
        <w:rPr>
          <w:rFonts w:ascii="仿宋" w:hAnsi="仿宋" w:eastAsia="仿宋"/>
          <w:b/>
          <w:sz w:val="32"/>
          <w:szCs w:val="32"/>
        </w:rPr>
        <w:t>0</w:t>
      </w:r>
      <w:r>
        <w:rPr>
          <w:rFonts w:hint="eastAsia" w:ascii="仿宋_GB2312" w:eastAsia="仿宋_GB2312"/>
          <w:sz w:val="32"/>
          <w:szCs w:val="32"/>
        </w:rPr>
        <w:t>万元，越野车</w:t>
      </w:r>
      <w:r>
        <w:rPr>
          <w:rFonts w:ascii="仿宋" w:hAnsi="仿宋" w:eastAsia="仿宋"/>
          <w:b/>
          <w:sz w:val="32"/>
          <w:szCs w:val="32"/>
        </w:rPr>
        <w:t>0</w:t>
      </w:r>
      <w:r>
        <w:rPr>
          <w:rFonts w:hint="eastAsia" w:ascii="仿宋_GB2312" w:eastAsia="仿宋_GB2312"/>
          <w:sz w:val="32"/>
          <w:szCs w:val="32"/>
        </w:rPr>
        <w:t>辆、金额</w:t>
      </w:r>
      <w:r>
        <w:rPr>
          <w:rFonts w:ascii="仿宋" w:hAnsi="仿宋" w:eastAsia="仿宋"/>
          <w:b/>
          <w:sz w:val="32"/>
          <w:szCs w:val="32"/>
        </w:rPr>
        <w:t>0</w:t>
      </w:r>
      <w:r>
        <w:rPr>
          <w:rFonts w:hint="eastAsia" w:ascii="仿宋_GB2312" w:eastAsia="仿宋_GB2312"/>
          <w:sz w:val="32"/>
          <w:szCs w:val="32"/>
        </w:rPr>
        <w:t>万元，载客汽车</w:t>
      </w:r>
      <w:r>
        <w:rPr>
          <w:rFonts w:ascii="仿宋" w:hAnsi="仿宋" w:eastAsia="仿宋"/>
          <w:b/>
          <w:sz w:val="32"/>
          <w:szCs w:val="32"/>
        </w:rPr>
        <w:t>0</w:t>
      </w:r>
      <w:r>
        <w:rPr>
          <w:rFonts w:hint="eastAsia" w:ascii="仿宋_GB2312" w:eastAsia="仿宋_GB2312"/>
          <w:sz w:val="32"/>
          <w:szCs w:val="32"/>
        </w:rPr>
        <w:t>辆、金额</w:t>
      </w:r>
      <w:r>
        <w:rPr>
          <w:rFonts w:ascii="仿宋" w:hAnsi="仿宋" w:eastAsia="仿宋"/>
          <w:b/>
          <w:sz w:val="32"/>
          <w:szCs w:val="32"/>
        </w:rPr>
        <w:t>0</w:t>
      </w:r>
      <w:r>
        <w:rPr>
          <w:rFonts w:hint="eastAsia" w:ascii="仿宋_GB2312" w:eastAsia="仿宋_GB2312"/>
          <w:sz w:val="32"/>
          <w:szCs w:val="32"/>
        </w:rPr>
        <w:t>万元，主要用于…。截至2023年</w:t>
      </w:r>
      <w:r>
        <w:rPr>
          <w:rFonts w:ascii="仿宋_GB2312" w:eastAsia="仿宋_GB2312"/>
          <w:sz w:val="32"/>
          <w:szCs w:val="32"/>
        </w:rPr>
        <w:t>12</w:t>
      </w:r>
      <w:r>
        <w:rPr>
          <w:rFonts w:hint="eastAsia" w:ascii="仿宋_GB2312" w:eastAsia="仿宋_GB2312"/>
          <w:sz w:val="32"/>
          <w:szCs w:val="32"/>
        </w:rPr>
        <w:t>月31日，单位共有公务用车</w:t>
      </w:r>
      <w:r>
        <w:rPr>
          <w:rFonts w:ascii="仿宋" w:hAnsi="仿宋" w:eastAsia="仿宋"/>
          <w:b/>
          <w:sz w:val="32"/>
          <w:szCs w:val="32"/>
        </w:rPr>
        <w:t>0</w:t>
      </w:r>
      <w:r>
        <w:rPr>
          <w:rFonts w:hint="eastAsia" w:ascii="仿宋_GB2312" w:eastAsia="仿宋_GB2312"/>
          <w:sz w:val="32"/>
          <w:szCs w:val="32"/>
        </w:rPr>
        <w:t>辆，其中：轿车</w:t>
      </w:r>
      <w:r>
        <w:rPr>
          <w:rFonts w:ascii="仿宋" w:hAnsi="仿宋" w:eastAsia="仿宋"/>
          <w:b/>
          <w:sz w:val="32"/>
          <w:szCs w:val="32"/>
        </w:rPr>
        <w:t>0</w:t>
      </w:r>
      <w:r>
        <w:rPr>
          <w:rFonts w:hint="eastAsia" w:ascii="仿宋_GB2312" w:eastAsia="仿宋_GB2312"/>
          <w:sz w:val="32"/>
          <w:szCs w:val="32"/>
        </w:rPr>
        <w:t>辆、越野车</w:t>
      </w:r>
      <w:r>
        <w:rPr>
          <w:rFonts w:ascii="仿宋" w:hAnsi="仿宋" w:eastAsia="仿宋"/>
          <w:b/>
          <w:sz w:val="32"/>
          <w:szCs w:val="32"/>
        </w:rPr>
        <w:t>0</w:t>
      </w:r>
      <w:r>
        <w:rPr>
          <w:rFonts w:hint="eastAsia" w:ascii="仿宋_GB2312" w:eastAsia="仿宋_GB2312"/>
          <w:sz w:val="32"/>
          <w:szCs w:val="32"/>
        </w:rPr>
        <w:t>辆、载客汽车</w:t>
      </w:r>
      <w:r>
        <w:rPr>
          <w:rFonts w:ascii="仿宋" w:hAnsi="仿宋" w:eastAsia="仿宋"/>
          <w:b/>
          <w:sz w:val="32"/>
          <w:szCs w:val="32"/>
        </w:rPr>
        <w:t>0</w:t>
      </w:r>
      <w:r>
        <w:rPr>
          <w:rFonts w:hint="eastAsia" w:ascii="仿宋_GB2312" w:eastAsia="仿宋_GB2312"/>
          <w:sz w:val="32"/>
          <w:szCs w:val="32"/>
        </w:rPr>
        <w:t>辆。</w:t>
      </w:r>
    </w:p>
    <w:p w14:paraId="041E1344">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ascii="仿宋" w:hAnsi="仿宋" w:eastAsia="仿宋"/>
          <w:b/>
          <w:sz w:val="32"/>
          <w:szCs w:val="32"/>
        </w:rPr>
        <w:t>0</w:t>
      </w:r>
      <w:r>
        <w:rPr>
          <w:rFonts w:hint="eastAsia" w:ascii="仿宋_GB2312" w:eastAsia="仿宋_GB2312"/>
          <w:sz w:val="32"/>
          <w:szCs w:val="32"/>
        </w:rPr>
        <w:t>万元。本单位本年度无公务用车燃料费、维修费、过路过桥费、保险费等支出。</w:t>
      </w:r>
    </w:p>
    <w:p w14:paraId="49CA5347">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ascii="仿宋" w:hAnsi="仿宋" w:eastAsia="仿宋"/>
          <w:b/>
          <w:sz w:val="32"/>
          <w:szCs w:val="32"/>
        </w:rPr>
        <w:t>0.2</w:t>
      </w:r>
      <w:r>
        <w:rPr>
          <w:rFonts w:hint="eastAsia" w:ascii="仿宋_GB2312" w:eastAsia="仿宋_GB2312"/>
          <w:sz w:val="32"/>
          <w:szCs w:val="32"/>
        </w:rPr>
        <w:t>万元，</w:t>
      </w:r>
      <w:r>
        <w:rPr>
          <w:rStyle w:val="18"/>
          <w:rFonts w:hint="eastAsia" w:ascii="仿宋" w:hAnsi="仿宋" w:eastAsia="仿宋"/>
          <w:b w:val="0"/>
          <w:bCs/>
          <w:sz w:val="32"/>
          <w:szCs w:val="32"/>
        </w:rPr>
        <w:t>完成预算</w:t>
      </w:r>
      <w:r>
        <w:rPr>
          <w:rStyle w:val="18"/>
          <w:rFonts w:ascii="仿宋" w:hAnsi="仿宋" w:eastAsia="仿宋"/>
          <w:b w:val="0"/>
          <w:bCs/>
          <w:sz w:val="32"/>
          <w:szCs w:val="32"/>
        </w:rPr>
        <w:t>100%</w:t>
      </w:r>
      <w:r>
        <w:rPr>
          <w:rStyle w:val="18"/>
          <w:rFonts w:hint="eastAsia" w:ascii="仿宋" w:hAnsi="仿宋" w:eastAsia="仿宋"/>
          <w:b w:val="0"/>
          <w:bCs/>
          <w:sz w:val="32"/>
          <w:szCs w:val="32"/>
        </w:rPr>
        <w:t>。</w:t>
      </w:r>
      <w:r>
        <w:rPr>
          <w:rFonts w:hint="eastAsia" w:ascii="仿宋_GB2312" w:eastAsia="仿宋_GB2312"/>
          <w:sz w:val="32"/>
          <w:szCs w:val="32"/>
        </w:rPr>
        <w:t>公务接待费支出决算比2022年度增加</w:t>
      </w:r>
      <w:r>
        <w:rPr>
          <w:rFonts w:ascii="仿宋_GB2312" w:eastAsia="仿宋_GB2312"/>
          <w:sz w:val="32"/>
          <w:szCs w:val="32"/>
        </w:rPr>
        <w:t>/</w:t>
      </w:r>
      <w:r>
        <w:rPr>
          <w:rFonts w:hint="eastAsia" w:ascii="仿宋_GB2312" w:eastAsia="仿宋_GB2312"/>
          <w:sz w:val="32"/>
          <w:szCs w:val="32"/>
        </w:rPr>
        <w:t>减少</w:t>
      </w:r>
      <w:r>
        <w:rPr>
          <w:rFonts w:ascii="仿宋" w:hAnsi="仿宋" w:eastAsia="仿宋"/>
          <w:b/>
          <w:sz w:val="32"/>
          <w:szCs w:val="32"/>
        </w:rPr>
        <w:t>0</w:t>
      </w:r>
      <w:r>
        <w:rPr>
          <w:rFonts w:hint="eastAsia" w:ascii="仿宋_GB2312" w:eastAsia="仿宋_GB2312"/>
          <w:sz w:val="32"/>
          <w:szCs w:val="32"/>
        </w:rPr>
        <w:t>万元，增长</w:t>
      </w:r>
      <w:r>
        <w:rPr>
          <w:rFonts w:ascii="仿宋_GB2312" w:eastAsia="仿宋_GB2312"/>
          <w:sz w:val="32"/>
          <w:szCs w:val="32"/>
        </w:rPr>
        <w:t>/</w:t>
      </w:r>
      <w:r>
        <w:rPr>
          <w:rFonts w:hint="eastAsia" w:ascii="仿宋_GB2312" w:eastAsia="仿宋_GB2312"/>
          <w:sz w:val="32"/>
          <w:szCs w:val="32"/>
        </w:rPr>
        <w:t>下降</w:t>
      </w:r>
      <w:r>
        <w:rPr>
          <w:rFonts w:ascii="仿宋" w:hAnsi="仿宋" w:eastAsia="仿宋"/>
          <w:b/>
          <w:sz w:val="32"/>
          <w:szCs w:val="32"/>
        </w:rPr>
        <w:t>0</w:t>
      </w:r>
      <w:r>
        <w:rPr>
          <w:rFonts w:ascii="仿宋_GB2312" w:eastAsia="仿宋_GB2312"/>
          <w:sz w:val="32"/>
          <w:szCs w:val="32"/>
        </w:rPr>
        <w:t>%</w:t>
      </w:r>
      <w:r>
        <w:rPr>
          <w:rFonts w:hint="eastAsia" w:ascii="仿宋_GB2312" w:eastAsia="仿宋_GB2312"/>
          <w:sz w:val="32"/>
          <w:szCs w:val="32"/>
        </w:rPr>
        <w:t>。主要原因是坚决执行各级政府的规定及要求，加强公务接待管理，严格控制接待规模及标准，厉行节约。其中：</w:t>
      </w:r>
    </w:p>
    <w:p w14:paraId="028BE791">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ascii="仿宋" w:hAnsi="仿宋" w:eastAsia="仿宋"/>
          <w:b/>
          <w:sz w:val="32"/>
          <w:szCs w:val="32"/>
        </w:rPr>
        <w:t>0.2</w:t>
      </w:r>
      <w:r>
        <w:rPr>
          <w:rFonts w:hint="eastAsia" w:ascii="仿宋_GB2312" w:eastAsia="仿宋_GB2312"/>
          <w:sz w:val="32"/>
          <w:szCs w:val="32"/>
        </w:rPr>
        <w:t>万元，主要用于执行公务、开展业务活动开支的交通费、住宿费、用餐费等 。国内公务接待</w:t>
      </w:r>
      <w:r>
        <w:rPr>
          <w:rFonts w:hint="eastAsia" w:ascii="仿宋" w:hAnsi="仿宋" w:eastAsia="仿宋"/>
          <w:b/>
          <w:sz w:val="32"/>
          <w:szCs w:val="32"/>
        </w:rPr>
        <w:t xml:space="preserve"> 4</w:t>
      </w:r>
      <w:r>
        <w:rPr>
          <w:rFonts w:hint="eastAsia" w:ascii="仿宋_GB2312" w:eastAsia="仿宋_GB2312"/>
          <w:sz w:val="32"/>
          <w:szCs w:val="32"/>
        </w:rPr>
        <w:t>批次，</w:t>
      </w:r>
      <w:r>
        <w:rPr>
          <w:rFonts w:hint="eastAsia" w:ascii="仿宋_GB2312" w:eastAsia="仿宋_GB2312"/>
          <w:b/>
          <w:sz w:val="32"/>
          <w:szCs w:val="32"/>
        </w:rPr>
        <w:t>49</w:t>
      </w:r>
      <w:r>
        <w:rPr>
          <w:rFonts w:hint="eastAsia" w:ascii="仿宋_GB2312" w:eastAsia="仿宋_GB2312"/>
          <w:sz w:val="32"/>
          <w:szCs w:val="32"/>
        </w:rPr>
        <w:t>人次（不包括陪同人员），共计支出</w:t>
      </w:r>
      <w:r>
        <w:rPr>
          <w:rFonts w:hint="eastAsia" w:ascii="仿宋_GB2312" w:eastAsia="仿宋_GB2312"/>
          <w:b/>
          <w:sz w:val="32"/>
          <w:szCs w:val="32"/>
        </w:rPr>
        <w:t>0.2</w:t>
      </w:r>
      <w:r>
        <w:rPr>
          <w:rFonts w:hint="eastAsia" w:ascii="仿宋_GB2312" w:eastAsia="仿宋_GB2312"/>
          <w:sz w:val="32"/>
          <w:szCs w:val="32"/>
        </w:rPr>
        <w:t>万元，具体内容包括：1、开展党建活动工作用餐两批次共16人次640元，2、“七.一”上级来人慰问座谈会中午用餐8人次340元，3、重阳节座谈会中午用餐费25人次1020元。</w:t>
      </w:r>
    </w:p>
    <w:p w14:paraId="0C1FE18D">
      <w:pPr>
        <w:spacing w:line="600" w:lineRule="exact"/>
        <w:ind w:firstLine="643" w:firstLineChars="200"/>
        <w:rPr>
          <w:rFonts w:ascii="仿宋_GB2312" w:eastAsia="仿宋_GB2312"/>
          <w:sz w:val="32"/>
          <w:szCs w:val="32"/>
        </w:rPr>
      </w:pPr>
      <w:r>
        <w:rPr>
          <w:rFonts w:hint="eastAsia" w:ascii="仿宋" w:hAnsi="仿宋" w:eastAsia="仿宋"/>
          <w:b/>
          <w:sz w:val="32"/>
          <w:szCs w:val="32"/>
        </w:rPr>
        <w:t>外事接待支出</w:t>
      </w:r>
      <w:r>
        <w:rPr>
          <w:rFonts w:ascii="仿宋" w:hAnsi="仿宋" w:eastAsia="仿宋"/>
          <w:b/>
          <w:sz w:val="32"/>
          <w:szCs w:val="32"/>
        </w:rPr>
        <w:t>0</w:t>
      </w:r>
      <w:r>
        <w:rPr>
          <w:rFonts w:hint="eastAsia" w:ascii="仿宋_GB2312" w:eastAsia="仿宋_GB2312"/>
          <w:sz w:val="32"/>
          <w:szCs w:val="32"/>
        </w:rPr>
        <w:t>万元，外事接待0批次，0人次（不包括陪同人员），共计支出0万元。</w:t>
      </w:r>
    </w:p>
    <w:p w14:paraId="124E9DF3">
      <w:pPr>
        <w:spacing w:line="600" w:lineRule="exact"/>
        <w:ind w:firstLine="640"/>
        <w:outlineLvl w:val="1"/>
        <w:rPr>
          <w:rStyle w:val="29"/>
          <w:rFonts w:ascii="黑体" w:hAnsi="黑体" w:eastAsia="黑体"/>
        </w:rPr>
      </w:pPr>
      <w:r>
        <w:rPr>
          <w:rFonts w:hint="eastAsia" w:ascii="黑体" w:eastAsia="黑体"/>
          <w:sz w:val="32"/>
          <w:szCs w:val="32"/>
        </w:rPr>
        <w:t>八、</w:t>
      </w:r>
      <w:r>
        <w:rPr>
          <w:rStyle w:val="29"/>
          <w:rFonts w:hint="eastAsia" w:ascii="黑体" w:hAnsi="黑体" w:eastAsia="黑体"/>
          <w:b w:val="0"/>
        </w:rPr>
        <w:t>政府性基金预算支出决算情况说明</w:t>
      </w:r>
      <w:bookmarkEnd w:id="40"/>
      <w:bookmarkEnd w:id="41"/>
    </w:p>
    <w:p w14:paraId="45A91DEC">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rFonts w:ascii="仿宋" w:hAnsi="仿宋" w:eastAsia="仿宋"/>
          <w:b/>
          <w:sz w:val="32"/>
          <w:szCs w:val="32"/>
        </w:rPr>
        <w:t>0</w:t>
      </w:r>
      <w:r>
        <w:rPr>
          <w:rFonts w:hint="eastAsia" w:ascii="仿宋_GB2312" w:eastAsia="仿宋_GB2312"/>
          <w:sz w:val="32"/>
          <w:szCs w:val="32"/>
        </w:rPr>
        <w:t>万元。本单位本年度无此项支出内容。</w:t>
      </w:r>
    </w:p>
    <w:p w14:paraId="7334E53A">
      <w:pPr>
        <w:numPr>
          <w:ilvl w:val="0"/>
          <w:numId w:val="3"/>
        </w:numPr>
        <w:spacing w:line="600" w:lineRule="exact"/>
        <w:ind w:firstLine="640"/>
        <w:outlineLvl w:val="1"/>
        <w:rPr>
          <w:rStyle w:val="29"/>
          <w:rFonts w:ascii="黑体" w:hAnsi="黑体" w:eastAsia="黑体"/>
          <w:b w:val="0"/>
        </w:rPr>
      </w:pPr>
      <w:bookmarkStart w:id="42" w:name="_Toc15377219"/>
      <w:bookmarkStart w:id="43" w:name="_Toc15396611"/>
      <w:r>
        <w:rPr>
          <w:rStyle w:val="29"/>
          <w:rFonts w:hint="eastAsia" w:ascii="黑体" w:hAnsi="黑体" w:eastAsia="黑体"/>
          <w:b w:val="0"/>
        </w:rPr>
        <w:t>国有资本经营预算支出决算情况说明</w:t>
      </w:r>
      <w:bookmarkEnd w:id="42"/>
      <w:bookmarkEnd w:id="43"/>
    </w:p>
    <w:p w14:paraId="09095B1E">
      <w:pPr>
        <w:spacing w:line="600" w:lineRule="exact"/>
        <w:ind w:firstLine="640"/>
        <w:rPr>
          <w:rFonts w:ascii="仿宋_GB2312" w:eastAsia="仿宋_GB2312"/>
          <w:sz w:val="32"/>
          <w:szCs w:val="32"/>
        </w:rPr>
      </w:pPr>
      <w:r>
        <w:rPr>
          <w:rFonts w:hint="eastAsia" w:ascii="仿宋_GB2312" w:eastAsia="仿宋_GB2312"/>
          <w:sz w:val="32"/>
          <w:szCs w:val="32"/>
        </w:rPr>
        <w:t>2023年度国有资本经营预算财政拨款支出</w:t>
      </w:r>
      <w:r>
        <w:rPr>
          <w:rFonts w:ascii="仿宋" w:hAnsi="仿宋" w:eastAsia="仿宋"/>
          <w:b/>
          <w:sz w:val="32"/>
          <w:szCs w:val="32"/>
        </w:rPr>
        <w:t>0</w:t>
      </w:r>
      <w:r>
        <w:rPr>
          <w:rFonts w:hint="eastAsia" w:ascii="仿宋_GB2312" w:eastAsia="仿宋_GB2312"/>
          <w:sz w:val="32"/>
          <w:szCs w:val="32"/>
        </w:rPr>
        <w:t>万元。本单位本年度无此项支出内容。</w:t>
      </w:r>
    </w:p>
    <w:p w14:paraId="30E0E126">
      <w:pPr>
        <w:numPr>
          <w:ilvl w:val="0"/>
          <w:numId w:val="3"/>
        </w:numPr>
        <w:spacing w:line="600" w:lineRule="exact"/>
        <w:ind w:firstLine="640"/>
        <w:outlineLvl w:val="1"/>
        <w:rPr>
          <w:rStyle w:val="29"/>
          <w:rFonts w:ascii="黑体" w:hAnsi="黑体" w:eastAsia="黑体"/>
          <w:b w:val="0"/>
        </w:rPr>
      </w:pPr>
      <w:bookmarkStart w:id="44" w:name="_Toc15377221"/>
      <w:bookmarkStart w:id="45" w:name="_Toc15396612"/>
      <w:r>
        <w:rPr>
          <w:rStyle w:val="29"/>
          <w:rFonts w:hint="eastAsia" w:ascii="黑体" w:hAnsi="黑体" w:eastAsia="黑体"/>
          <w:b w:val="0"/>
        </w:rPr>
        <w:t>其他重要事项的情况说明</w:t>
      </w:r>
      <w:bookmarkEnd w:id="44"/>
      <w:bookmarkEnd w:id="45"/>
    </w:p>
    <w:p w14:paraId="24B9F34C">
      <w:pPr>
        <w:spacing w:line="600" w:lineRule="exact"/>
        <w:ind w:firstLine="643" w:firstLineChars="200"/>
        <w:outlineLvl w:val="2"/>
        <w:rPr>
          <w:rFonts w:ascii="仿宋" w:hAnsi="仿宋" w:eastAsia="仿宋"/>
          <w:sz w:val="32"/>
          <w:szCs w:val="32"/>
        </w:rPr>
      </w:pPr>
      <w:bookmarkStart w:id="46" w:name="_Toc15377222"/>
      <w:r>
        <w:rPr>
          <w:rFonts w:hint="eastAsia" w:ascii="仿宋" w:hAnsi="仿宋" w:eastAsia="仿宋"/>
          <w:b/>
          <w:sz w:val="32"/>
          <w:szCs w:val="32"/>
        </w:rPr>
        <w:t>（一）机关运行经费支出情况</w:t>
      </w:r>
      <w:bookmarkEnd w:id="46"/>
    </w:p>
    <w:p w14:paraId="45625D81">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大竹县林业站</w:t>
      </w:r>
      <w:r>
        <w:rPr>
          <w:rFonts w:hint="eastAsia" w:ascii="仿宋_GB2312" w:eastAsia="仿宋_GB2312"/>
          <w:sz w:val="32"/>
          <w:szCs w:val="32"/>
        </w:rPr>
        <w:t>机关运行经费支出</w:t>
      </w:r>
      <w:r>
        <w:rPr>
          <w:rFonts w:ascii="仿宋" w:hAnsi="仿宋" w:eastAsia="仿宋"/>
          <w:b/>
          <w:sz w:val="32"/>
          <w:szCs w:val="32"/>
        </w:rPr>
        <w:t>0</w:t>
      </w:r>
      <w:r>
        <w:rPr>
          <w:rFonts w:hint="eastAsia" w:ascii="仿宋_GB2312" w:eastAsia="仿宋_GB2312"/>
          <w:sz w:val="32"/>
          <w:szCs w:val="32"/>
        </w:rPr>
        <w:t>万元，比2022年度增加</w:t>
      </w:r>
      <w:r>
        <w:rPr>
          <w:rFonts w:ascii="仿宋_GB2312" w:eastAsia="仿宋_GB2312"/>
          <w:sz w:val="32"/>
          <w:szCs w:val="32"/>
        </w:rPr>
        <w:t>/</w:t>
      </w:r>
      <w:r>
        <w:rPr>
          <w:rFonts w:hint="eastAsia" w:ascii="仿宋_GB2312" w:eastAsia="仿宋_GB2312"/>
          <w:sz w:val="32"/>
          <w:szCs w:val="32"/>
        </w:rPr>
        <w:t>减少</w:t>
      </w:r>
      <w:r>
        <w:rPr>
          <w:rFonts w:hint="eastAsia" w:ascii="仿宋_GB2312" w:eastAsia="仿宋_GB2312"/>
          <w:b/>
          <w:sz w:val="32"/>
          <w:szCs w:val="32"/>
        </w:rPr>
        <w:t>0</w:t>
      </w:r>
      <w:r>
        <w:rPr>
          <w:rFonts w:hint="eastAsia" w:ascii="仿宋_GB2312" w:eastAsia="仿宋_GB2312"/>
          <w:sz w:val="32"/>
          <w:szCs w:val="32"/>
        </w:rPr>
        <w:t>万元，增长</w:t>
      </w:r>
      <w:r>
        <w:rPr>
          <w:rFonts w:ascii="仿宋_GB2312" w:eastAsia="仿宋_GB2312"/>
          <w:sz w:val="32"/>
          <w:szCs w:val="32"/>
        </w:rPr>
        <w:t>/</w:t>
      </w:r>
      <w:r>
        <w:rPr>
          <w:rFonts w:hint="eastAsia" w:ascii="仿宋_GB2312" w:eastAsia="仿宋_GB2312"/>
          <w:sz w:val="32"/>
          <w:szCs w:val="32"/>
        </w:rPr>
        <w:t>下降</w:t>
      </w:r>
      <w:r>
        <w:rPr>
          <w:rFonts w:hint="eastAsia" w:ascii="仿宋_GB2312" w:eastAsia="仿宋_GB2312"/>
          <w:b/>
          <w:sz w:val="32"/>
          <w:szCs w:val="32"/>
        </w:rPr>
        <w:t>0</w:t>
      </w:r>
      <w:r>
        <w:rPr>
          <w:rFonts w:ascii="仿宋_GB2312" w:eastAsia="仿宋_GB2312"/>
          <w:b/>
          <w:sz w:val="32"/>
          <w:szCs w:val="32"/>
        </w:rPr>
        <w:t>%</w:t>
      </w:r>
      <w:r>
        <w:rPr>
          <w:rFonts w:hint="eastAsia" w:ascii="仿宋_GB2312" w:eastAsia="仿宋_GB2312"/>
          <w:sz w:val="32"/>
          <w:szCs w:val="32"/>
        </w:rPr>
        <w:t>（或与2022年度决算数持平）。主要原因是我单位是事业单位，执行政府会计制度，无</w:t>
      </w:r>
      <w:r>
        <w:rPr>
          <w:rFonts w:hint="eastAsia" w:ascii="仿宋" w:hAnsi="仿宋" w:eastAsia="仿宋"/>
          <w:sz w:val="32"/>
          <w:szCs w:val="32"/>
        </w:rPr>
        <w:t>机关运行经费支出事项</w:t>
      </w:r>
      <w:r>
        <w:rPr>
          <w:rFonts w:hint="eastAsia" w:ascii="仿宋_GB2312" w:eastAsia="仿宋_GB2312"/>
          <w:sz w:val="32"/>
          <w:szCs w:val="32"/>
        </w:rPr>
        <w:t>。</w:t>
      </w:r>
    </w:p>
    <w:p w14:paraId="25D468A4">
      <w:pPr>
        <w:autoSpaceDE w:val="0"/>
        <w:autoSpaceDN w:val="0"/>
        <w:adjustRightInd w:val="0"/>
        <w:spacing w:line="600" w:lineRule="exact"/>
        <w:ind w:firstLine="643" w:firstLineChars="200"/>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14:paraId="299F8067">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大竹县林业站</w:t>
      </w:r>
      <w:r>
        <w:rPr>
          <w:rFonts w:hint="eastAsia" w:ascii="仿宋_GB2312" w:eastAsia="仿宋_GB2312"/>
          <w:sz w:val="32"/>
          <w:szCs w:val="32"/>
        </w:rPr>
        <w:t>政府采购支出总额</w:t>
      </w:r>
      <w:r>
        <w:rPr>
          <w:rFonts w:ascii="仿宋" w:hAnsi="仿宋" w:eastAsia="仿宋"/>
          <w:b/>
          <w:sz w:val="32"/>
          <w:szCs w:val="32"/>
        </w:rPr>
        <w:t>0</w:t>
      </w:r>
      <w:r>
        <w:rPr>
          <w:rFonts w:hint="eastAsia" w:ascii="仿宋_GB2312" w:eastAsia="仿宋_GB2312"/>
          <w:sz w:val="32"/>
          <w:szCs w:val="32"/>
        </w:rPr>
        <w:t>万元，其中：政府采购货物支出</w:t>
      </w:r>
      <w:r>
        <w:rPr>
          <w:rFonts w:ascii="仿宋" w:hAnsi="仿宋" w:eastAsia="仿宋"/>
          <w:b/>
          <w:sz w:val="32"/>
          <w:szCs w:val="32"/>
        </w:rPr>
        <w:t>0</w:t>
      </w:r>
      <w:r>
        <w:rPr>
          <w:rFonts w:hint="eastAsia" w:ascii="仿宋_GB2312" w:eastAsia="仿宋_GB2312"/>
          <w:sz w:val="32"/>
          <w:szCs w:val="32"/>
        </w:rPr>
        <w:t>万元、政府采购工程支出</w:t>
      </w:r>
      <w:r>
        <w:rPr>
          <w:rFonts w:ascii="仿宋" w:hAnsi="仿宋" w:eastAsia="仿宋"/>
          <w:b/>
          <w:sz w:val="32"/>
          <w:szCs w:val="32"/>
        </w:rPr>
        <w:t>0</w:t>
      </w:r>
      <w:r>
        <w:rPr>
          <w:rFonts w:hint="eastAsia" w:ascii="仿宋_GB2312" w:eastAsia="仿宋_GB2312"/>
          <w:sz w:val="32"/>
          <w:szCs w:val="32"/>
        </w:rPr>
        <w:t>万元、政府采购服务支出</w:t>
      </w:r>
      <w:r>
        <w:rPr>
          <w:rFonts w:ascii="仿宋" w:hAnsi="仿宋" w:eastAsia="仿宋"/>
          <w:b/>
          <w:sz w:val="32"/>
          <w:szCs w:val="32"/>
        </w:rPr>
        <w:t>0</w:t>
      </w:r>
      <w:r>
        <w:rPr>
          <w:rFonts w:hint="eastAsia" w:ascii="仿宋_GB2312" w:eastAsia="仿宋_GB2312"/>
          <w:sz w:val="32"/>
          <w:szCs w:val="32"/>
        </w:rPr>
        <w:t>万元。授予中小企业合同金额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b/>
          <w:sz w:val="32"/>
          <w:szCs w:val="32"/>
        </w:rPr>
        <w:t>0%</w:t>
      </w:r>
      <w:r>
        <w:rPr>
          <w:rFonts w:hint="eastAsia" w:ascii="仿宋_GB2312" w:eastAsia="仿宋_GB2312"/>
          <w:b/>
          <w:sz w:val="32"/>
          <w:szCs w:val="32"/>
        </w:rPr>
        <w:t>，</w:t>
      </w:r>
      <w:r>
        <w:rPr>
          <w:rFonts w:hint="eastAsia" w:ascii="仿宋_GB2312" w:eastAsia="仿宋_GB2312"/>
          <w:sz w:val="32"/>
          <w:szCs w:val="32"/>
        </w:rPr>
        <w:t>其中：授予小微企业合同金额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b/>
          <w:sz w:val="32"/>
          <w:szCs w:val="32"/>
        </w:rPr>
        <w:t>0</w:t>
      </w:r>
      <w:r>
        <w:rPr>
          <w:rFonts w:ascii="仿宋_GB2312" w:eastAsia="仿宋_GB2312"/>
          <w:sz w:val="32"/>
          <w:szCs w:val="32"/>
        </w:rPr>
        <w:t>%</w:t>
      </w:r>
      <w:r>
        <w:rPr>
          <w:rFonts w:hint="eastAsia" w:ascii="仿宋_GB2312" w:eastAsia="仿宋_GB2312"/>
          <w:sz w:val="32"/>
          <w:szCs w:val="32"/>
        </w:rPr>
        <w:t>。</w:t>
      </w:r>
    </w:p>
    <w:p w14:paraId="505C2E70">
      <w:pPr>
        <w:autoSpaceDE w:val="0"/>
        <w:autoSpaceDN w:val="0"/>
        <w:adjustRightInd w:val="0"/>
        <w:spacing w:line="600" w:lineRule="exact"/>
        <w:ind w:firstLine="643" w:firstLineChars="200"/>
        <w:jc w:val="left"/>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14:paraId="06962303">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ascii="仿宋_GB2312" w:eastAsia="仿宋_GB2312"/>
          <w:b/>
          <w:sz w:val="32"/>
          <w:szCs w:val="32"/>
        </w:rPr>
        <w:t>大竹县林业站</w:t>
      </w:r>
      <w:r>
        <w:rPr>
          <w:rFonts w:hint="eastAsia" w:ascii="仿宋_GB2312" w:eastAsia="仿宋_GB2312"/>
          <w:sz w:val="32"/>
          <w:szCs w:val="32"/>
        </w:rPr>
        <w:t>共有车辆</w:t>
      </w:r>
      <w:r>
        <w:rPr>
          <w:rFonts w:hint="eastAsia" w:ascii="仿宋_GB2312" w:eastAsia="仿宋_GB2312"/>
          <w:b/>
          <w:sz w:val="32"/>
          <w:szCs w:val="32"/>
        </w:rPr>
        <w:t>0</w:t>
      </w:r>
      <w:r>
        <w:rPr>
          <w:rFonts w:hint="eastAsia" w:ascii="仿宋_GB2312" w:eastAsia="仿宋_GB2312"/>
          <w:sz w:val="32"/>
          <w:szCs w:val="32"/>
        </w:rPr>
        <w:t>辆，其中：主要领导干部用车</w:t>
      </w:r>
      <w:r>
        <w:rPr>
          <w:rFonts w:hint="eastAsia" w:ascii="仿宋_GB2312" w:eastAsia="仿宋_GB2312"/>
          <w:b/>
          <w:sz w:val="32"/>
          <w:szCs w:val="32"/>
        </w:rPr>
        <w:t>0</w:t>
      </w:r>
      <w:r>
        <w:rPr>
          <w:rFonts w:hint="eastAsia" w:ascii="仿宋_GB2312" w:eastAsia="仿宋_GB2312"/>
          <w:sz w:val="32"/>
          <w:szCs w:val="32"/>
        </w:rPr>
        <w:t>辆、机要通信用车</w:t>
      </w:r>
      <w:r>
        <w:rPr>
          <w:rFonts w:hint="eastAsia" w:ascii="仿宋_GB2312" w:eastAsia="仿宋_GB2312"/>
          <w:b/>
          <w:sz w:val="32"/>
          <w:szCs w:val="32"/>
        </w:rPr>
        <w:t>0</w:t>
      </w:r>
      <w:r>
        <w:rPr>
          <w:rFonts w:hint="eastAsia" w:ascii="仿宋_GB2312" w:eastAsia="仿宋_GB2312"/>
          <w:sz w:val="32"/>
          <w:szCs w:val="32"/>
        </w:rPr>
        <w:t>辆、应急保障用车</w:t>
      </w:r>
      <w:r>
        <w:rPr>
          <w:rFonts w:hint="eastAsia" w:ascii="仿宋_GB2312" w:eastAsia="仿宋_GB2312"/>
          <w:b/>
          <w:sz w:val="32"/>
          <w:szCs w:val="32"/>
        </w:rPr>
        <w:t>0</w:t>
      </w:r>
      <w:r>
        <w:rPr>
          <w:rFonts w:hint="eastAsia" w:ascii="仿宋_GB2312" w:eastAsia="仿宋_GB2312"/>
          <w:sz w:val="32"/>
          <w:szCs w:val="32"/>
        </w:rPr>
        <w:t>辆、其他用车</w:t>
      </w:r>
      <w:r>
        <w:rPr>
          <w:rFonts w:hint="eastAsia" w:ascii="仿宋_GB2312" w:eastAsia="仿宋_GB2312"/>
          <w:b/>
          <w:sz w:val="32"/>
          <w:szCs w:val="32"/>
        </w:rPr>
        <w:t>0</w:t>
      </w:r>
      <w:r>
        <w:rPr>
          <w:rFonts w:hint="eastAsia" w:ascii="仿宋_GB2312" w:eastAsia="仿宋_GB2312"/>
          <w:sz w:val="32"/>
          <w:szCs w:val="32"/>
        </w:rPr>
        <w:t>辆，单价</w:t>
      </w:r>
      <w:r>
        <w:rPr>
          <w:rFonts w:ascii="仿宋_GB2312" w:eastAsia="仿宋_GB2312"/>
          <w:sz w:val="32"/>
          <w:szCs w:val="32"/>
        </w:rPr>
        <w:t>100</w:t>
      </w:r>
      <w:r>
        <w:rPr>
          <w:rFonts w:hint="eastAsia" w:ascii="仿宋_GB2312" w:eastAsia="仿宋_GB2312"/>
          <w:sz w:val="32"/>
          <w:szCs w:val="32"/>
        </w:rPr>
        <w:t>万元以上设备（不含车辆）</w:t>
      </w:r>
      <w:r>
        <w:rPr>
          <w:rFonts w:ascii="仿宋_GB2312" w:eastAsia="仿宋_GB2312"/>
          <w:b/>
          <w:sz w:val="32"/>
          <w:szCs w:val="32"/>
        </w:rPr>
        <w:t>0</w:t>
      </w:r>
      <w:r>
        <w:rPr>
          <w:rFonts w:hint="eastAsia" w:ascii="仿宋_GB2312" w:eastAsia="仿宋_GB2312"/>
          <w:sz w:val="32"/>
          <w:szCs w:val="32"/>
        </w:rPr>
        <w:t>台（套）。</w:t>
      </w:r>
    </w:p>
    <w:p w14:paraId="0B1DC63D">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14:paraId="1B04D243">
      <w:pPr>
        <w:spacing w:line="600" w:lineRule="exact"/>
        <w:ind w:firstLine="640" w:firstLineChars="200"/>
        <w:rPr>
          <w:rFonts w:ascii="仿宋_GB2312" w:eastAsia="仿宋_GB2312"/>
          <w:sz w:val="32"/>
          <w:szCs w:val="32"/>
        </w:rPr>
      </w:pPr>
      <w:r>
        <w:rPr>
          <w:rFonts w:hint="eastAsia" w:ascii="仿宋_GB2312" w:eastAsia="仿宋_GB2312"/>
          <w:sz w:val="32"/>
          <w:szCs w:val="32"/>
        </w:rPr>
        <w:t>本单位本年度对基本支出预算经费及按基本支出途径支付的专项业务预算经费，根据预算绩效管理要求在2023年度预算编制</w:t>
      </w:r>
      <w:r>
        <w:rPr>
          <w:rFonts w:hint="eastAsia" w:ascii="仿宋_GB2312" w:eastAsia="仿宋_GB2312"/>
          <w:sz w:val="32"/>
          <w:szCs w:val="32"/>
          <w:lang w:eastAsia="zh-CN"/>
        </w:rPr>
        <w:t>时</w:t>
      </w:r>
      <w:r>
        <w:rPr>
          <w:rFonts w:hint="eastAsia" w:ascii="仿宋_GB2312" w:eastAsia="仿宋_GB2312"/>
          <w:sz w:val="32"/>
          <w:szCs w:val="32"/>
        </w:rPr>
        <w:t>进行了绩效目标编制，并开展绩效监控、绩效自评。绩效评价表详见第四部分附件。</w:t>
      </w:r>
    </w:p>
    <w:p w14:paraId="60E05542">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p>
    <w:p w14:paraId="7F315902">
      <w:pPr>
        <w:numPr>
          <w:ilvl w:val="0"/>
          <w:numId w:val="4"/>
        </w:numPr>
        <w:spacing w:line="600" w:lineRule="exact"/>
        <w:ind w:firstLine="660" w:firstLineChars="150"/>
        <w:jc w:val="center"/>
        <w:outlineLvl w:val="0"/>
        <w:rPr>
          <w:rStyle w:val="28"/>
          <w:rFonts w:ascii="黑体" w:hAnsi="黑体" w:eastAsia="黑体"/>
          <w:b w:val="0"/>
        </w:rPr>
      </w:pPr>
      <w:bookmarkStart w:id="49" w:name="_Toc15377225"/>
      <w:bookmarkStart w:id="50" w:name="_Toc15396613"/>
      <w:r>
        <w:rPr>
          <w:rFonts w:hint="eastAsia" w:ascii="黑体" w:hAnsi="黑体" w:eastAsia="黑体"/>
          <w:sz w:val="44"/>
          <w:szCs w:val="44"/>
        </w:rPr>
        <w:t>名</w:t>
      </w:r>
      <w:r>
        <w:rPr>
          <w:rStyle w:val="28"/>
          <w:rFonts w:hint="eastAsia" w:ascii="黑体" w:hAnsi="黑体" w:eastAsia="黑体"/>
          <w:b w:val="0"/>
        </w:rPr>
        <w:t>词解释</w:t>
      </w:r>
      <w:bookmarkEnd w:id="49"/>
      <w:bookmarkEnd w:id="50"/>
    </w:p>
    <w:p w14:paraId="34D9FFD1">
      <w:pPr>
        <w:spacing w:line="600" w:lineRule="exact"/>
        <w:jc w:val="left"/>
        <w:rPr>
          <w:rFonts w:ascii="宋体"/>
          <w:b/>
          <w:sz w:val="44"/>
          <w:szCs w:val="44"/>
        </w:rPr>
      </w:pPr>
    </w:p>
    <w:p w14:paraId="1E196A7F">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14:paraId="7DB1F1D9">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w:t>
      </w:r>
    </w:p>
    <w:p w14:paraId="7E9168C2">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w:t>
      </w:r>
    </w:p>
    <w:p w14:paraId="2E4C5BA2">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w:t>
      </w:r>
      <w:r>
        <w:rPr>
          <w:rFonts w:ascii="仿宋_GB2312" w:eastAsia="仿宋_GB2312"/>
          <w:color w:val="auto"/>
          <w:sz w:val="32"/>
          <w:szCs w:val="32"/>
        </w:rPr>
        <w:t xml:space="preserve"> </w:t>
      </w:r>
    </w:p>
    <w:p w14:paraId="2EC5C27A">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5</w:t>
      </w:r>
      <w:r>
        <w:rPr>
          <w:rFonts w:ascii="仿宋_GB2312" w:eastAsia="仿宋_GB2312"/>
          <w:color w:val="auto"/>
          <w:sz w:val="32"/>
          <w:szCs w:val="32"/>
        </w:rPr>
        <w:t>.</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14:paraId="3A49AC97">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6</w:t>
      </w:r>
      <w:r>
        <w:rPr>
          <w:rFonts w:ascii="仿宋_GB2312" w:eastAsia="仿宋_GB2312"/>
          <w:color w:val="auto"/>
          <w:sz w:val="32"/>
          <w:szCs w:val="32"/>
        </w:rPr>
        <w:t>.</w:t>
      </w:r>
      <w:r>
        <w:rPr>
          <w:rFonts w:hint="eastAsia" w:ascii="仿宋_GB2312" w:eastAsia="仿宋_GB2312"/>
          <w:color w:val="auto"/>
          <w:sz w:val="32"/>
          <w:szCs w:val="32"/>
        </w:rPr>
        <w:t>结余分配：指事业单位按照会计制度规定缴纳的所得税、提取的专用结余以及转入非财政拨款结余的金额等。</w:t>
      </w:r>
    </w:p>
    <w:p w14:paraId="6FBF9EF3">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7.年末结转和结余：指单位按有关规定结转到下年或以后年度继续使用的资金。</w:t>
      </w:r>
    </w:p>
    <w:p w14:paraId="33F6F730">
      <w:pPr>
        <w:ind w:firstLine="640" w:firstLineChars="200"/>
        <w:rPr>
          <w:rFonts w:ascii="仿宋_GB2312" w:eastAsia="仿宋_GB2312"/>
          <w:sz w:val="32"/>
          <w:szCs w:val="32"/>
        </w:rPr>
      </w:pPr>
      <w:r>
        <w:rPr>
          <w:rFonts w:hint="eastAsia" w:ascii="仿宋_GB2312" w:eastAsia="仿宋_GB2312"/>
          <w:color w:val="000000"/>
          <w:sz w:val="32"/>
          <w:szCs w:val="32"/>
        </w:rPr>
        <w:t>8</w:t>
      </w:r>
      <w:r>
        <w:rPr>
          <w:rFonts w:ascii="仿宋_GB2312" w:eastAsia="仿宋_GB2312"/>
          <w:color w:val="000000"/>
          <w:sz w:val="32"/>
          <w:szCs w:val="32"/>
        </w:rPr>
        <w:t>.</w:t>
      </w:r>
      <w:r>
        <w:rPr>
          <w:rFonts w:hint="eastAsia" w:ascii="仿宋_GB2312" w:eastAsia="仿宋_GB2312"/>
          <w:sz w:val="32"/>
          <w:szCs w:val="32"/>
        </w:rPr>
        <w:t>社会保障和就业（208）行政事业单位养老支出（05）事业单位离退休（02）：指反映实行归口管理的事业单位开支的离退休经费。</w:t>
      </w:r>
    </w:p>
    <w:p w14:paraId="12F07EBF">
      <w:pPr>
        <w:ind w:firstLine="640" w:firstLineChars="200"/>
        <w:rPr>
          <w:rFonts w:ascii="仿宋_GB2312" w:eastAsia="仿宋_GB2312"/>
          <w:color w:val="000000"/>
          <w:sz w:val="32"/>
          <w:szCs w:val="32"/>
        </w:rPr>
      </w:pPr>
      <w:r>
        <w:rPr>
          <w:rFonts w:hint="eastAsia" w:ascii="仿宋_GB2312" w:eastAsia="仿宋_GB2312"/>
          <w:color w:val="000000"/>
          <w:sz w:val="32"/>
          <w:szCs w:val="32"/>
        </w:rPr>
        <w:t>9</w:t>
      </w:r>
      <w:r>
        <w:rPr>
          <w:rFonts w:ascii="仿宋_GB2312" w:eastAsia="仿宋_GB2312"/>
          <w:color w:val="000000"/>
          <w:sz w:val="32"/>
          <w:szCs w:val="32"/>
        </w:rPr>
        <w:t>.</w:t>
      </w:r>
      <w:r>
        <w:rPr>
          <w:rFonts w:hint="eastAsia" w:ascii="仿宋_GB2312" w:eastAsia="仿宋_GB2312"/>
          <w:sz w:val="32"/>
          <w:szCs w:val="32"/>
        </w:rPr>
        <w:t>社会保障和就业（208）行政事业单位养老支出（05）</w:t>
      </w:r>
      <w:r>
        <w:rPr>
          <w:rFonts w:hint="eastAsia" w:ascii="仿宋_GB2312" w:hAnsi="仿宋_GB2312" w:eastAsia="仿宋_GB2312" w:cs="仿宋_GB2312"/>
          <w:sz w:val="32"/>
          <w:szCs w:val="32"/>
        </w:rPr>
        <w:t>机关事业单位基本养老保险缴费支出</w:t>
      </w:r>
      <w:r>
        <w:rPr>
          <w:rFonts w:hint="eastAsia" w:ascii="仿宋_GB2312" w:eastAsia="仿宋_GB2312"/>
          <w:sz w:val="32"/>
          <w:szCs w:val="32"/>
        </w:rPr>
        <w:t>（05）：反映机关事业单位实施养老保险制度由单位缴纳的基本养老保险费支出。</w:t>
      </w:r>
    </w:p>
    <w:p w14:paraId="33C7DE48">
      <w:pPr>
        <w:ind w:firstLine="640" w:firstLineChars="200"/>
        <w:rPr>
          <w:rFonts w:ascii="仿宋_GB2312" w:eastAsia="仿宋_GB2312"/>
          <w:color w:val="000000"/>
          <w:sz w:val="32"/>
          <w:szCs w:val="32"/>
        </w:rPr>
      </w:pPr>
      <w:r>
        <w:rPr>
          <w:rFonts w:hint="eastAsia" w:ascii="仿宋_GB2312" w:eastAsia="仿宋_GB2312"/>
          <w:color w:val="000000"/>
          <w:sz w:val="32"/>
          <w:szCs w:val="32"/>
        </w:rPr>
        <w:t>10.</w:t>
      </w:r>
      <w:r>
        <w:rPr>
          <w:rFonts w:hint="eastAsia" w:ascii="仿宋_GB2312" w:eastAsia="仿宋_GB2312"/>
          <w:sz w:val="32"/>
          <w:szCs w:val="32"/>
        </w:rPr>
        <w:t xml:space="preserve"> 社会保障和就业（208）行政事业单位养老支出（05）机关事业单位职业年金缴费支出(06): 反映机关事业单位实施养老保险制度由单位缴纳的职业年金支出。</w:t>
      </w:r>
    </w:p>
    <w:p w14:paraId="4D176610">
      <w:pPr>
        <w:ind w:firstLine="640" w:firstLineChars="200"/>
        <w:rPr>
          <w:rFonts w:ascii="仿宋_GB2312" w:eastAsia="仿宋_GB2312"/>
          <w:color w:val="000000"/>
          <w:sz w:val="32"/>
          <w:szCs w:val="32"/>
        </w:rPr>
      </w:pPr>
      <w:r>
        <w:rPr>
          <w:rFonts w:hint="eastAsia" w:ascii="仿宋_GB2312" w:eastAsia="仿宋_GB2312"/>
          <w:color w:val="000000"/>
          <w:sz w:val="32"/>
          <w:szCs w:val="32"/>
        </w:rPr>
        <w:t>11.</w:t>
      </w:r>
      <w:r>
        <w:rPr>
          <w:rFonts w:hint="eastAsia" w:ascii="仿宋_GB2312" w:eastAsia="仿宋_GB2312"/>
          <w:sz w:val="32"/>
          <w:szCs w:val="32"/>
        </w:rPr>
        <w:t>社会保障和就业（208）行政事业单位养老支出（05）其他行政事业单位养老支出（99）：指其他用于行政事业单位养老方面的支出。</w:t>
      </w:r>
    </w:p>
    <w:p w14:paraId="66C8FCEC">
      <w:pPr>
        <w:ind w:firstLine="640" w:firstLineChars="200"/>
        <w:rPr>
          <w:rFonts w:ascii="仿宋_GB2312" w:eastAsia="仿宋_GB2312"/>
          <w:color w:val="000000"/>
          <w:sz w:val="32"/>
          <w:szCs w:val="32"/>
        </w:rPr>
      </w:pPr>
      <w:r>
        <w:rPr>
          <w:rFonts w:hint="eastAsia" w:ascii="仿宋_GB2312" w:eastAsia="仿宋_GB2312"/>
          <w:color w:val="000000"/>
          <w:sz w:val="32"/>
          <w:szCs w:val="32"/>
        </w:rPr>
        <w:t>12.社会保障和就业支出（208）抚恤（08）死亡抚恤（01）：</w:t>
      </w:r>
      <w:r>
        <w:rPr>
          <w:rFonts w:hint="eastAsia" w:ascii="仿宋_GB2312" w:eastAsia="仿宋_GB2312"/>
          <w:color w:val="000000"/>
          <w:sz w:val="32"/>
          <w:szCs w:val="32"/>
          <w:lang w:eastAsia="zh-CN"/>
        </w:rPr>
        <w:t>反映</w:t>
      </w:r>
      <w:r>
        <w:rPr>
          <w:rFonts w:hint="eastAsia" w:ascii="仿宋_GB2312" w:eastAsia="仿宋_GB2312"/>
          <w:color w:val="000000"/>
          <w:sz w:val="32"/>
          <w:szCs w:val="32"/>
        </w:rPr>
        <w:t>用于烈士和牺牲、病故人员家属的一次性和定期抚恤金以及丧葬补助费。</w:t>
      </w:r>
    </w:p>
    <w:p w14:paraId="3B21F4AE">
      <w:pPr>
        <w:ind w:firstLine="640" w:firstLineChars="200"/>
        <w:rPr>
          <w:rFonts w:ascii="仿宋_GB2312" w:eastAsia="仿宋_GB2312"/>
          <w:color w:val="000000"/>
          <w:sz w:val="32"/>
          <w:szCs w:val="32"/>
        </w:rPr>
      </w:pPr>
      <w:r>
        <w:rPr>
          <w:rFonts w:hint="eastAsia" w:ascii="仿宋_GB2312" w:eastAsia="仿宋_GB2312"/>
          <w:color w:val="000000"/>
          <w:sz w:val="32"/>
          <w:szCs w:val="32"/>
        </w:rPr>
        <w:t>13.社会保障和就业支出（208）抚恤（08）伤残抚恤（02）：</w:t>
      </w:r>
      <w:r>
        <w:rPr>
          <w:rFonts w:hint="eastAsia" w:ascii="仿宋_GB2312" w:eastAsia="仿宋_GB2312"/>
          <w:color w:val="000000"/>
          <w:sz w:val="32"/>
          <w:szCs w:val="32"/>
          <w:lang w:eastAsia="zh-CN"/>
        </w:rPr>
        <w:t>反映</w:t>
      </w:r>
      <w:r>
        <w:rPr>
          <w:rFonts w:hint="eastAsia" w:ascii="仿宋_GB2312" w:eastAsia="仿宋_GB2312"/>
          <w:color w:val="000000"/>
          <w:sz w:val="32"/>
          <w:szCs w:val="32"/>
        </w:rPr>
        <w:t>用于伤残人员的抚恤金和开支的各种伤残补助费。</w:t>
      </w:r>
    </w:p>
    <w:p w14:paraId="48460E9F">
      <w:pPr>
        <w:ind w:firstLine="640" w:firstLineChars="200"/>
        <w:rPr>
          <w:rFonts w:ascii="仿宋_GB2312" w:eastAsia="仿宋_GB2312"/>
          <w:color w:val="000000"/>
          <w:sz w:val="32"/>
          <w:szCs w:val="32"/>
        </w:rPr>
      </w:pPr>
      <w:r>
        <w:rPr>
          <w:rFonts w:hint="eastAsia" w:ascii="仿宋_GB2312" w:eastAsia="仿宋_GB2312"/>
          <w:color w:val="000000"/>
          <w:sz w:val="32"/>
          <w:szCs w:val="32"/>
        </w:rPr>
        <w:t>14.社会保障和就业支出（208）其他社会保障和就业支出（99）其他社会保障和就业支出（99）：反映用于其他社会保障和就业方面的支出。</w:t>
      </w:r>
    </w:p>
    <w:p w14:paraId="03782B89">
      <w:pPr>
        <w:ind w:firstLine="640" w:firstLineChars="200"/>
        <w:rPr>
          <w:rFonts w:ascii="仿宋_GB2312" w:eastAsia="仿宋_GB2312"/>
          <w:color w:val="000000"/>
          <w:sz w:val="32"/>
          <w:szCs w:val="32"/>
        </w:rPr>
      </w:pPr>
      <w:r>
        <w:rPr>
          <w:rFonts w:hint="eastAsia" w:ascii="仿宋_GB2312" w:eastAsia="仿宋_GB2312"/>
          <w:color w:val="000000"/>
          <w:sz w:val="32"/>
          <w:szCs w:val="32"/>
        </w:rPr>
        <w:t>15、卫生健康支出（210）行政事业单位医疗（11）事业单位医疗（02）：指反映财政部门集中安排的事业单位基本医疗保险经费，未参加医疗保险的事业单位的公费医疗经费，按国家规定享受离休人员待遇的医疗经费。</w:t>
      </w:r>
    </w:p>
    <w:p w14:paraId="7B8B306D">
      <w:pPr>
        <w:ind w:firstLine="640" w:firstLineChars="20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6</w:t>
      </w:r>
      <w:r>
        <w:rPr>
          <w:rFonts w:ascii="仿宋_GB2312" w:eastAsia="仿宋_GB2312"/>
          <w:color w:val="000000"/>
          <w:sz w:val="32"/>
          <w:szCs w:val="32"/>
        </w:rPr>
        <w:t>.</w:t>
      </w:r>
      <w:r>
        <w:rPr>
          <w:rFonts w:hint="eastAsia" w:ascii="仿宋_GB2312" w:eastAsia="仿宋_GB2312"/>
          <w:sz w:val="32"/>
          <w:szCs w:val="32"/>
        </w:rPr>
        <w:t>农林水支出（213）农业农村（01）事业运行（04）：反映用于</w:t>
      </w:r>
      <w:r>
        <w:rPr>
          <w:rFonts w:hint="eastAsia" w:ascii="仿宋_GB2312" w:eastAsia="仿宋_GB2312"/>
          <w:sz w:val="32"/>
          <w:szCs w:val="32"/>
          <w:lang w:eastAsia="zh-CN"/>
        </w:rPr>
        <w:t>事业</w:t>
      </w:r>
      <w:r>
        <w:rPr>
          <w:rFonts w:hint="eastAsia" w:ascii="仿宋_GB2312" w:eastAsia="仿宋_GB2312"/>
          <w:sz w:val="32"/>
          <w:szCs w:val="32"/>
        </w:rPr>
        <w:t>单位基本支出，事业单位设施、系统运行与资产维护等方面的支出。</w:t>
      </w:r>
    </w:p>
    <w:p w14:paraId="023E324E">
      <w:pPr>
        <w:ind w:firstLine="640" w:firstLineChars="200"/>
        <w:rPr>
          <w:rFonts w:ascii="仿宋_GB2312" w:eastAsia="仿宋_GB2312"/>
          <w:sz w:val="32"/>
          <w:szCs w:val="32"/>
        </w:rPr>
      </w:pPr>
      <w:r>
        <w:rPr>
          <w:rFonts w:hint="eastAsia" w:ascii="仿宋_GB2312" w:eastAsia="仿宋_GB2312"/>
          <w:color w:val="000000"/>
          <w:sz w:val="32"/>
          <w:szCs w:val="32"/>
        </w:rPr>
        <w:t>17</w:t>
      </w:r>
      <w:r>
        <w:rPr>
          <w:rFonts w:ascii="仿宋_GB2312" w:eastAsia="仿宋_GB2312"/>
          <w:color w:val="000000"/>
          <w:sz w:val="32"/>
          <w:szCs w:val="32"/>
        </w:rPr>
        <w:t>.</w:t>
      </w:r>
      <w:r>
        <w:rPr>
          <w:rFonts w:hint="eastAsia" w:ascii="仿宋_GB2312" w:eastAsia="仿宋_GB2312"/>
          <w:sz w:val="32"/>
          <w:szCs w:val="32"/>
        </w:rPr>
        <w:t>农林水支出（213）林业和草原（02）事业机构（04）：指反映用于林业和草原事业单位的基本支出。</w:t>
      </w:r>
    </w:p>
    <w:p w14:paraId="56337483">
      <w:pPr>
        <w:ind w:firstLine="640" w:firstLineChars="200"/>
        <w:rPr>
          <w:rFonts w:ascii="仿宋_GB2312" w:eastAsia="仿宋_GB2312"/>
          <w:sz w:val="32"/>
          <w:szCs w:val="32"/>
        </w:rPr>
      </w:pPr>
      <w:r>
        <w:rPr>
          <w:rFonts w:hint="eastAsia" w:ascii="仿宋_GB2312" w:eastAsia="仿宋_GB2312"/>
          <w:color w:val="000000"/>
          <w:sz w:val="32"/>
          <w:szCs w:val="32"/>
        </w:rPr>
        <w:t>18</w:t>
      </w:r>
      <w:r>
        <w:rPr>
          <w:rFonts w:ascii="仿宋_GB2312" w:eastAsia="仿宋_GB2312"/>
          <w:color w:val="000000"/>
          <w:sz w:val="32"/>
          <w:szCs w:val="32"/>
        </w:rPr>
        <w:t>.</w:t>
      </w:r>
      <w:r>
        <w:rPr>
          <w:rFonts w:hint="eastAsia" w:ascii="仿宋_GB2312" w:eastAsia="仿宋_GB2312"/>
          <w:sz w:val="32"/>
          <w:szCs w:val="32"/>
        </w:rPr>
        <w:t>住房保障支出（221）住房改革支出（02）住房公积金（01）：指反映行政事业单位按人力资源和社会保障部、财政部</w:t>
      </w:r>
      <w:r>
        <w:rPr>
          <w:rFonts w:hint="eastAsia" w:ascii="仿宋_GB2312" w:eastAsia="仿宋_GB2312"/>
          <w:sz w:val="32"/>
          <w:szCs w:val="32"/>
          <w:lang w:eastAsia="zh-CN"/>
        </w:rPr>
        <w:t>确</w:t>
      </w:r>
      <w:r>
        <w:rPr>
          <w:rFonts w:hint="eastAsia" w:ascii="仿宋_GB2312" w:eastAsia="仿宋_GB2312"/>
          <w:sz w:val="32"/>
          <w:szCs w:val="32"/>
        </w:rPr>
        <w:t>定的基本工资和津补贴以及规定比例为职工缴纳的住房公积金。</w:t>
      </w:r>
    </w:p>
    <w:p w14:paraId="1928C5BB">
      <w:pPr>
        <w:ind w:firstLine="640" w:firstLineChars="200"/>
        <w:rPr>
          <w:rFonts w:ascii="仿宋_GB2312" w:eastAsia="仿宋_GB2312"/>
          <w:sz w:val="32"/>
          <w:szCs w:val="32"/>
        </w:rPr>
      </w:pPr>
      <w:r>
        <w:rPr>
          <w:rFonts w:hint="eastAsia" w:ascii="仿宋_GB2312" w:eastAsia="仿宋_GB2312"/>
          <w:sz w:val="32"/>
          <w:szCs w:val="32"/>
        </w:rPr>
        <w:t>19</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14:paraId="6D9A8943">
      <w:pPr>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0</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14:paraId="5AEF447E">
      <w:pPr>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经营支出：指事业单位在专业业务活动及其辅助活动之外开展非独立核算经营活动发生的支出。</w:t>
      </w:r>
    </w:p>
    <w:p w14:paraId="491C2AEB">
      <w:pPr>
        <w:ind w:firstLine="640" w:firstLineChars="200"/>
        <w:rPr>
          <w:rFonts w:ascii="仿宋_GB2312" w:eastAsia="仿宋_GB2312"/>
          <w:sz w:val="32"/>
          <w:szCs w:val="32"/>
        </w:rPr>
      </w:pPr>
      <w:r>
        <w:rPr>
          <w:rFonts w:hint="eastAsia" w:ascii="仿宋_GB2312" w:eastAsia="仿宋_GB2312"/>
          <w:sz w:val="32"/>
          <w:szCs w:val="32"/>
        </w:rPr>
        <w:t>22</w:t>
      </w:r>
      <w:r>
        <w:rPr>
          <w:rFonts w:ascii="仿宋_GB2312" w:eastAsia="仿宋_GB2312"/>
          <w:sz w:val="32"/>
          <w:szCs w:val="32"/>
        </w:rPr>
        <w:t>.</w:t>
      </w:r>
      <w:r>
        <w:rPr>
          <w:rFonts w:hint="eastAsia" w:ascii="仿宋_GB2312" w:eastAsia="仿宋_GB2312"/>
          <w:sz w:val="32"/>
          <w:szCs w:val="32"/>
        </w:rPr>
        <w:t>上缴上级支出：指事业单位按照财政部门和主管部门的规定上缴上级单位的支出。</w:t>
      </w:r>
    </w:p>
    <w:p w14:paraId="01AC9A97">
      <w:pPr>
        <w:ind w:firstLine="640"/>
        <w:rPr>
          <w:rFonts w:ascii="仿宋_GB2312" w:eastAsia="仿宋_GB2312"/>
          <w:sz w:val="32"/>
          <w:szCs w:val="32"/>
        </w:rPr>
      </w:pPr>
      <w:r>
        <w:rPr>
          <w:rFonts w:hint="eastAsia" w:ascii="仿宋_GB2312" w:eastAsia="仿宋_GB2312"/>
          <w:color w:val="000000"/>
          <w:sz w:val="32"/>
          <w:szCs w:val="32"/>
        </w:rPr>
        <w:t>23</w:t>
      </w:r>
      <w:r>
        <w:rPr>
          <w:rFonts w:ascii="仿宋_GB2312" w:eastAsia="仿宋_GB2312"/>
          <w:color w:val="000000"/>
          <w:sz w:val="32"/>
          <w:szCs w:val="32"/>
        </w:rPr>
        <w:t>.</w:t>
      </w:r>
      <w:r>
        <w:rPr>
          <w:rFonts w:hint="eastAsia" w:ascii="仿宋_GB2312" w:eastAsia="仿宋_GB2312"/>
          <w:sz w:val="32"/>
          <w:szCs w:val="32"/>
        </w:rPr>
        <w:t>对附属单位补助支出：指事业单位用财政补助收入之外的收入对附属单位补助发生的支出。</w:t>
      </w:r>
    </w:p>
    <w:p w14:paraId="79CEF4A9">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24</w:t>
      </w:r>
      <w:r>
        <w:rPr>
          <w:rFonts w:ascii="仿宋_GB2312" w:eastAsia="仿宋_GB2312"/>
          <w:color w:val="auto"/>
          <w:sz w:val="32"/>
          <w:szCs w:val="32"/>
        </w:rPr>
        <w:t>.</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w:t>
      </w:r>
      <w:r>
        <w:rPr>
          <w:rFonts w:hint="eastAsia" w:ascii="仿宋_GB2312" w:eastAsia="仿宋_GB2312"/>
          <w:color w:val="auto"/>
          <w:sz w:val="32"/>
          <w:szCs w:val="32"/>
          <w:lang w:eastAsia="zh-CN"/>
        </w:rPr>
        <w:t>合</w:t>
      </w:r>
      <w:r>
        <w:rPr>
          <w:rFonts w:hint="eastAsia" w:ascii="仿宋_GB2312" w:eastAsia="仿宋_GB2312"/>
          <w:color w:val="auto"/>
          <w:sz w:val="32"/>
          <w:szCs w:val="32"/>
        </w:rPr>
        <w:t>规开支的各类公务接待（含外宾接待）支出。</w:t>
      </w:r>
    </w:p>
    <w:p w14:paraId="697F319E">
      <w:pPr>
        <w:pStyle w:val="26"/>
        <w:spacing w:line="560" w:lineRule="exact"/>
        <w:ind w:firstLine="640" w:firstLineChars="200"/>
        <w:rPr>
          <w:rFonts w:ascii="仿宋_GB2312" w:eastAsia="仿宋_GB2312" w:cs="黑体"/>
          <w:color w:val="auto"/>
          <w:sz w:val="32"/>
          <w:szCs w:val="32"/>
        </w:rPr>
      </w:pPr>
    </w:p>
    <w:p w14:paraId="7D4F8DAF">
      <w:pPr>
        <w:spacing w:line="600" w:lineRule="exact"/>
        <w:jc w:val="center"/>
        <w:outlineLvl w:val="0"/>
        <w:rPr>
          <w:rStyle w:val="28"/>
          <w:rFonts w:ascii="黑体" w:hAnsi="黑体" w:eastAsia="黑体"/>
          <w:b w:val="0"/>
        </w:rPr>
      </w:pPr>
      <w:bookmarkStart w:id="51" w:name="_Toc15377226"/>
      <w:r>
        <w:rPr>
          <w:rFonts w:ascii="宋体"/>
          <w:b/>
          <w:sz w:val="44"/>
          <w:szCs w:val="44"/>
        </w:rPr>
        <w:br w:type="page"/>
      </w:r>
      <w:bookmarkStart w:id="52" w:name="_Toc15396614"/>
      <w:r>
        <w:rPr>
          <w:rFonts w:hint="eastAsia" w:ascii="黑体" w:hAnsi="黑体" w:eastAsia="黑体"/>
          <w:sz w:val="44"/>
          <w:szCs w:val="44"/>
        </w:rPr>
        <w:t>第</w:t>
      </w:r>
      <w:r>
        <w:rPr>
          <w:rStyle w:val="28"/>
          <w:rFonts w:hint="eastAsia" w:ascii="黑体" w:hAnsi="黑体" w:eastAsia="黑体"/>
          <w:b w:val="0"/>
        </w:rPr>
        <w:t>四部分 附件</w:t>
      </w:r>
      <w:bookmarkEnd w:id="52"/>
    </w:p>
    <w:p w14:paraId="0DA24818">
      <w:pPr>
        <w:spacing w:line="572" w:lineRule="exact"/>
        <w:jc w:val="left"/>
        <w:outlineLvl w:val="0"/>
        <w:rPr>
          <w:rFonts w:ascii="仿宋_GB2312" w:hAnsi="仿宋_GB2312" w:eastAsia="仿宋_GB2312" w:cs="仿宋_GB2312"/>
          <w:sz w:val="32"/>
          <w:szCs w:val="32"/>
        </w:rPr>
      </w:pPr>
    </w:p>
    <w:p w14:paraId="4386C547">
      <w:pPr>
        <w:ind w:firstLine="3092" w:firstLineChars="700"/>
        <w:rPr>
          <w:rFonts w:ascii="仿宋" w:hAnsi="仿宋" w:eastAsia="仿宋" w:cs="仿宋_GB2312"/>
          <w:b/>
          <w:bCs/>
          <w:sz w:val="44"/>
          <w:szCs w:val="44"/>
        </w:rPr>
      </w:pPr>
      <w:bookmarkStart w:id="53" w:name="_Toc15396618"/>
      <w:r>
        <w:rPr>
          <w:rFonts w:hint="eastAsia" w:ascii="仿宋" w:hAnsi="仿宋" w:eastAsia="仿宋" w:cs="仿宋_GB2312"/>
          <w:b/>
          <w:bCs/>
          <w:sz w:val="44"/>
          <w:szCs w:val="44"/>
        </w:rPr>
        <w:t>大竹县林业站</w:t>
      </w:r>
    </w:p>
    <w:p w14:paraId="130852A9">
      <w:pPr>
        <w:ind w:firstLine="2650" w:firstLineChars="600"/>
        <w:rPr>
          <w:rFonts w:ascii="仿宋" w:hAnsi="仿宋" w:eastAsia="仿宋" w:cs="仿宋_GB2312"/>
          <w:b/>
          <w:bCs/>
          <w:sz w:val="44"/>
          <w:szCs w:val="44"/>
        </w:rPr>
      </w:pPr>
      <w:r>
        <w:rPr>
          <w:rFonts w:ascii="仿宋" w:hAnsi="仿宋" w:eastAsia="仿宋" w:cs="仿宋_GB2312"/>
          <w:b/>
          <w:bCs/>
          <w:sz w:val="44"/>
          <w:szCs w:val="44"/>
        </w:rPr>
        <w:t>预算绩效</w:t>
      </w:r>
      <w:r>
        <w:rPr>
          <w:rFonts w:hint="eastAsia" w:ascii="仿宋" w:hAnsi="仿宋" w:eastAsia="仿宋" w:cs="仿宋_GB2312"/>
          <w:b/>
          <w:bCs/>
          <w:sz w:val="44"/>
          <w:szCs w:val="44"/>
        </w:rPr>
        <w:t>评价</w:t>
      </w:r>
      <w:r>
        <w:rPr>
          <w:rFonts w:ascii="仿宋" w:hAnsi="仿宋" w:eastAsia="仿宋" w:cs="仿宋_GB2312"/>
          <w:b/>
          <w:bCs/>
          <w:sz w:val="44"/>
          <w:szCs w:val="44"/>
        </w:rPr>
        <w:t>报告</w:t>
      </w:r>
    </w:p>
    <w:p w14:paraId="7182BA6F">
      <w:pPr>
        <w:widowControl/>
        <w:adjustRightInd w:val="0"/>
        <w:snapToGrid w:val="0"/>
        <w:spacing w:line="578" w:lineRule="exact"/>
        <w:ind w:firstLine="723" w:firstLineChars="200"/>
        <w:contextualSpacing/>
        <w:jc w:val="left"/>
        <w:rPr>
          <w:rFonts w:ascii="仿宋_GB2312" w:hAnsi="仿宋" w:eastAsia="仿宋_GB2312"/>
          <w:b/>
          <w:sz w:val="36"/>
          <w:szCs w:val="36"/>
        </w:rPr>
      </w:pPr>
      <w:r>
        <w:rPr>
          <w:rFonts w:hint="eastAsia" w:ascii="仿宋_GB2312" w:hAnsi="仿宋" w:eastAsia="仿宋_GB2312"/>
          <w:b/>
          <w:color w:val="000000"/>
          <w:kern w:val="0"/>
          <w:sz w:val="36"/>
          <w:szCs w:val="36"/>
          <w:shd w:val="clear" w:color="auto" w:fill="FFFFFF"/>
          <w:lang w:val="zh-CN"/>
        </w:rPr>
        <w:t>一、部门（单位）基本情况</w:t>
      </w:r>
    </w:p>
    <w:p w14:paraId="496E8685">
      <w:pPr>
        <w:ind w:firstLine="643" w:firstLineChars="200"/>
        <w:rPr>
          <w:rFonts w:ascii="仿宋_GB2312" w:hAnsi="仿宋" w:eastAsia="仿宋_GB2312"/>
          <w:b/>
          <w:bCs/>
          <w:color w:val="000000"/>
          <w:kern w:val="0"/>
          <w:sz w:val="32"/>
          <w:szCs w:val="32"/>
          <w:shd w:val="clear" w:color="auto" w:fill="FFFFFF"/>
          <w:lang w:val="zh-CN"/>
        </w:rPr>
      </w:pPr>
      <w:r>
        <w:rPr>
          <w:rFonts w:hint="eastAsia" w:ascii="仿宋_GB2312" w:hAnsi="仿宋" w:eastAsia="仿宋_GB2312"/>
          <w:b/>
          <w:bCs/>
          <w:color w:val="000000"/>
          <w:kern w:val="0"/>
          <w:sz w:val="32"/>
          <w:szCs w:val="32"/>
          <w:shd w:val="clear" w:color="auto" w:fill="FFFFFF"/>
          <w:lang w:val="zh-CN"/>
        </w:rPr>
        <w:t>（一）机构组成。</w:t>
      </w:r>
    </w:p>
    <w:p w14:paraId="067F7498">
      <w:pPr>
        <w:ind w:firstLine="640" w:firstLineChars="200"/>
        <w:rPr>
          <w:rFonts w:ascii="仿宋_GB2312" w:hAnsi="仿宋" w:eastAsia="仿宋_GB2312"/>
          <w:sz w:val="32"/>
          <w:szCs w:val="32"/>
        </w:rPr>
      </w:pPr>
      <w:r>
        <w:rPr>
          <w:rFonts w:hint="eastAsia" w:ascii="仿宋_GB2312" w:hAnsi="仿宋" w:eastAsia="仿宋_GB2312" w:cs="仿宋_GB2312"/>
          <w:sz w:val="32"/>
          <w:szCs w:val="32"/>
        </w:rPr>
        <w:t>大竹县林业站是大竹县自然资源局管理的全额拨款公益一类一级预算事业单位，执行政府会计制度，单位事业编制20人。</w:t>
      </w:r>
    </w:p>
    <w:p w14:paraId="6904E4F4">
      <w:pPr>
        <w:widowControl/>
        <w:numPr>
          <w:ilvl w:val="0"/>
          <w:numId w:val="5"/>
        </w:numPr>
        <w:adjustRightInd w:val="0"/>
        <w:snapToGrid w:val="0"/>
        <w:spacing w:line="578" w:lineRule="exact"/>
        <w:ind w:firstLine="643" w:firstLineChars="200"/>
        <w:contextualSpacing/>
        <w:jc w:val="left"/>
        <w:rPr>
          <w:rFonts w:ascii="仿宋_GB2312" w:hAnsi="仿宋" w:eastAsia="仿宋_GB2312"/>
          <w:b/>
          <w:bCs/>
          <w:color w:val="000000"/>
          <w:kern w:val="0"/>
          <w:sz w:val="32"/>
          <w:szCs w:val="32"/>
          <w:shd w:val="clear" w:color="auto" w:fill="FFFFFF"/>
          <w:lang w:val="zh-CN"/>
        </w:rPr>
      </w:pPr>
      <w:r>
        <w:rPr>
          <w:rFonts w:hint="eastAsia" w:ascii="仿宋_GB2312" w:hAnsi="仿宋" w:eastAsia="仿宋_GB2312"/>
          <w:b/>
          <w:bCs/>
          <w:color w:val="000000"/>
          <w:kern w:val="0"/>
          <w:sz w:val="32"/>
          <w:szCs w:val="32"/>
          <w:shd w:val="clear" w:color="auto" w:fill="FFFFFF"/>
          <w:lang w:val="zh-CN"/>
        </w:rPr>
        <w:t>机构职能。</w:t>
      </w:r>
    </w:p>
    <w:p w14:paraId="0CC764E6">
      <w:pPr>
        <w:widowControl/>
        <w:adjustRightInd w:val="0"/>
        <w:snapToGrid w:val="0"/>
        <w:spacing w:line="580" w:lineRule="exact"/>
        <w:ind w:firstLine="640" w:firstLineChars="200"/>
        <w:contextualSpacing/>
        <w:jc w:val="left"/>
        <w:rPr>
          <w:rFonts w:ascii="仿宋_GB2312" w:hAnsi="仿宋" w:eastAsia="仿宋_GB2312" w:cs="仿宋"/>
          <w:kern w:val="0"/>
          <w:sz w:val="32"/>
          <w:szCs w:val="32"/>
        </w:rPr>
      </w:pPr>
      <w:r>
        <w:rPr>
          <w:rFonts w:hint="eastAsia" w:ascii="仿宋_GB2312" w:hAnsi="仿宋" w:eastAsia="仿宋_GB2312" w:cs="仿宋"/>
          <w:kern w:val="0"/>
          <w:sz w:val="32"/>
          <w:szCs w:val="32"/>
        </w:rPr>
        <w:t>大竹县林业站的职能是负责指导全县林木种苗生产、经营活动；负责全县林木种苗新品种、新技术的推广、试验、示范工作；受县林业局委托负责全县林木种苗品种的质量管理工作等职能职责；负责林业科学技术推广与试验示范基地建设相关社会服务</w:t>
      </w:r>
    </w:p>
    <w:p w14:paraId="41915D10">
      <w:pPr>
        <w:widowControl/>
        <w:numPr>
          <w:ilvl w:val="0"/>
          <w:numId w:val="5"/>
        </w:numPr>
        <w:adjustRightInd w:val="0"/>
        <w:snapToGrid w:val="0"/>
        <w:spacing w:line="580" w:lineRule="exact"/>
        <w:ind w:firstLine="643" w:firstLineChars="200"/>
        <w:contextualSpacing/>
        <w:jc w:val="left"/>
        <w:rPr>
          <w:rFonts w:ascii="仿宋_GB2312" w:hAnsi="仿宋" w:eastAsia="仿宋_GB2312"/>
          <w:b/>
          <w:bCs/>
          <w:color w:val="000000"/>
          <w:kern w:val="0"/>
          <w:sz w:val="32"/>
          <w:szCs w:val="32"/>
          <w:shd w:val="clear" w:color="auto" w:fill="FFFFFF"/>
          <w:lang w:val="zh-CN"/>
        </w:rPr>
      </w:pPr>
      <w:r>
        <w:rPr>
          <w:rFonts w:hint="eastAsia" w:ascii="仿宋_GB2312" w:hAnsi="仿宋" w:eastAsia="仿宋_GB2312"/>
          <w:b/>
          <w:bCs/>
          <w:color w:val="000000"/>
          <w:kern w:val="0"/>
          <w:sz w:val="32"/>
          <w:szCs w:val="32"/>
          <w:shd w:val="clear" w:color="auto" w:fill="FFFFFF"/>
          <w:lang w:val="zh-CN"/>
        </w:rPr>
        <w:t>人员概况。</w:t>
      </w:r>
    </w:p>
    <w:p w14:paraId="3CD49C9A">
      <w:pPr>
        <w:widowControl/>
        <w:adjustRightInd w:val="0"/>
        <w:snapToGrid w:val="0"/>
        <w:spacing w:line="580" w:lineRule="exact"/>
        <w:ind w:firstLine="640" w:firstLineChars="200"/>
        <w:contextualSpacing/>
        <w:jc w:val="left"/>
        <w:rPr>
          <w:rFonts w:ascii="仿宋_GB2312" w:hAnsi="仿宋" w:eastAsia="仿宋_GB2312"/>
          <w:sz w:val="32"/>
          <w:szCs w:val="32"/>
        </w:rPr>
      </w:pPr>
      <w:r>
        <w:rPr>
          <w:rFonts w:hint="eastAsia" w:ascii="仿宋_GB2312" w:hAnsi="仿宋" w:eastAsia="仿宋_GB2312" w:cs="仿宋_GB2312"/>
          <w:sz w:val="32"/>
          <w:szCs w:val="32"/>
        </w:rPr>
        <w:t>截至2023年末，财政供养人员数38人，其中：在职18人，退休20人,事业编制人数20人。</w:t>
      </w:r>
    </w:p>
    <w:p w14:paraId="0A803625">
      <w:pPr>
        <w:widowControl/>
        <w:adjustRightInd w:val="0"/>
        <w:snapToGrid w:val="0"/>
        <w:spacing w:line="578" w:lineRule="exact"/>
        <w:ind w:firstLine="723" w:firstLineChars="200"/>
        <w:contextualSpacing/>
        <w:jc w:val="left"/>
        <w:rPr>
          <w:rFonts w:ascii="仿宋_GB2312" w:hAnsi="仿宋" w:eastAsia="仿宋_GB2312"/>
          <w:b/>
          <w:color w:val="000000"/>
          <w:kern w:val="0"/>
          <w:sz w:val="36"/>
          <w:szCs w:val="36"/>
          <w:shd w:val="clear" w:color="auto" w:fill="FFFFFF"/>
        </w:rPr>
      </w:pPr>
      <w:r>
        <w:rPr>
          <w:rFonts w:hint="eastAsia" w:ascii="仿宋_GB2312" w:hAnsi="仿宋" w:eastAsia="仿宋_GB2312"/>
          <w:b/>
          <w:color w:val="000000"/>
          <w:kern w:val="0"/>
          <w:sz w:val="36"/>
          <w:szCs w:val="36"/>
          <w:shd w:val="clear" w:color="auto" w:fill="FFFFFF"/>
        </w:rPr>
        <w:t>二、部门资金收支情况</w:t>
      </w:r>
    </w:p>
    <w:p w14:paraId="569A392C">
      <w:pPr>
        <w:widowControl/>
        <w:adjustRightInd w:val="0"/>
        <w:snapToGrid w:val="0"/>
        <w:spacing w:line="578" w:lineRule="exact"/>
        <w:ind w:firstLine="643" w:firstLineChars="200"/>
        <w:contextualSpacing/>
        <w:jc w:val="left"/>
        <w:rPr>
          <w:rFonts w:ascii="仿宋_GB2312" w:hAnsi="仿宋" w:eastAsia="仿宋_GB2312"/>
          <w:b/>
          <w:bCs/>
          <w:color w:val="000000"/>
          <w:kern w:val="0"/>
          <w:sz w:val="32"/>
          <w:szCs w:val="32"/>
          <w:shd w:val="clear" w:color="auto" w:fill="FFFFFF"/>
          <w:lang w:val="zh-CN"/>
        </w:rPr>
      </w:pPr>
      <w:r>
        <w:rPr>
          <w:rFonts w:hint="eastAsia" w:ascii="仿宋_GB2312" w:hAnsi="仿宋" w:eastAsia="仿宋_GB2312"/>
          <w:b/>
          <w:bCs/>
          <w:color w:val="000000"/>
          <w:kern w:val="0"/>
          <w:sz w:val="32"/>
          <w:szCs w:val="32"/>
          <w:shd w:val="clear" w:color="auto" w:fill="FFFFFF"/>
          <w:lang w:val="zh-CN"/>
        </w:rPr>
        <w:t>（一）收入情况。</w:t>
      </w:r>
    </w:p>
    <w:p w14:paraId="0CCF413C">
      <w:pPr>
        <w:widowControl/>
        <w:adjustRightInd w:val="0"/>
        <w:snapToGrid w:val="0"/>
        <w:spacing w:line="578" w:lineRule="exact"/>
        <w:ind w:firstLine="640" w:firstLineChars="200"/>
        <w:contextualSpacing/>
        <w:jc w:val="left"/>
        <w:rPr>
          <w:rFonts w:ascii="仿宋_GB2312" w:hAnsi="仿宋" w:eastAsia="仿宋_GB2312" w:cs="仿宋_GB2312"/>
          <w:sz w:val="32"/>
          <w:szCs w:val="32"/>
        </w:rPr>
      </w:pPr>
      <w:r>
        <w:rPr>
          <w:rFonts w:hint="eastAsia" w:ascii="仿宋_GB2312" w:hAnsi="仿宋" w:eastAsia="仿宋_GB2312" w:cs="仿宋_GB2312"/>
          <w:sz w:val="32"/>
          <w:szCs w:val="32"/>
        </w:rPr>
        <w:t>大竹县林业站2023年年初预算收入为3080629元，全年预算为3498900.02元、决算报表收入为3498900.02元。</w:t>
      </w:r>
    </w:p>
    <w:p w14:paraId="7A9631BA">
      <w:pPr>
        <w:widowControl/>
        <w:numPr>
          <w:ilvl w:val="0"/>
          <w:numId w:val="6"/>
        </w:numPr>
        <w:adjustRightInd w:val="0"/>
        <w:snapToGrid w:val="0"/>
        <w:spacing w:line="578" w:lineRule="exact"/>
        <w:ind w:firstLine="643" w:firstLineChars="200"/>
        <w:contextualSpacing/>
        <w:jc w:val="left"/>
        <w:rPr>
          <w:rFonts w:ascii="仿宋_GB2312" w:hAnsi="仿宋" w:eastAsia="仿宋_GB2312"/>
          <w:b/>
          <w:bCs/>
          <w:color w:val="000000"/>
          <w:kern w:val="0"/>
          <w:sz w:val="32"/>
          <w:szCs w:val="32"/>
          <w:shd w:val="clear" w:color="auto" w:fill="FFFFFF"/>
          <w:lang w:val="zh-CN"/>
        </w:rPr>
      </w:pPr>
      <w:r>
        <w:rPr>
          <w:rFonts w:hint="eastAsia" w:ascii="仿宋_GB2312" w:hAnsi="仿宋" w:eastAsia="仿宋_GB2312"/>
          <w:b/>
          <w:bCs/>
          <w:color w:val="000000"/>
          <w:kern w:val="0"/>
          <w:sz w:val="32"/>
          <w:szCs w:val="32"/>
          <w:shd w:val="clear" w:color="auto" w:fill="FFFFFF"/>
          <w:lang w:val="zh-CN"/>
        </w:rPr>
        <w:t>支出情况。</w:t>
      </w:r>
    </w:p>
    <w:p w14:paraId="33EBDAA4">
      <w:pPr>
        <w:widowControl/>
        <w:adjustRightInd w:val="0"/>
        <w:snapToGrid w:val="0"/>
        <w:spacing w:line="578" w:lineRule="exact"/>
        <w:ind w:firstLine="640" w:firstLineChars="200"/>
        <w:contextualSpacing/>
        <w:jc w:val="left"/>
        <w:rPr>
          <w:rFonts w:ascii="仿宋_GB2312" w:hAnsi="仿宋" w:eastAsia="仿宋_GB2312"/>
          <w:sz w:val="32"/>
          <w:szCs w:val="32"/>
          <w:lang w:val="zh-CN"/>
        </w:rPr>
      </w:pPr>
      <w:r>
        <w:rPr>
          <w:rFonts w:hint="eastAsia" w:ascii="仿宋_GB2312" w:hAnsi="仿宋" w:eastAsia="仿宋_GB2312" w:cs="仿宋_GB2312"/>
          <w:sz w:val="32"/>
          <w:szCs w:val="32"/>
        </w:rPr>
        <w:t>大竹县林业站2023年年初预算支出为3080629元，全年预算支出为3498900.02元、决算报表支出3498900.02元。按功能科目分类支出具体为：社会保障和就业支出774425.02元，卫生健康支出104728元，农林水支出2392697元，住房保障支出227050元。按经济科目分类支出具体为：工资福利支出2696306.02元，商品和服务支出352856元，对个人和家庭的补助支出449738元。</w:t>
      </w:r>
    </w:p>
    <w:p w14:paraId="2123C4D1">
      <w:pPr>
        <w:widowControl/>
        <w:numPr>
          <w:ilvl w:val="0"/>
          <w:numId w:val="6"/>
        </w:numPr>
        <w:adjustRightInd w:val="0"/>
        <w:snapToGrid w:val="0"/>
        <w:spacing w:line="578" w:lineRule="exact"/>
        <w:ind w:firstLine="643" w:firstLineChars="200"/>
        <w:contextualSpacing/>
        <w:jc w:val="left"/>
        <w:rPr>
          <w:rFonts w:ascii="仿宋_GB2312" w:hAnsi="仿宋" w:eastAsia="仿宋_GB2312"/>
          <w:b/>
          <w:sz w:val="32"/>
          <w:szCs w:val="32"/>
        </w:rPr>
      </w:pPr>
      <w:r>
        <w:rPr>
          <w:rFonts w:hint="eastAsia" w:ascii="仿宋_GB2312" w:hAnsi="仿宋" w:eastAsia="仿宋_GB2312"/>
          <w:b/>
          <w:sz w:val="32"/>
          <w:szCs w:val="32"/>
        </w:rPr>
        <w:t>结余分配和结转结余情况。</w:t>
      </w:r>
    </w:p>
    <w:p w14:paraId="0064796F">
      <w:pPr>
        <w:widowControl/>
        <w:adjustRightInd w:val="0"/>
        <w:snapToGrid w:val="0"/>
        <w:spacing w:line="578" w:lineRule="exact"/>
        <w:ind w:left="420" w:leftChars="200"/>
        <w:contextualSpacing/>
        <w:jc w:val="left"/>
        <w:rPr>
          <w:rFonts w:ascii="仿宋_GB2312" w:hAnsi="仿宋" w:eastAsia="仿宋_GB2312"/>
          <w:color w:val="000000"/>
          <w:kern w:val="0"/>
          <w:sz w:val="32"/>
          <w:szCs w:val="32"/>
          <w:shd w:val="clear" w:color="auto" w:fill="FFFFFF"/>
          <w:lang w:val="zh-CN"/>
        </w:rPr>
      </w:pPr>
      <w:r>
        <w:rPr>
          <w:rFonts w:hint="eastAsia" w:ascii="仿宋_GB2312" w:hAnsi="仿宋" w:eastAsia="仿宋_GB2312" w:cs="仿宋_GB2312"/>
          <w:sz w:val="32"/>
          <w:szCs w:val="32"/>
        </w:rPr>
        <w:t>大竹县林业站</w:t>
      </w:r>
      <w:r>
        <w:rPr>
          <w:rFonts w:hint="eastAsia" w:ascii="仿宋_GB2312" w:hAnsi="仿宋" w:eastAsia="仿宋_GB2312"/>
          <w:sz w:val="32"/>
          <w:szCs w:val="32"/>
        </w:rPr>
        <w:t>2023年决算报表无</w:t>
      </w:r>
      <w:r>
        <w:rPr>
          <w:rFonts w:hint="eastAsia" w:ascii="仿宋_GB2312" w:hAnsi="仿宋" w:eastAsia="仿宋_GB2312"/>
          <w:color w:val="000000"/>
          <w:kern w:val="0"/>
          <w:sz w:val="32"/>
          <w:szCs w:val="32"/>
          <w:shd w:val="clear" w:color="auto" w:fill="FFFFFF"/>
        </w:rPr>
        <w:t>结转结余情况。</w:t>
      </w:r>
    </w:p>
    <w:p w14:paraId="69E61AB5">
      <w:pPr>
        <w:widowControl/>
        <w:adjustRightInd w:val="0"/>
        <w:snapToGrid w:val="0"/>
        <w:spacing w:line="578" w:lineRule="exact"/>
        <w:ind w:firstLine="723" w:firstLineChars="200"/>
        <w:contextualSpacing/>
        <w:jc w:val="left"/>
        <w:rPr>
          <w:rFonts w:ascii="仿宋_GB2312" w:hAnsi="仿宋" w:eastAsia="仿宋_GB2312"/>
          <w:b/>
          <w:color w:val="000000" w:themeColor="text1"/>
          <w:kern w:val="0"/>
          <w:sz w:val="36"/>
          <w:szCs w:val="36"/>
          <w:shd w:val="clear" w:color="auto" w:fill="FFFFFF"/>
          <w14:textFill>
            <w14:solidFill>
              <w14:schemeClr w14:val="tx1"/>
            </w14:solidFill>
          </w14:textFill>
        </w:rPr>
      </w:pPr>
      <w:r>
        <w:rPr>
          <w:rFonts w:hint="eastAsia" w:ascii="仿宋_GB2312" w:hAnsi="仿宋" w:eastAsia="仿宋_GB2312"/>
          <w:b/>
          <w:color w:val="000000"/>
          <w:kern w:val="0"/>
          <w:sz w:val="36"/>
          <w:szCs w:val="36"/>
          <w:shd w:val="clear" w:color="auto" w:fill="FFFFFF"/>
        </w:rPr>
        <w:t>三、部门预算绩效分析</w:t>
      </w:r>
    </w:p>
    <w:p w14:paraId="02356C9A">
      <w:pPr>
        <w:adjustRightInd w:val="0"/>
        <w:snapToGrid w:val="0"/>
        <w:spacing w:line="578" w:lineRule="exact"/>
        <w:ind w:firstLine="643" w:firstLineChars="200"/>
        <w:contextualSpacing/>
        <w:jc w:val="left"/>
        <w:rPr>
          <w:rFonts w:ascii="仿宋_GB2312" w:hAnsi="仿宋" w:eastAsia="仿宋_GB2312"/>
          <w:b/>
          <w:bCs/>
          <w:color w:val="000000"/>
          <w:kern w:val="0"/>
          <w:sz w:val="36"/>
          <w:szCs w:val="36"/>
          <w:shd w:val="clear" w:color="auto" w:fill="FFFFFF"/>
          <w:lang w:val="zh-CN"/>
        </w:rPr>
      </w:pPr>
      <w:r>
        <w:rPr>
          <w:rFonts w:hint="eastAsia" w:ascii="仿宋_GB2312" w:hAnsi="仿宋" w:eastAsia="仿宋_GB2312"/>
          <w:b/>
          <w:bCs/>
          <w:color w:val="000000"/>
          <w:kern w:val="0"/>
          <w:sz w:val="32"/>
          <w:szCs w:val="32"/>
          <w:shd w:val="clear" w:color="auto" w:fill="FFFFFF"/>
          <w:lang w:val="zh-CN"/>
        </w:rPr>
        <w:t>（一）部门预算总体绩效分析。</w:t>
      </w:r>
    </w:p>
    <w:p w14:paraId="5CFB0AC9">
      <w:pPr>
        <w:adjustRightInd w:val="0"/>
        <w:snapToGrid w:val="0"/>
        <w:spacing w:line="578" w:lineRule="exact"/>
        <w:ind w:firstLine="643" w:firstLineChars="200"/>
        <w:contextualSpacing/>
        <w:jc w:val="left"/>
        <w:rPr>
          <w:rFonts w:ascii="仿宋_GB2312" w:hAnsi="仿宋" w:eastAsia="仿宋_GB2312" w:cs="楷体_GB2312"/>
          <w:color w:val="000000"/>
          <w:kern w:val="0"/>
          <w:sz w:val="32"/>
          <w:szCs w:val="32"/>
          <w:shd w:val="clear" w:color="auto" w:fill="FFFFFF"/>
        </w:rPr>
      </w:pPr>
      <w:r>
        <w:rPr>
          <w:rFonts w:hint="eastAsia" w:ascii="仿宋_GB2312" w:hAnsi="仿宋" w:eastAsia="仿宋_GB2312" w:cs="楷体_GB2312"/>
          <w:b/>
          <w:bCs/>
          <w:color w:val="000000"/>
          <w:kern w:val="0"/>
          <w:sz w:val="32"/>
          <w:szCs w:val="32"/>
          <w:shd w:val="clear" w:color="auto" w:fill="FFFFFF"/>
        </w:rPr>
        <w:t>1.</w:t>
      </w:r>
      <w:r>
        <w:rPr>
          <w:rFonts w:hint="eastAsia" w:ascii="仿宋_GB2312" w:hAnsi="仿宋" w:eastAsia="仿宋_GB2312" w:cs="楷体_GB2312"/>
          <w:b/>
          <w:bCs/>
          <w:color w:val="000000"/>
          <w:kern w:val="0"/>
          <w:sz w:val="32"/>
          <w:szCs w:val="32"/>
          <w:shd w:val="clear" w:color="auto" w:fill="FFFFFF"/>
          <w:lang w:val="zh-CN"/>
        </w:rPr>
        <w:t>履职效能，自评得</w:t>
      </w:r>
      <w:r>
        <w:rPr>
          <w:rFonts w:hint="eastAsia" w:ascii="仿宋_GB2312" w:hAnsi="仿宋" w:eastAsia="仿宋_GB2312" w:cs="楷体_GB2312"/>
          <w:b/>
          <w:bCs/>
          <w:color w:val="000000"/>
          <w:kern w:val="0"/>
          <w:sz w:val="32"/>
          <w:szCs w:val="32"/>
          <w:shd w:val="clear" w:color="auto" w:fill="FFFFFF"/>
        </w:rPr>
        <w:t>15分</w:t>
      </w:r>
      <w:r>
        <w:rPr>
          <w:rFonts w:hint="eastAsia" w:ascii="仿宋_GB2312" w:hAnsi="仿宋" w:eastAsia="仿宋_GB2312" w:cs="楷体_GB2312"/>
          <w:color w:val="000000"/>
          <w:kern w:val="0"/>
          <w:sz w:val="32"/>
          <w:szCs w:val="32"/>
          <w:shd w:val="clear" w:color="auto" w:fill="FFFFFF"/>
        </w:rPr>
        <w:t>。</w:t>
      </w:r>
    </w:p>
    <w:p w14:paraId="54B2537B">
      <w:pPr>
        <w:adjustRightInd w:val="0"/>
        <w:snapToGrid w:val="0"/>
        <w:spacing w:line="578" w:lineRule="exact"/>
        <w:ind w:firstLine="640" w:firstLineChars="200"/>
        <w:contextualSpacing/>
        <w:jc w:val="left"/>
        <w:rPr>
          <w:rFonts w:ascii="仿宋_GB2312" w:hAnsi="仿宋" w:eastAsia="仿宋_GB2312" w:cs="仿宋_GB2312"/>
          <w:sz w:val="32"/>
          <w:szCs w:val="32"/>
        </w:rPr>
      </w:pPr>
      <w:r>
        <w:rPr>
          <w:rFonts w:hint="eastAsia" w:ascii="仿宋_GB2312" w:hAnsi="仿宋" w:eastAsia="仿宋_GB2312" w:cs="仿宋_GB2312"/>
          <w:sz w:val="32"/>
          <w:szCs w:val="32"/>
        </w:rPr>
        <w:t>从部门整体绩效目标中选定3个核心职能目标，对职能目标完成效果情况进行绩效分析如下：</w:t>
      </w:r>
    </w:p>
    <w:p w14:paraId="312A4A70">
      <w:pPr>
        <w:adjustRightInd w:val="0"/>
        <w:snapToGrid w:val="0"/>
        <w:spacing w:line="578" w:lineRule="exact"/>
        <w:ind w:firstLine="640" w:firstLineChars="200"/>
        <w:contextualSpacing/>
        <w:jc w:val="left"/>
        <w:rPr>
          <w:rFonts w:ascii="仿宋_GB2312" w:hAnsi="仿宋" w:eastAsia="仿宋_GB2312" w:cs="仿宋_GB2312"/>
          <w:sz w:val="32"/>
          <w:szCs w:val="32"/>
        </w:rPr>
      </w:pPr>
      <w:r>
        <w:rPr>
          <w:rFonts w:hint="eastAsia" w:ascii="仿宋_GB2312" w:hAnsi="仿宋" w:eastAsia="仿宋_GB2312" w:cs="仿宋_GB2312"/>
          <w:sz w:val="32"/>
          <w:szCs w:val="32"/>
        </w:rPr>
        <w:t>(1)林木种苗生产管理履职效果，自评得5分。</w:t>
      </w:r>
    </w:p>
    <w:p w14:paraId="1C2B5DEC">
      <w:pPr>
        <w:adjustRightInd w:val="0"/>
        <w:snapToGrid w:val="0"/>
        <w:spacing w:line="578" w:lineRule="exact"/>
        <w:ind w:firstLine="640" w:firstLineChars="200"/>
        <w:contextualSpacing/>
        <w:jc w:val="left"/>
        <w:rPr>
          <w:rFonts w:ascii="仿宋_GB2312" w:hAnsi="仿宋" w:eastAsia="仿宋_GB2312" w:cs="仿宋_GB2312"/>
          <w:sz w:val="32"/>
          <w:szCs w:val="32"/>
        </w:rPr>
      </w:pPr>
      <w:r>
        <w:rPr>
          <w:rFonts w:hint="eastAsia" w:ascii="仿宋_GB2312" w:hAnsi="仿宋" w:eastAsia="仿宋_GB2312" w:cs="仿宋_GB2312"/>
          <w:sz w:val="32"/>
          <w:szCs w:val="32"/>
        </w:rPr>
        <w:t>本项指标得分=年终完成履职效果目标数量（82次）÷年初目标设置数量（82次）×100%×指标分值（5分）。</w:t>
      </w:r>
    </w:p>
    <w:p w14:paraId="7D88AF70">
      <w:pPr>
        <w:adjustRightInd w:val="0"/>
        <w:snapToGrid w:val="0"/>
        <w:spacing w:line="578" w:lineRule="exact"/>
        <w:ind w:left="640"/>
        <w:contextualSpacing/>
        <w:jc w:val="left"/>
        <w:rPr>
          <w:rFonts w:ascii="仿宋_GB2312" w:hAnsi="仿宋" w:eastAsia="仿宋_GB2312" w:cs="仿宋_GB2312"/>
          <w:sz w:val="32"/>
          <w:szCs w:val="32"/>
        </w:rPr>
      </w:pPr>
      <w:r>
        <w:rPr>
          <w:rFonts w:hint="eastAsia" w:ascii="仿宋_GB2312" w:hAnsi="仿宋" w:eastAsia="仿宋_GB2312" w:cs="仿宋_GB2312"/>
          <w:sz w:val="32"/>
          <w:szCs w:val="32"/>
        </w:rPr>
        <w:t>(2)护林防灭火工作履职效果，自评得5分。</w:t>
      </w:r>
    </w:p>
    <w:p w14:paraId="6E20FD58">
      <w:pPr>
        <w:adjustRightInd w:val="0"/>
        <w:snapToGrid w:val="0"/>
        <w:spacing w:line="578" w:lineRule="exact"/>
        <w:ind w:firstLine="640" w:firstLineChars="200"/>
        <w:contextualSpacing/>
        <w:jc w:val="left"/>
        <w:rPr>
          <w:rFonts w:ascii="仿宋_GB2312" w:hAnsi="仿宋" w:eastAsia="仿宋_GB2312" w:cs="仿宋_GB2312"/>
          <w:sz w:val="32"/>
          <w:szCs w:val="32"/>
        </w:rPr>
      </w:pPr>
      <w:r>
        <w:rPr>
          <w:rFonts w:hint="eastAsia" w:ascii="仿宋_GB2312" w:hAnsi="仿宋" w:eastAsia="仿宋_GB2312" w:cs="仿宋_GB2312"/>
          <w:sz w:val="32"/>
          <w:szCs w:val="32"/>
        </w:rPr>
        <w:t>本项指标得分=年终完成履职效果目标数量（82次）÷年初目标设置数量（82次）×100%×指标分值（5分）。</w:t>
      </w:r>
    </w:p>
    <w:p w14:paraId="52427941">
      <w:pPr>
        <w:adjustRightInd w:val="0"/>
        <w:snapToGrid w:val="0"/>
        <w:spacing w:line="578" w:lineRule="exact"/>
        <w:ind w:left="640"/>
        <w:contextualSpacing/>
        <w:jc w:val="left"/>
        <w:rPr>
          <w:rFonts w:ascii="仿宋_GB2312" w:hAnsi="仿宋" w:eastAsia="仿宋_GB2312" w:cs="仿宋_GB2312"/>
          <w:sz w:val="32"/>
          <w:szCs w:val="32"/>
        </w:rPr>
      </w:pPr>
      <w:r>
        <w:rPr>
          <w:rFonts w:hint="eastAsia" w:ascii="仿宋_GB2312" w:hAnsi="仿宋" w:eastAsia="仿宋_GB2312" w:cs="仿宋_GB2312"/>
          <w:sz w:val="32"/>
          <w:szCs w:val="32"/>
        </w:rPr>
        <w:t>(3)事业机构正常运转履职效果，自评得5分。</w:t>
      </w:r>
    </w:p>
    <w:p w14:paraId="31081AED">
      <w:pPr>
        <w:adjustRightInd w:val="0"/>
        <w:snapToGrid w:val="0"/>
        <w:spacing w:line="578" w:lineRule="exact"/>
        <w:ind w:firstLine="640" w:firstLineChars="200"/>
        <w:contextualSpacing/>
        <w:jc w:val="left"/>
        <w:rPr>
          <w:rFonts w:ascii="仿宋_GB2312" w:hAnsi="仿宋" w:eastAsia="仿宋_GB2312" w:cs="仿宋_GB2312"/>
          <w:sz w:val="32"/>
          <w:szCs w:val="32"/>
        </w:rPr>
      </w:pPr>
      <w:r>
        <w:rPr>
          <w:rFonts w:hint="eastAsia" w:ascii="仿宋_GB2312" w:hAnsi="仿宋" w:eastAsia="仿宋_GB2312" w:cs="仿宋_GB2312"/>
          <w:sz w:val="32"/>
          <w:szCs w:val="32"/>
        </w:rPr>
        <w:t>全年机构人员经费、日常公用经费按预算标准及要求执行，无超预算、超范围的支出发生，确保机构运转正常，故该项指标自评得5分。</w:t>
      </w:r>
    </w:p>
    <w:p w14:paraId="08180489">
      <w:pPr>
        <w:adjustRightInd w:val="0"/>
        <w:snapToGrid w:val="0"/>
        <w:spacing w:line="578" w:lineRule="exact"/>
        <w:ind w:left="602"/>
        <w:contextualSpacing/>
        <w:jc w:val="left"/>
        <w:rPr>
          <w:rFonts w:ascii="仿宋_GB2312" w:hAnsi="仿宋" w:eastAsia="仿宋_GB2312" w:cs="楷体_GB2312"/>
          <w:color w:val="000000"/>
          <w:kern w:val="0"/>
          <w:sz w:val="32"/>
          <w:szCs w:val="32"/>
          <w:shd w:val="clear" w:color="auto" w:fill="FFFFFF"/>
        </w:rPr>
      </w:pPr>
      <w:r>
        <w:rPr>
          <w:rFonts w:hint="eastAsia" w:ascii="仿宋_GB2312" w:hAnsi="仿宋" w:eastAsia="仿宋_GB2312" w:cs="楷体_GB2312"/>
          <w:b/>
          <w:bCs/>
          <w:color w:val="000000"/>
          <w:kern w:val="0"/>
          <w:sz w:val="32"/>
          <w:szCs w:val="32"/>
          <w:shd w:val="clear" w:color="auto" w:fill="FFFFFF"/>
          <w:lang w:val="zh-CN"/>
        </w:rPr>
        <w:t>2.预算管理，自评得</w:t>
      </w:r>
      <w:r>
        <w:rPr>
          <w:rFonts w:hint="eastAsia" w:ascii="仿宋_GB2312" w:hAnsi="仿宋" w:eastAsia="仿宋_GB2312" w:cs="楷体_GB2312"/>
          <w:b/>
          <w:bCs/>
          <w:color w:val="000000"/>
          <w:kern w:val="0"/>
          <w:sz w:val="32"/>
          <w:szCs w:val="32"/>
          <w:shd w:val="clear" w:color="auto" w:fill="FFFFFF"/>
        </w:rPr>
        <w:t>20.14分</w:t>
      </w:r>
      <w:r>
        <w:rPr>
          <w:rFonts w:hint="eastAsia" w:ascii="仿宋_GB2312" w:hAnsi="仿宋" w:eastAsia="仿宋_GB2312" w:cs="楷体_GB2312"/>
          <w:color w:val="000000"/>
          <w:kern w:val="0"/>
          <w:sz w:val="32"/>
          <w:szCs w:val="32"/>
          <w:shd w:val="clear" w:color="auto" w:fill="FFFFFF"/>
        </w:rPr>
        <w:t>。</w:t>
      </w:r>
    </w:p>
    <w:p w14:paraId="39F430FA">
      <w:pPr>
        <w:adjustRightInd w:val="0"/>
        <w:snapToGrid w:val="0"/>
        <w:spacing w:line="578" w:lineRule="exact"/>
        <w:ind w:left="640"/>
        <w:contextualSpacing/>
        <w:jc w:val="left"/>
        <w:rPr>
          <w:rFonts w:ascii="仿宋_GB2312" w:hAnsi="仿宋" w:eastAsia="仿宋_GB2312" w:cs="楷体_GB2312"/>
          <w:color w:val="000000"/>
          <w:kern w:val="0"/>
          <w:sz w:val="32"/>
          <w:szCs w:val="32"/>
          <w:shd w:val="clear" w:color="auto" w:fill="FFFFFF"/>
          <w:lang w:val="zh-CN"/>
        </w:rPr>
      </w:pPr>
      <w:r>
        <w:rPr>
          <w:rFonts w:hint="eastAsia" w:ascii="仿宋_GB2312" w:hAnsi="仿宋" w:eastAsia="仿宋_GB2312" w:cs="仿宋_GB2312"/>
          <w:sz w:val="32"/>
          <w:szCs w:val="32"/>
        </w:rPr>
        <w:t>(1)预算编制质量，自评得7.46分</w:t>
      </w:r>
      <w:r>
        <w:rPr>
          <w:rFonts w:hint="eastAsia" w:ascii="仿宋_GB2312" w:hAnsi="仿宋" w:eastAsia="仿宋_GB2312"/>
          <w:color w:val="000000"/>
          <w:kern w:val="0"/>
          <w:sz w:val="32"/>
          <w:szCs w:val="32"/>
          <w:shd w:val="clear" w:color="auto" w:fill="FFFFFF"/>
        </w:rPr>
        <w:t>。</w:t>
      </w:r>
    </w:p>
    <w:p w14:paraId="55A37242">
      <w:pPr>
        <w:adjustRightInd w:val="0"/>
        <w:snapToGrid w:val="0"/>
        <w:spacing w:line="578" w:lineRule="exact"/>
        <w:ind w:firstLine="640" w:firstLineChars="200"/>
        <w:contextualSpacing/>
        <w:jc w:val="left"/>
        <w:rPr>
          <w:rFonts w:ascii="仿宋_GB2312" w:hAnsi="仿宋" w:eastAsia="仿宋_GB2312" w:cs="仿宋_GB2312"/>
          <w:sz w:val="32"/>
          <w:szCs w:val="32"/>
        </w:rPr>
      </w:pPr>
      <w:r>
        <w:rPr>
          <w:rFonts w:hint="eastAsia" w:ascii="仿宋_GB2312" w:hAnsi="仿宋" w:eastAsia="仿宋_GB2312" w:cs="仿宋_GB2312"/>
          <w:sz w:val="32"/>
          <w:szCs w:val="32"/>
        </w:rPr>
        <w:t>财政</w:t>
      </w:r>
      <w:r>
        <w:rPr>
          <w:rFonts w:hint="eastAsia" w:ascii="仿宋_GB2312" w:hAnsi="仿宋" w:eastAsia="仿宋_GB2312" w:cs="仿宋_GB2312"/>
          <w:sz w:val="32"/>
          <w:szCs w:val="32"/>
          <w:lang w:eastAsia="zh-CN"/>
        </w:rPr>
        <w:t>拨</w:t>
      </w:r>
      <w:r>
        <w:rPr>
          <w:rFonts w:hint="eastAsia" w:ascii="仿宋_GB2312" w:hAnsi="仿宋" w:eastAsia="仿宋_GB2312" w:cs="仿宋_GB2312"/>
          <w:sz w:val="32"/>
          <w:szCs w:val="32"/>
        </w:rPr>
        <w:t>款预算偏离度=（预算执行数-年初预算数）÷年初预算数=（3498900.02-3080629）÷3080629=13.58%。</w:t>
      </w:r>
    </w:p>
    <w:p w14:paraId="758A706E">
      <w:pPr>
        <w:adjustRightInd w:val="0"/>
        <w:snapToGrid w:val="0"/>
        <w:spacing w:line="578" w:lineRule="exact"/>
        <w:ind w:firstLine="640" w:firstLineChars="200"/>
        <w:contextualSpacing/>
        <w:jc w:val="left"/>
        <w:rPr>
          <w:rFonts w:ascii="仿宋_GB2312" w:hAnsi="仿宋" w:eastAsia="仿宋_GB2312" w:cs="仿宋_GB2312"/>
          <w:sz w:val="32"/>
          <w:szCs w:val="32"/>
        </w:rPr>
      </w:pPr>
      <w:r>
        <w:rPr>
          <w:rFonts w:hint="eastAsia" w:ascii="仿宋_GB2312" w:hAnsi="仿宋" w:eastAsia="仿宋_GB2312" w:cs="仿宋_GB2312"/>
          <w:sz w:val="32"/>
          <w:szCs w:val="32"/>
        </w:rPr>
        <w:t>本年度无资产配置预算，故资产配置预算偏离度为0。</w:t>
      </w:r>
    </w:p>
    <w:p w14:paraId="6891A875">
      <w:pPr>
        <w:adjustRightInd w:val="0"/>
        <w:snapToGrid w:val="0"/>
        <w:spacing w:line="578" w:lineRule="exact"/>
        <w:ind w:firstLine="640" w:firstLineChars="200"/>
        <w:contextualSpacing/>
        <w:jc w:val="left"/>
        <w:rPr>
          <w:rFonts w:ascii="仿宋_GB2312" w:hAnsi="仿宋" w:eastAsia="仿宋_GB2312" w:cs="仿宋_GB2312"/>
          <w:sz w:val="32"/>
          <w:szCs w:val="32"/>
        </w:rPr>
      </w:pPr>
      <w:r>
        <w:rPr>
          <w:rFonts w:hint="eastAsia" w:ascii="仿宋_GB2312" w:hAnsi="仿宋" w:eastAsia="仿宋_GB2312" w:cs="仿宋_GB2312"/>
          <w:sz w:val="32"/>
          <w:szCs w:val="32"/>
        </w:rPr>
        <w:t>本年度无政府采购预算，故政府采购预算偏离度为0。</w:t>
      </w:r>
    </w:p>
    <w:p w14:paraId="6D66F195">
      <w:pPr>
        <w:adjustRightInd w:val="0"/>
        <w:snapToGrid w:val="0"/>
        <w:spacing w:line="578" w:lineRule="exact"/>
        <w:ind w:firstLine="640" w:firstLineChars="200"/>
        <w:contextualSpacing/>
        <w:jc w:val="left"/>
        <w:rPr>
          <w:rFonts w:ascii="仿宋_GB2312" w:hAnsi="仿宋" w:eastAsia="仿宋_GB2312" w:cs="仿宋_GB2312"/>
          <w:sz w:val="32"/>
          <w:szCs w:val="32"/>
        </w:rPr>
      </w:pPr>
      <w:r>
        <w:rPr>
          <w:rFonts w:hint="eastAsia" w:ascii="仿宋_GB2312" w:hAnsi="仿宋" w:eastAsia="仿宋_GB2312" w:cs="仿宋_GB2312"/>
          <w:sz w:val="32"/>
          <w:szCs w:val="32"/>
        </w:rPr>
        <w:t>预算编制质量得分=（1-13.58%）×100%×4+（1-0）×100%×2+（1-0）×100%×2=7.46.</w:t>
      </w:r>
    </w:p>
    <w:p w14:paraId="25C180CA">
      <w:pPr>
        <w:adjustRightInd w:val="0"/>
        <w:snapToGrid w:val="0"/>
        <w:spacing w:line="578" w:lineRule="exact"/>
        <w:ind w:left="640"/>
        <w:contextualSpacing/>
        <w:jc w:val="left"/>
        <w:rPr>
          <w:rFonts w:ascii="仿宋_GB2312" w:hAnsi="仿宋" w:eastAsia="仿宋_GB2312" w:cs="仿宋_GB2312"/>
          <w:sz w:val="32"/>
          <w:szCs w:val="32"/>
        </w:rPr>
      </w:pPr>
      <w:r>
        <w:rPr>
          <w:rFonts w:hint="eastAsia" w:ascii="仿宋_GB2312" w:hAnsi="仿宋" w:eastAsia="仿宋_GB2312" w:cs="仿宋_GB2312"/>
          <w:sz w:val="32"/>
          <w:szCs w:val="32"/>
        </w:rPr>
        <w:t>(2)单位收入统筹，本年度本单位无收入，此项指标不适用。</w:t>
      </w:r>
    </w:p>
    <w:p w14:paraId="57422969">
      <w:pPr>
        <w:adjustRightInd w:val="0"/>
        <w:snapToGrid w:val="0"/>
        <w:spacing w:line="578" w:lineRule="exact"/>
        <w:ind w:left="640"/>
        <w:contextualSpacing/>
        <w:jc w:val="left"/>
        <w:rPr>
          <w:rFonts w:ascii="仿宋_GB2312" w:hAnsi="仿宋" w:eastAsia="仿宋_GB2312" w:cs="仿宋_GB2312"/>
          <w:sz w:val="32"/>
          <w:szCs w:val="32"/>
        </w:rPr>
      </w:pPr>
      <w:r>
        <w:rPr>
          <w:rFonts w:hint="eastAsia" w:ascii="仿宋_GB2312" w:hAnsi="仿宋" w:eastAsia="仿宋_GB2312" w:cs="仿宋_GB2312"/>
          <w:sz w:val="32"/>
          <w:szCs w:val="32"/>
        </w:rPr>
        <w:t>(3)支出执行进度，自评得5.83分。</w:t>
      </w:r>
    </w:p>
    <w:p w14:paraId="63EDA3EC">
      <w:pPr>
        <w:adjustRightInd w:val="0"/>
        <w:snapToGrid w:val="0"/>
        <w:spacing w:line="578" w:lineRule="exact"/>
        <w:ind w:firstLine="640" w:firstLineChars="200"/>
        <w:contextualSpacing/>
        <w:jc w:val="left"/>
        <w:rPr>
          <w:rFonts w:ascii="仿宋_GB2312" w:hAnsi="仿宋" w:eastAsia="仿宋_GB2312" w:cs="仿宋_GB2312"/>
          <w:sz w:val="32"/>
          <w:szCs w:val="32"/>
        </w:rPr>
      </w:pPr>
      <w:r>
        <w:rPr>
          <w:rFonts w:hint="eastAsia" w:ascii="仿宋_GB2312" w:hAnsi="仿宋" w:eastAsia="仿宋_GB2312" w:cs="仿宋_GB2312"/>
          <w:sz w:val="32"/>
          <w:szCs w:val="32"/>
        </w:rPr>
        <w:t>2023年1-6月实际支付1724609.13元，1-10月实际支付2711833.28元。1-6月及1-10月均无支出预警金额及违规金额。本项指标得分=（1至6月预算执行数÷（部门预算数×50%）×2）+（1-1至6月支出预警金额占比×0.8-1至6月支出违规金额占比×0.2）+（1至10月预算执行数÷（部门预算数×83.33%）×2）+（1-1至10月支出预警金额占比×0.8-1至10月支出违规金额占比×0.2）=（1724609.13÷（3498900.02×50%）×2+（1-0×0.8-0×0.2）+（2711833.28÷（3498900.02×83.33%）×2+（1-0×0.8-0×0.2）=1.97+1+1.86+1=5.83分。</w:t>
      </w:r>
    </w:p>
    <w:p w14:paraId="6F570808">
      <w:pPr>
        <w:adjustRightInd w:val="0"/>
        <w:snapToGrid w:val="0"/>
        <w:spacing w:line="578" w:lineRule="exact"/>
        <w:ind w:left="640"/>
        <w:contextualSpacing/>
        <w:jc w:val="left"/>
        <w:rPr>
          <w:rFonts w:ascii="仿宋_GB2312" w:hAnsi="仿宋" w:eastAsia="仿宋_GB2312" w:cs="仿宋_GB2312"/>
          <w:sz w:val="32"/>
          <w:szCs w:val="32"/>
        </w:rPr>
      </w:pPr>
      <w:r>
        <w:rPr>
          <w:rFonts w:hint="eastAsia" w:ascii="仿宋_GB2312" w:hAnsi="仿宋" w:eastAsia="仿宋_GB2312" w:cs="仿宋_GB2312"/>
          <w:sz w:val="32"/>
          <w:szCs w:val="32"/>
        </w:rPr>
        <w:t>(4)预算年终结余，自评得1.85分。</w:t>
      </w:r>
    </w:p>
    <w:p w14:paraId="0C36D454">
      <w:pPr>
        <w:adjustRightInd w:val="0"/>
        <w:snapToGrid w:val="0"/>
        <w:spacing w:line="578" w:lineRule="exact"/>
        <w:contextualSpacing/>
        <w:jc w:val="left"/>
        <w:rPr>
          <w:rFonts w:ascii="仿宋_GB2312" w:hAnsi="仿宋" w:eastAsia="仿宋_GB2312" w:cs="仿宋_GB2312"/>
          <w:sz w:val="32"/>
          <w:szCs w:val="32"/>
        </w:rPr>
      </w:pPr>
      <w:r>
        <w:rPr>
          <w:rFonts w:hint="eastAsia" w:ascii="仿宋_GB2312" w:hAnsi="仿宋" w:eastAsia="仿宋_GB2312" w:cs="仿宋_GB2312"/>
          <w:sz w:val="32"/>
          <w:szCs w:val="32"/>
        </w:rPr>
        <w:t>2023年度财政</w:t>
      </w:r>
      <w:r>
        <w:rPr>
          <w:rFonts w:hint="eastAsia" w:ascii="仿宋_GB2312" w:hAnsi="仿宋" w:eastAsia="仿宋_GB2312" w:cs="仿宋_GB2312"/>
          <w:sz w:val="32"/>
          <w:szCs w:val="32"/>
          <w:lang w:eastAsia="zh-CN"/>
        </w:rPr>
        <w:t>拨款预算收</w:t>
      </w:r>
      <w:r>
        <w:rPr>
          <w:rFonts w:hint="eastAsia" w:ascii="仿宋_GB2312" w:hAnsi="仿宋" w:eastAsia="仿宋_GB2312" w:cs="仿宋_GB2312"/>
          <w:sz w:val="32"/>
          <w:szCs w:val="32"/>
        </w:rPr>
        <w:t>回280427.21元。部门整体预算结余率为当年年终部门预算注销金额和结转金额占部门预算总金额的比率（280427.21÷（3498900.02+280427.21）≈0.074）</w:t>
      </w:r>
    </w:p>
    <w:p w14:paraId="6EE7BB01">
      <w:pPr>
        <w:adjustRightInd w:val="0"/>
        <w:snapToGrid w:val="0"/>
        <w:spacing w:line="578" w:lineRule="exact"/>
        <w:contextualSpacing/>
        <w:jc w:val="left"/>
        <w:rPr>
          <w:rFonts w:ascii="仿宋_GB2312" w:hAnsi="仿宋" w:eastAsia="仿宋_GB2312" w:cs="仿宋_GB2312"/>
          <w:sz w:val="32"/>
          <w:szCs w:val="32"/>
        </w:rPr>
      </w:pPr>
      <w:r>
        <w:rPr>
          <w:rFonts w:hint="eastAsia" w:ascii="仿宋_GB2312" w:hAnsi="仿宋" w:eastAsia="仿宋_GB2312" w:cs="仿宋_GB2312"/>
          <w:sz w:val="32"/>
          <w:szCs w:val="32"/>
        </w:rPr>
        <w:t>本项指标得分=（1-部门整体预算结余率）×100%×2=（1-0.074）×100%×2=1.85分。</w:t>
      </w:r>
    </w:p>
    <w:p w14:paraId="6B8B306D">
      <w:pPr>
        <w:adjustRightInd w:val="0"/>
        <w:snapToGrid w:val="0"/>
        <w:spacing w:line="578" w:lineRule="exact"/>
        <w:ind w:left="640"/>
        <w:contextualSpacing/>
        <w:jc w:val="left"/>
        <w:rPr>
          <w:rFonts w:ascii="仿宋_GB2312" w:hAnsi="仿宋" w:eastAsia="仿宋_GB2312" w:cs="仿宋_GB2312"/>
          <w:sz w:val="32"/>
          <w:szCs w:val="32"/>
        </w:rPr>
      </w:pPr>
      <w:r>
        <w:rPr>
          <w:rFonts w:hint="eastAsia" w:ascii="仿宋_GB2312" w:hAnsi="仿宋" w:eastAsia="仿宋_GB2312"/>
          <w:color w:val="000000"/>
          <w:kern w:val="0"/>
          <w:sz w:val="32"/>
          <w:szCs w:val="32"/>
          <w:shd w:val="clear" w:color="auto" w:fill="FFFFFF"/>
          <w:lang w:val="zh-CN"/>
        </w:rPr>
        <w:t>(5)</w:t>
      </w:r>
      <w:r>
        <w:rPr>
          <w:rFonts w:hint="eastAsia" w:ascii="仿宋_GB2312" w:hAnsi="仿宋" w:eastAsia="仿宋_GB2312" w:cs="仿宋_GB2312"/>
          <w:sz w:val="32"/>
          <w:szCs w:val="32"/>
        </w:rPr>
        <w:t>严控一般性支出，自评得4分。</w:t>
      </w:r>
    </w:p>
    <w:p w14:paraId="52074DE4">
      <w:pPr>
        <w:adjustRightInd w:val="0"/>
        <w:snapToGrid w:val="0"/>
        <w:spacing w:line="578" w:lineRule="exact"/>
        <w:ind w:firstLine="640" w:firstLineChars="200"/>
        <w:contextualSpacing/>
        <w:jc w:val="left"/>
        <w:rPr>
          <w:rFonts w:ascii="仿宋_GB2312" w:hAnsi="仿宋" w:eastAsia="仿宋_GB2312" w:cs="仿宋_GB2312"/>
          <w:sz w:val="32"/>
          <w:szCs w:val="32"/>
        </w:rPr>
      </w:pPr>
      <w:r>
        <w:rPr>
          <w:rFonts w:hint="eastAsia" w:ascii="仿宋_GB2312" w:hAnsi="仿宋" w:eastAsia="仿宋_GB2312" w:cs="仿宋_GB2312"/>
          <w:sz w:val="32"/>
          <w:szCs w:val="32"/>
        </w:rPr>
        <w:t>本年度本单位严控“三公”经费、培训、差旅、办公设备购置、维修维护等日常公用经费支出，一般性支出财政拨款年初预算较上年实现压减得1分，一般性支出财政拨款预算执行较上年实现压减得1分，一般性支出财政拨款年初预算较上年无压减得0分；一般性支出财政拨款预算执行较上年压减26.4%得2分。主要原因是财政资金困难导致年末应支未支资金被收回。</w:t>
      </w:r>
    </w:p>
    <w:p w14:paraId="76939560">
      <w:pPr>
        <w:tabs>
          <w:tab w:val="left" w:pos="312"/>
        </w:tabs>
        <w:adjustRightInd w:val="0"/>
        <w:snapToGrid w:val="0"/>
        <w:spacing w:line="578" w:lineRule="exact"/>
        <w:ind w:left="643"/>
        <w:contextualSpacing/>
        <w:jc w:val="left"/>
        <w:rPr>
          <w:rFonts w:ascii="仿宋_GB2312" w:hAnsi="仿宋" w:eastAsia="仿宋_GB2312" w:cs="楷体_GB2312"/>
          <w:b/>
          <w:bCs/>
          <w:color w:val="000000"/>
          <w:kern w:val="0"/>
          <w:sz w:val="32"/>
          <w:szCs w:val="32"/>
          <w:shd w:val="clear" w:color="auto" w:fill="FFFFFF"/>
          <w:lang w:val="zh-CN"/>
        </w:rPr>
      </w:pPr>
      <w:r>
        <w:rPr>
          <w:rFonts w:hint="eastAsia" w:ascii="仿宋_GB2312" w:hAnsi="仿宋" w:eastAsia="仿宋_GB2312" w:cs="楷体_GB2312"/>
          <w:b/>
          <w:bCs/>
          <w:color w:val="000000"/>
          <w:kern w:val="0"/>
          <w:sz w:val="32"/>
          <w:szCs w:val="32"/>
          <w:shd w:val="clear" w:color="auto" w:fill="FFFFFF"/>
          <w:lang w:val="zh-CN"/>
        </w:rPr>
        <w:t>3.  财务管理，自评得</w:t>
      </w:r>
      <w:r>
        <w:rPr>
          <w:rFonts w:hint="eastAsia" w:ascii="仿宋_GB2312" w:hAnsi="仿宋" w:eastAsia="仿宋_GB2312" w:cs="楷体_GB2312"/>
          <w:b/>
          <w:bCs/>
          <w:color w:val="000000"/>
          <w:kern w:val="0"/>
          <w:sz w:val="32"/>
          <w:szCs w:val="32"/>
          <w:shd w:val="clear" w:color="auto" w:fill="FFFFFF"/>
        </w:rPr>
        <w:t>10分。</w:t>
      </w:r>
    </w:p>
    <w:p w14:paraId="6F997BFA">
      <w:pPr>
        <w:numPr>
          <w:ilvl w:val="0"/>
          <w:numId w:val="7"/>
        </w:numPr>
        <w:adjustRightInd w:val="0"/>
        <w:snapToGrid w:val="0"/>
        <w:spacing w:line="578" w:lineRule="exact"/>
        <w:ind w:left="420" w:leftChars="200"/>
        <w:contextualSpacing/>
        <w:jc w:val="left"/>
        <w:rPr>
          <w:rFonts w:ascii="仿宋_GB2312" w:hAnsi="仿宋" w:eastAsia="仿宋_GB2312"/>
          <w:color w:val="000000"/>
          <w:kern w:val="0"/>
          <w:sz w:val="32"/>
          <w:szCs w:val="32"/>
          <w:shd w:val="clear" w:color="auto" w:fill="FFFFFF"/>
          <w:lang w:val="zh-CN"/>
        </w:rPr>
      </w:pPr>
      <w:r>
        <w:rPr>
          <w:rFonts w:hint="eastAsia" w:ascii="仿宋_GB2312" w:hAnsi="仿宋" w:eastAsia="仿宋_GB2312"/>
          <w:color w:val="000000"/>
          <w:kern w:val="0"/>
          <w:sz w:val="32"/>
          <w:szCs w:val="32"/>
          <w:shd w:val="clear" w:color="auto" w:fill="FFFFFF"/>
          <w:lang w:val="zh-CN"/>
        </w:rPr>
        <w:t>财务管理制度，自评得</w:t>
      </w:r>
      <w:r>
        <w:rPr>
          <w:rFonts w:hint="eastAsia" w:ascii="仿宋_GB2312" w:hAnsi="仿宋" w:eastAsia="仿宋_GB2312"/>
          <w:color w:val="000000"/>
          <w:kern w:val="0"/>
          <w:sz w:val="32"/>
          <w:szCs w:val="32"/>
          <w:shd w:val="clear" w:color="auto" w:fill="FFFFFF"/>
        </w:rPr>
        <w:t>4分。</w:t>
      </w:r>
    </w:p>
    <w:p w14:paraId="4DE266B4">
      <w:pPr>
        <w:adjustRightInd w:val="0"/>
        <w:snapToGrid w:val="0"/>
        <w:spacing w:line="578" w:lineRule="exact"/>
        <w:ind w:firstLine="640" w:firstLineChars="200"/>
        <w:contextualSpacing/>
        <w:jc w:val="left"/>
        <w:rPr>
          <w:rFonts w:ascii="仿宋_GB2312" w:hAnsi="仿宋" w:eastAsia="仿宋_GB2312"/>
          <w:color w:val="000000"/>
          <w:kern w:val="0"/>
          <w:sz w:val="32"/>
          <w:szCs w:val="32"/>
          <w:shd w:val="clear" w:color="auto" w:fill="FFFFFF"/>
          <w:lang w:val="zh-CN"/>
        </w:rPr>
      </w:pPr>
      <w:r>
        <w:rPr>
          <w:rFonts w:hint="eastAsia" w:ascii="仿宋_GB2312" w:hAnsi="仿宋" w:eastAsia="仿宋_GB2312"/>
          <w:color w:val="000000"/>
          <w:kern w:val="0"/>
          <w:sz w:val="32"/>
          <w:szCs w:val="32"/>
          <w:shd w:val="clear" w:color="auto" w:fill="FFFFFF"/>
          <w:lang w:val="zh-CN"/>
        </w:rPr>
        <w:t>本单位已制定内部财务管理制度等制度机制，得2分，财务管理制度得到落实，自评得2分。</w:t>
      </w:r>
    </w:p>
    <w:p w14:paraId="38663922">
      <w:pPr>
        <w:numPr>
          <w:ilvl w:val="0"/>
          <w:numId w:val="7"/>
        </w:numPr>
        <w:adjustRightInd w:val="0"/>
        <w:snapToGrid w:val="0"/>
        <w:spacing w:line="578" w:lineRule="exact"/>
        <w:ind w:left="420" w:leftChars="200"/>
        <w:contextualSpacing/>
        <w:jc w:val="left"/>
        <w:rPr>
          <w:rFonts w:ascii="仿宋_GB2312" w:hAnsi="仿宋" w:eastAsia="仿宋_GB2312" w:cs="楷体_GB2312"/>
          <w:color w:val="000000"/>
          <w:kern w:val="0"/>
          <w:sz w:val="32"/>
          <w:szCs w:val="32"/>
          <w:shd w:val="clear" w:color="auto" w:fill="FFFFFF"/>
          <w:lang w:val="zh-CN"/>
        </w:rPr>
      </w:pPr>
      <w:r>
        <w:rPr>
          <w:rFonts w:hint="eastAsia" w:ascii="仿宋_GB2312" w:hAnsi="仿宋" w:eastAsia="仿宋_GB2312"/>
          <w:color w:val="000000"/>
          <w:kern w:val="0"/>
          <w:sz w:val="32"/>
          <w:szCs w:val="32"/>
          <w:shd w:val="clear" w:color="auto" w:fill="FFFFFF"/>
          <w:lang w:val="zh-CN"/>
        </w:rPr>
        <w:t>财务岗位设置，自评得</w:t>
      </w:r>
      <w:r>
        <w:rPr>
          <w:rFonts w:hint="eastAsia" w:ascii="仿宋_GB2312" w:hAnsi="仿宋" w:eastAsia="仿宋_GB2312"/>
          <w:color w:val="000000"/>
          <w:kern w:val="0"/>
          <w:sz w:val="32"/>
          <w:szCs w:val="32"/>
          <w:shd w:val="clear" w:color="auto" w:fill="FFFFFF"/>
        </w:rPr>
        <w:t>2分。</w:t>
      </w:r>
    </w:p>
    <w:p w14:paraId="7F1CE426">
      <w:pPr>
        <w:adjustRightInd w:val="0"/>
        <w:snapToGrid w:val="0"/>
        <w:spacing w:line="578" w:lineRule="exact"/>
        <w:ind w:firstLine="640" w:firstLineChars="200"/>
        <w:contextualSpacing/>
        <w:jc w:val="left"/>
        <w:rPr>
          <w:rFonts w:ascii="仿宋_GB2312" w:hAnsi="仿宋" w:eastAsia="仿宋_GB2312"/>
          <w:color w:val="000000"/>
          <w:kern w:val="0"/>
          <w:sz w:val="32"/>
          <w:szCs w:val="32"/>
          <w:shd w:val="clear" w:color="auto" w:fill="FFFFFF"/>
          <w:lang w:val="zh-CN"/>
        </w:rPr>
      </w:pPr>
      <w:r>
        <w:rPr>
          <w:rFonts w:hint="eastAsia" w:ascii="仿宋_GB2312" w:hAnsi="仿宋" w:eastAsia="仿宋_GB2312"/>
          <w:color w:val="000000"/>
          <w:kern w:val="0"/>
          <w:sz w:val="32"/>
          <w:szCs w:val="32"/>
          <w:shd w:val="clear" w:color="auto" w:fill="FFFFFF"/>
          <w:lang w:val="zh-CN"/>
        </w:rPr>
        <w:t>本单位合理设置财务工作岗位，明确职责权限，并严格实行不相容岗位分离，自评得2分。</w:t>
      </w:r>
    </w:p>
    <w:p w14:paraId="62BD6F79">
      <w:pPr>
        <w:numPr>
          <w:ilvl w:val="0"/>
          <w:numId w:val="7"/>
        </w:numPr>
        <w:adjustRightInd w:val="0"/>
        <w:snapToGrid w:val="0"/>
        <w:spacing w:line="578" w:lineRule="exact"/>
        <w:ind w:left="420" w:leftChars="200"/>
        <w:contextualSpacing/>
        <w:jc w:val="left"/>
        <w:rPr>
          <w:rFonts w:ascii="仿宋_GB2312" w:hAnsi="仿宋" w:eastAsia="仿宋_GB2312" w:cs="楷体_GB2312"/>
          <w:color w:val="000000"/>
          <w:kern w:val="0"/>
          <w:sz w:val="32"/>
          <w:szCs w:val="32"/>
          <w:shd w:val="clear" w:color="auto" w:fill="FFFFFF"/>
          <w:lang w:val="zh-CN"/>
        </w:rPr>
      </w:pPr>
      <w:r>
        <w:rPr>
          <w:rFonts w:hint="eastAsia" w:ascii="仿宋_GB2312" w:hAnsi="仿宋" w:eastAsia="仿宋_GB2312"/>
          <w:color w:val="000000"/>
          <w:kern w:val="0"/>
          <w:sz w:val="32"/>
          <w:szCs w:val="32"/>
          <w:shd w:val="clear" w:color="auto" w:fill="FFFFFF"/>
          <w:lang w:val="zh-CN"/>
        </w:rPr>
        <w:t>资金使用规范，自评得</w:t>
      </w:r>
      <w:r>
        <w:rPr>
          <w:rFonts w:hint="eastAsia" w:ascii="仿宋_GB2312" w:hAnsi="仿宋" w:eastAsia="仿宋_GB2312"/>
          <w:color w:val="000000"/>
          <w:kern w:val="0"/>
          <w:sz w:val="32"/>
          <w:szCs w:val="32"/>
          <w:shd w:val="clear" w:color="auto" w:fill="FFFFFF"/>
        </w:rPr>
        <w:t>4分。</w:t>
      </w:r>
    </w:p>
    <w:p w14:paraId="384AA390">
      <w:pPr>
        <w:adjustRightInd w:val="0"/>
        <w:snapToGrid w:val="0"/>
        <w:spacing w:line="578" w:lineRule="exact"/>
        <w:ind w:firstLine="640" w:firstLineChars="200"/>
        <w:contextualSpacing/>
        <w:jc w:val="left"/>
        <w:rPr>
          <w:rFonts w:ascii="仿宋_GB2312" w:hAnsi="仿宋" w:eastAsia="仿宋_GB2312"/>
          <w:color w:val="000000"/>
          <w:kern w:val="0"/>
          <w:sz w:val="32"/>
          <w:szCs w:val="32"/>
          <w:shd w:val="clear" w:color="auto" w:fill="FFFFFF"/>
        </w:rPr>
      </w:pPr>
      <w:r>
        <w:rPr>
          <w:rFonts w:hint="eastAsia" w:ascii="仿宋_GB2312" w:hAnsi="仿宋" w:eastAsia="仿宋_GB2312"/>
          <w:color w:val="000000"/>
          <w:kern w:val="0"/>
          <w:sz w:val="32"/>
          <w:szCs w:val="32"/>
          <w:shd w:val="clear" w:color="auto" w:fill="FFFFFF"/>
          <w:lang w:val="zh-CN"/>
        </w:rPr>
        <w:t>本单位资金使用符合相关财务管理制度规定，无违纪违规事项发生，故自评得</w:t>
      </w:r>
      <w:r>
        <w:rPr>
          <w:rFonts w:hint="eastAsia" w:ascii="仿宋_GB2312" w:hAnsi="仿宋" w:eastAsia="仿宋_GB2312"/>
          <w:color w:val="000000"/>
          <w:kern w:val="0"/>
          <w:sz w:val="32"/>
          <w:szCs w:val="32"/>
          <w:shd w:val="clear" w:color="auto" w:fill="FFFFFF"/>
        </w:rPr>
        <w:t>4分。</w:t>
      </w:r>
    </w:p>
    <w:p w14:paraId="494F7AD6">
      <w:pPr>
        <w:tabs>
          <w:tab w:val="left" w:pos="312"/>
        </w:tabs>
        <w:adjustRightInd w:val="0"/>
        <w:snapToGrid w:val="0"/>
        <w:spacing w:line="578" w:lineRule="exact"/>
        <w:ind w:left="643"/>
        <w:contextualSpacing/>
        <w:jc w:val="left"/>
        <w:rPr>
          <w:rFonts w:ascii="仿宋_GB2312" w:hAnsi="仿宋" w:eastAsia="仿宋_GB2312" w:cs="楷体_GB2312"/>
          <w:b/>
          <w:bCs/>
          <w:color w:val="000000"/>
          <w:kern w:val="0"/>
          <w:sz w:val="32"/>
          <w:szCs w:val="32"/>
          <w:shd w:val="clear" w:color="auto" w:fill="FFFFFF"/>
          <w:lang w:val="zh-CN"/>
        </w:rPr>
      </w:pPr>
      <w:r>
        <w:rPr>
          <w:rFonts w:hint="eastAsia" w:ascii="仿宋_GB2312" w:hAnsi="仿宋" w:eastAsia="仿宋_GB2312" w:cs="楷体_GB2312"/>
          <w:b/>
          <w:bCs/>
          <w:color w:val="000000"/>
          <w:kern w:val="0"/>
          <w:sz w:val="32"/>
          <w:szCs w:val="32"/>
          <w:shd w:val="clear" w:color="auto" w:fill="FFFFFF"/>
          <w:lang w:val="zh-CN"/>
        </w:rPr>
        <w:t>3.  资产管理，自评得</w:t>
      </w:r>
      <w:r>
        <w:rPr>
          <w:rFonts w:hint="eastAsia" w:ascii="仿宋_GB2312" w:hAnsi="仿宋" w:eastAsia="仿宋_GB2312" w:cs="楷体_GB2312"/>
          <w:b/>
          <w:bCs/>
          <w:color w:val="000000"/>
          <w:kern w:val="0"/>
          <w:sz w:val="32"/>
          <w:szCs w:val="32"/>
          <w:shd w:val="clear" w:color="auto" w:fill="FFFFFF"/>
        </w:rPr>
        <w:t>6分。</w:t>
      </w:r>
    </w:p>
    <w:p w14:paraId="72F4F982">
      <w:pPr>
        <w:numPr>
          <w:ilvl w:val="0"/>
          <w:numId w:val="8"/>
        </w:numPr>
        <w:adjustRightInd w:val="0"/>
        <w:snapToGrid w:val="0"/>
        <w:spacing w:line="578" w:lineRule="exact"/>
        <w:ind w:left="420" w:leftChars="200"/>
        <w:contextualSpacing/>
        <w:jc w:val="left"/>
        <w:rPr>
          <w:rFonts w:ascii="仿宋_GB2312" w:hAnsi="仿宋" w:eastAsia="仿宋_GB2312" w:cs="楷体_GB2312"/>
          <w:color w:val="000000"/>
          <w:kern w:val="0"/>
          <w:sz w:val="32"/>
          <w:szCs w:val="32"/>
          <w:shd w:val="clear" w:color="auto" w:fill="FFFFFF"/>
          <w:lang w:val="zh-CN"/>
        </w:rPr>
      </w:pPr>
      <w:r>
        <w:rPr>
          <w:rFonts w:hint="eastAsia" w:ascii="仿宋_GB2312" w:hAnsi="仿宋" w:eastAsia="仿宋_GB2312"/>
          <w:color w:val="000000"/>
          <w:kern w:val="0"/>
          <w:sz w:val="32"/>
          <w:szCs w:val="32"/>
          <w:shd w:val="clear" w:color="auto" w:fill="FFFFFF"/>
          <w:lang w:val="zh-CN"/>
        </w:rPr>
        <w:t>人均资产变化率，自评得</w:t>
      </w:r>
      <w:r>
        <w:rPr>
          <w:rFonts w:hint="eastAsia" w:ascii="仿宋_GB2312" w:hAnsi="仿宋" w:eastAsia="仿宋_GB2312"/>
          <w:color w:val="000000"/>
          <w:kern w:val="0"/>
          <w:sz w:val="32"/>
          <w:szCs w:val="32"/>
          <w:shd w:val="clear" w:color="auto" w:fill="FFFFFF"/>
        </w:rPr>
        <w:t>3分。</w:t>
      </w:r>
    </w:p>
    <w:p w14:paraId="54519E54">
      <w:pPr>
        <w:adjustRightInd w:val="0"/>
        <w:snapToGrid w:val="0"/>
        <w:spacing w:line="578" w:lineRule="exact"/>
        <w:ind w:firstLine="640" w:firstLineChars="200"/>
        <w:contextualSpacing/>
        <w:jc w:val="left"/>
        <w:rPr>
          <w:rFonts w:ascii="仿宋_GB2312" w:hAnsi="仿宋" w:eastAsia="仿宋_GB2312" w:cs="楷体_GB2312"/>
          <w:color w:val="000000"/>
          <w:kern w:val="0"/>
          <w:sz w:val="32"/>
          <w:szCs w:val="32"/>
          <w:shd w:val="clear" w:color="auto" w:fill="FFFFFF"/>
          <w:lang w:val="zh-CN"/>
        </w:rPr>
      </w:pPr>
      <w:r>
        <w:rPr>
          <w:rFonts w:hint="eastAsia" w:ascii="仿宋_GB2312" w:hAnsi="仿宋" w:eastAsia="仿宋_GB2312"/>
          <w:color w:val="000000"/>
          <w:kern w:val="0"/>
          <w:sz w:val="32"/>
          <w:szCs w:val="32"/>
          <w:shd w:val="clear" w:color="auto" w:fill="FFFFFF"/>
          <w:lang w:val="zh-CN"/>
        </w:rPr>
        <w:t>本单位本年度无新增及减少资产，只是人员新增</w:t>
      </w:r>
      <w:r>
        <w:rPr>
          <w:rFonts w:hint="eastAsia" w:ascii="仿宋_GB2312" w:hAnsi="仿宋" w:eastAsia="仿宋_GB2312"/>
          <w:color w:val="000000"/>
          <w:kern w:val="0"/>
          <w:sz w:val="32"/>
          <w:szCs w:val="32"/>
          <w:shd w:val="clear" w:color="auto" w:fill="FFFFFF"/>
        </w:rPr>
        <w:t>1人，</w:t>
      </w:r>
      <w:r>
        <w:rPr>
          <w:rFonts w:hint="eastAsia" w:ascii="仿宋_GB2312" w:hAnsi="仿宋" w:eastAsia="仿宋_GB2312"/>
          <w:color w:val="000000"/>
          <w:kern w:val="0"/>
          <w:sz w:val="32"/>
          <w:szCs w:val="32"/>
          <w:shd w:val="clear" w:color="auto" w:fill="FFFFFF"/>
          <w:lang w:val="zh-CN"/>
        </w:rPr>
        <w:t>人均资产变化率不大，故此项自评得</w:t>
      </w:r>
      <w:r>
        <w:rPr>
          <w:rFonts w:hint="eastAsia" w:ascii="仿宋_GB2312" w:hAnsi="仿宋" w:eastAsia="仿宋_GB2312"/>
          <w:color w:val="000000"/>
          <w:kern w:val="0"/>
          <w:sz w:val="32"/>
          <w:szCs w:val="32"/>
          <w:shd w:val="clear" w:color="auto" w:fill="FFFFFF"/>
        </w:rPr>
        <w:t>3分。</w:t>
      </w:r>
    </w:p>
    <w:p w14:paraId="51F914E0">
      <w:pPr>
        <w:numPr>
          <w:ilvl w:val="0"/>
          <w:numId w:val="8"/>
        </w:numPr>
        <w:adjustRightInd w:val="0"/>
        <w:snapToGrid w:val="0"/>
        <w:spacing w:line="578" w:lineRule="exact"/>
        <w:ind w:left="420" w:leftChars="200"/>
        <w:contextualSpacing/>
        <w:jc w:val="left"/>
        <w:rPr>
          <w:rFonts w:ascii="仿宋_GB2312" w:hAnsi="仿宋" w:eastAsia="仿宋_GB2312" w:cs="楷体_GB2312"/>
          <w:color w:val="000000"/>
          <w:kern w:val="0"/>
          <w:sz w:val="32"/>
          <w:szCs w:val="32"/>
          <w:shd w:val="clear" w:color="auto" w:fill="FFFFFF"/>
          <w:lang w:val="zh-CN"/>
        </w:rPr>
      </w:pPr>
      <w:r>
        <w:rPr>
          <w:rFonts w:hint="eastAsia" w:ascii="仿宋_GB2312" w:hAnsi="仿宋" w:eastAsia="仿宋_GB2312"/>
          <w:color w:val="000000"/>
          <w:kern w:val="0"/>
          <w:sz w:val="32"/>
          <w:szCs w:val="32"/>
          <w:shd w:val="clear" w:color="auto" w:fill="FFFFFF"/>
          <w:lang w:val="zh-CN"/>
        </w:rPr>
        <w:t>资产利用率，自评得</w:t>
      </w:r>
      <w:r>
        <w:rPr>
          <w:rFonts w:hint="eastAsia" w:ascii="仿宋_GB2312" w:hAnsi="仿宋" w:eastAsia="仿宋_GB2312"/>
          <w:color w:val="000000"/>
          <w:kern w:val="0"/>
          <w:sz w:val="32"/>
          <w:szCs w:val="32"/>
          <w:shd w:val="clear" w:color="auto" w:fill="FFFFFF"/>
        </w:rPr>
        <w:t>3分。</w:t>
      </w:r>
    </w:p>
    <w:p w14:paraId="0B5381D3">
      <w:pPr>
        <w:adjustRightInd w:val="0"/>
        <w:snapToGrid w:val="0"/>
        <w:spacing w:line="578" w:lineRule="exact"/>
        <w:ind w:firstLine="640" w:firstLineChars="200"/>
        <w:contextualSpacing/>
        <w:jc w:val="left"/>
        <w:rPr>
          <w:rFonts w:ascii="仿宋_GB2312" w:hAnsi="仿宋" w:eastAsia="仿宋_GB2312" w:cs="楷体_GB2312"/>
          <w:color w:val="000000"/>
          <w:kern w:val="0"/>
          <w:sz w:val="32"/>
          <w:szCs w:val="32"/>
          <w:shd w:val="clear" w:color="auto" w:fill="FFFFFF"/>
          <w:lang w:val="zh-CN"/>
        </w:rPr>
      </w:pPr>
      <w:r>
        <w:rPr>
          <w:rFonts w:hint="eastAsia" w:ascii="仿宋_GB2312" w:hAnsi="仿宋" w:eastAsia="仿宋_GB2312"/>
          <w:color w:val="000000"/>
          <w:kern w:val="0"/>
          <w:sz w:val="32"/>
          <w:szCs w:val="32"/>
          <w:shd w:val="clear" w:color="auto" w:fill="FFFFFF"/>
          <w:lang w:val="zh-CN"/>
        </w:rPr>
        <w:t>本单位没有超最低使用年限的办公家具，所有的资产均在正常使用中，故此项自评得</w:t>
      </w:r>
      <w:r>
        <w:rPr>
          <w:rFonts w:hint="eastAsia" w:ascii="仿宋_GB2312" w:hAnsi="仿宋" w:eastAsia="仿宋_GB2312"/>
          <w:color w:val="000000"/>
          <w:kern w:val="0"/>
          <w:sz w:val="32"/>
          <w:szCs w:val="32"/>
          <w:shd w:val="clear" w:color="auto" w:fill="FFFFFF"/>
        </w:rPr>
        <w:t>3分。</w:t>
      </w:r>
    </w:p>
    <w:p w14:paraId="21313EE0">
      <w:pPr>
        <w:numPr>
          <w:ilvl w:val="0"/>
          <w:numId w:val="8"/>
        </w:numPr>
        <w:adjustRightInd w:val="0"/>
        <w:snapToGrid w:val="0"/>
        <w:spacing w:line="578" w:lineRule="exact"/>
        <w:ind w:left="420" w:leftChars="200"/>
        <w:contextualSpacing/>
        <w:jc w:val="left"/>
        <w:rPr>
          <w:rFonts w:ascii="仿宋_GB2312" w:hAnsi="仿宋" w:eastAsia="仿宋_GB2312" w:cs="楷体_GB2312"/>
          <w:color w:val="000000"/>
          <w:kern w:val="0"/>
          <w:sz w:val="32"/>
          <w:szCs w:val="32"/>
          <w:shd w:val="clear" w:color="auto" w:fill="FFFFFF"/>
          <w:lang w:val="zh-CN"/>
        </w:rPr>
      </w:pPr>
      <w:r>
        <w:rPr>
          <w:rFonts w:hint="eastAsia" w:ascii="仿宋_GB2312" w:hAnsi="仿宋" w:eastAsia="仿宋_GB2312"/>
          <w:color w:val="000000"/>
          <w:kern w:val="0"/>
          <w:sz w:val="32"/>
          <w:szCs w:val="32"/>
          <w:shd w:val="clear" w:color="auto" w:fill="FFFFFF"/>
          <w:lang w:val="zh-CN"/>
        </w:rPr>
        <w:t>资产盘活率，本单位无闲置资产，此项指标不适用。</w:t>
      </w:r>
    </w:p>
    <w:p w14:paraId="0034E522">
      <w:pPr>
        <w:tabs>
          <w:tab w:val="left" w:pos="312"/>
        </w:tabs>
        <w:adjustRightInd w:val="0"/>
        <w:snapToGrid w:val="0"/>
        <w:spacing w:line="578" w:lineRule="exact"/>
        <w:ind w:left="643"/>
        <w:contextualSpacing/>
        <w:jc w:val="left"/>
        <w:rPr>
          <w:rFonts w:ascii="仿宋_GB2312" w:hAnsi="仿宋" w:eastAsia="仿宋_GB2312" w:cs="楷体_GB2312"/>
          <w:b/>
          <w:bCs/>
          <w:color w:val="000000"/>
          <w:kern w:val="0"/>
          <w:sz w:val="32"/>
          <w:szCs w:val="32"/>
          <w:shd w:val="clear" w:color="auto" w:fill="FFFFFF"/>
          <w:lang w:val="zh-CN"/>
        </w:rPr>
      </w:pPr>
      <w:r>
        <w:rPr>
          <w:rFonts w:hint="eastAsia" w:ascii="仿宋_GB2312" w:hAnsi="仿宋" w:eastAsia="仿宋_GB2312" w:cs="楷体_GB2312"/>
          <w:b/>
          <w:bCs/>
          <w:color w:val="000000"/>
          <w:kern w:val="0"/>
          <w:sz w:val="32"/>
          <w:szCs w:val="32"/>
          <w:shd w:val="clear" w:color="auto" w:fill="FFFFFF"/>
          <w:lang w:val="zh-CN"/>
        </w:rPr>
        <w:t>4.  采购管理，</w:t>
      </w:r>
      <w:r>
        <w:rPr>
          <w:rFonts w:hint="eastAsia" w:ascii="仿宋_GB2312" w:hAnsi="仿宋" w:eastAsia="仿宋_GB2312"/>
          <w:b/>
          <w:bCs/>
          <w:color w:val="000000"/>
          <w:kern w:val="0"/>
          <w:sz w:val="32"/>
          <w:szCs w:val="32"/>
          <w:shd w:val="clear" w:color="auto" w:fill="FFFFFF"/>
        </w:rPr>
        <w:t>自评得6分。</w:t>
      </w:r>
    </w:p>
    <w:p w14:paraId="1266711E">
      <w:pPr>
        <w:numPr>
          <w:ilvl w:val="0"/>
          <w:numId w:val="9"/>
        </w:numPr>
        <w:adjustRightInd w:val="0"/>
        <w:snapToGrid w:val="0"/>
        <w:spacing w:line="578" w:lineRule="exact"/>
        <w:ind w:left="420" w:leftChars="200"/>
        <w:contextualSpacing/>
        <w:jc w:val="left"/>
        <w:rPr>
          <w:rFonts w:ascii="仿宋_GB2312" w:hAnsi="仿宋" w:eastAsia="仿宋_GB2312"/>
          <w:color w:val="000000"/>
          <w:kern w:val="0"/>
          <w:sz w:val="32"/>
          <w:szCs w:val="32"/>
          <w:shd w:val="clear" w:color="auto" w:fill="FFFFFF"/>
          <w:lang w:val="zh-CN"/>
        </w:rPr>
      </w:pPr>
      <w:r>
        <w:rPr>
          <w:rFonts w:hint="eastAsia" w:ascii="仿宋_GB2312" w:hAnsi="仿宋" w:eastAsia="仿宋_GB2312"/>
          <w:color w:val="000000"/>
          <w:kern w:val="0"/>
          <w:sz w:val="32"/>
          <w:szCs w:val="32"/>
          <w:shd w:val="clear" w:color="auto" w:fill="FFFFFF"/>
          <w:lang w:val="zh-CN"/>
        </w:rPr>
        <w:t>支持中小企业发展</w:t>
      </w:r>
      <w:r>
        <w:rPr>
          <w:rFonts w:hint="eastAsia" w:ascii="仿宋_GB2312" w:hAnsi="仿宋" w:eastAsia="仿宋_GB2312"/>
          <w:color w:val="000000"/>
          <w:kern w:val="0"/>
          <w:sz w:val="32"/>
          <w:szCs w:val="32"/>
          <w:shd w:val="clear" w:color="auto" w:fill="FFFFFF"/>
        </w:rPr>
        <w:t>,自评得3分。</w:t>
      </w:r>
    </w:p>
    <w:p w14:paraId="43D74A3A">
      <w:pPr>
        <w:adjustRightInd w:val="0"/>
        <w:snapToGrid w:val="0"/>
        <w:spacing w:line="578" w:lineRule="exact"/>
        <w:ind w:firstLine="640" w:firstLineChars="200"/>
        <w:contextualSpacing/>
        <w:jc w:val="left"/>
        <w:rPr>
          <w:rFonts w:ascii="仿宋_GB2312" w:hAnsi="仿宋" w:eastAsia="仿宋_GB2312"/>
          <w:color w:val="000000"/>
          <w:kern w:val="0"/>
          <w:sz w:val="32"/>
          <w:szCs w:val="32"/>
          <w:shd w:val="clear" w:color="auto" w:fill="FFFFFF"/>
        </w:rPr>
      </w:pPr>
      <w:r>
        <w:rPr>
          <w:rFonts w:hint="eastAsia" w:ascii="仿宋_GB2312" w:hAnsi="仿宋" w:eastAsia="仿宋_GB2312"/>
          <w:color w:val="000000"/>
          <w:kern w:val="0"/>
          <w:sz w:val="32"/>
          <w:szCs w:val="32"/>
          <w:shd w:val="clear" w:color="auto" w:fill="FFFFFF"/>
          <w:lang w:val="zh-CN"/>
        </w:rPr>
        <w:t>本年度本单位在</w:t>
      </w:r>
      <w:r>
        <w:rPr>
          <w:rFonts w:hint="eastAsia" w:ascii="仿宋_GB2312" w:hAnsi="仿宋" w:eastAsia="仿宋_GB2312"/>
          <w:color w:val="000000"/>
          <w:kern w:val="0"/>
          <w:sz w:val="32"/>
          <w:szCs w:val="32"/>
          <w:shd w:val="clear" w:color="auto" w:fill="FFFFFF"/>
        </w:rPr>
        <w:t>832平台（国家扶贫网）预留有采购份额，故该项自评得3分。</w:t>
      </w:r>
    </w:p>
    <w:p w14:paraId="780AFF36">
      <w:pPr>
        <w:numPr>
          <w:ilvl w:val="0"/>
          <w:numId w:val="9"/>
        </w:numPr>
        <w:adjustRightInd w:val="0"/>
        <w:snapToGrid w:val="0"/>
        <w:spacing w:line="578" w:lineRule="exact"/>
        <w:ind w:left="420" w:leftChars="200"/>
        <w:contextualSpacing/>
        <w:jc w:val="left"/>
        <w:rPr>
          <w:rFonts w:ascii="仿宋_GB2312" w:hAnsi="仿宋" w:eastAsia="仿宋_GB2312" w:cs="楷体_GB2312"/>
          <w:color w:val="000000"/>
          <w:kern w:val="0"/>
          <w:sz w:val="32"/>
          <w:szCs w:val="32"/>
          <w:shd w:val="clear" w:color="auto" w:fill="FFFFFF"/>
          <w:lang w:val="zh-CN"/>
        </w:rPr>
      </w:pPr>
      <w:r>
        <w:rPr>
          <w:rFonts w:hint="eastAsia" w:ascii="仿宋_GB2312" w:hAnsi="仿宋" w:eastAsia="仿宋_GB2312"/>
          <w:color w:val="000000"/>
          <w:kern w:val="0"/>
          <w:sz w:val="32"/>
          <w:szCs w:val="32"/>
          <w:shd w:val="clear" w:color="auto" w:fill="FFFFFF"/>
          <w:lang w:val="zh-CN"/>
        </w:rPr>
        <w:t>采购执行率，自评得</w:t>
      </w:r>
      <w:r>
        <w:rPr>
          <w:rFonts w:hint="eastAsia" w:ascii="仿宋_GB2312" w:hAnsi="仿宋" w:eastAsia="仿宋_GB2312"/>
          <w:color w:val="000000"/>
          <w:kern w:val="0"/>
          <w:sz w:val="32"/>
          <w:szCs w:val="32"/>
          <w:shd w:val="clear" w:color="auto" w:fill="FFFFFF"/>
        </w:rPr>
        <w:t>3分</w:t>
      </w:r>
      <w:r>
        <w:rPr>
          <w:rFonts w:hint="eastAsia" w:ascii="仿宋_GB2312" w:hAnsi="仿宋" w:eastAsia="仿宋_GB2312"/>
          <w:color w:val="000000"/>
          <w:kern w:val="0"/>
          <w:sz w:val="32"/>
          <w:szCs w:val="32"/>
          <w:shd w:val="clear" w:color="auto" w:fill="FFFFFF"/>
          <w:lang w:val="zh-CN"/>
        </w:rPr>
        <w:t>。</w:t>
      </w:r>
    </w:p>
    <w:p w14:paraId="2969401B">
      <w:pPr>
        <w:adjustRightInd w:val="0"/>
        <w:snapToGrid w:val="0"/>
        <w:spacing w:line="578" w:lineRule="exact"/>
        <w:ind w:firstLine="640" w:firstLineChars="200"/>
        <w:contextualSpacing/>
        <w:jc w:val="left"/>
        <w:rPr>
          <w:rFonts w:ascii="仿宋_GB2312" w:hAnsi="仿宋" w:eastAsia="仿宋_GB2312"/>
          <w:color w:val="000000"/>
          <w:kern w:val="0"/>
          <w:sz w:val="32"/>
          <w:szCs w:val="32"/>
          <w:shd w:val="clear" w:color="auto" w:fill="FFFFFF"/>
          <w:lang w:val="zh-CN"/>
        </w:rPr>
      </w:pPr>
      <w:r>
        <w:rPr>
          <w:rFonts w:hint="eastAsia" w:ascii="仿宋_GB2312" w:hAnsi="仿宋" w:eastAsia="仿宋_GB2312"/>
          <w:color w:val="000000"/>
          <w:kern w:val="0"/>
          <w:sz w:val="32"/>
          <w:szCs w:val="32"/>
          <w:shd w:val="clear" w:color="auto" w:fill="FFFFFF"/>
          <w:lang w:val="zh-CN"/>
        </w:rPr>
        <w:t>该项指标得分=当年政府采购实际支付总金额÷（当年政府采购总预算数-当年已完成采购项目节约金额）×100%×3</w:t>
      </w:r>
      <w:r>
        <w:rPr>
          <w:rFonts w:hint="eastAsia" w:ascii="仿宋_GB2312" w:hAnsi="仿宋" w:eastAsia="仿宋_GB2312"/>
          <w:color w:val="000000"/>
          <w:kern w:val="0"/>
          <w:sz w:val="32"/>
          <w:szCs w:val="32"/>
          <w:shd w:val="clear" w:color="auto" w:fill="FFFFFF"/>
        </w:rPr>
        <w:t>=4200</w:t>
      </w:r>
      <w:r>
        <w:rPr>
          <w:rFonts w:hint="eastAsia" w:ascii="仿宋_GB2312" w:hAnsi="仿宋" w:eastAsia="仿宋_GB2312"/>
          <w:color w:val="000000"/>
          <w:kern w:val="0"/>
          <w:sz w:val="32"/>
          <w:szCs w:val="32"/>
          <w:shd w:val="clear" w:color="auto" w:fill="FFFFFF"/>
          <w:lang w:val="zh-CN"/>
        </w:rPr>
        <w:t>÷（</w:t>
      </w:r>
      <w:r>
        <w:rPr>
          <w:rFonts w:hint="eastAsia" w:ascii="仿宋_GB2312" w:hAnsi="仿宋" w:eastAsia="仿宋_GB2312"/>
          <w:color w:val="000000"/>
          <w:kern w:val="0"/>
          <w:sz w:val="32"/>
          <w:szCs w:val="32"/>
          <w:shd w:val="clear" w:color="auto" w:fill="FFFFFF"/>
        </w:rPr>
        <w:t>4200-0</w:t>
      </w:r>
      <w:r>
        <w:rPr>
          <w:rFonts w:hint="eastAsia" w:ascii="仿宋_GB2312" w:hAnsi="仿宋" w:eastAsia="仿宋_GB2312"/>
          <w:color w:val="000000"/>
          <w:kern w:val="0"/>
          <w:sz w:val="32"/>
          <w:szCs w:val="32"/>
          <w:shd w:val="clear" w:color="auto" w:fill="FFFFFF"/>
          <w:lang w:val="zh-CN"/>
        </w:rPr>
        <w:t>）×100%×3</w:t>
      </w:r>
      <w:r>
        <w:rPr>
          <w:rFonts w:hint="eastAsia" w:ascii="仿宋_GB2312" w:hAnsi="仿宋" w:eastAsia="仿宋_GB2312"/>
          <w:color w:val="000000"/>
          <w:kern w:val="0"/>
          <w:sz w:val="32"/>
          <w:szCs w:val="32"/>
          <w:shd w:val="clear" w:color="auto" w:fill="FFFFFF"/>
        </w:rPr>
        <w:t>=3分</w:t>
      </w:r>
      <w:r>
        <w:rPr>
          <w:rFonts w:hint="eastAsia" w:ascii="仿宋_GB2312" w:hAnsi="仿宋" w:eastAsia="仿宋_GB2312"/>
          <w:color w:val="000000"/>
          <w:kern w:val="0"/>
          <w:sz w:val="32"/>
          <w:szCs w:val="32"/>
          <w:shd w:val="clear" w:color="auto" w:fill="FFFFFF"/>
          <w:lang w:val="zh-CN"/>
        </w:rPr>
        <w:t>。</w:t>
      </w:r>
    </w:p>
    <w:p w14:paraId="2818B288">
      <w:pPr>
        <w:adjustRightInd w:val="0"/>
        <w:snapToGrid w:val="0"/>
        <w:spacing w:line="578" w:lineRule="exact"/>
        <w:ind w:firstLine="321" w:firstLineChars="100"/>
        <w:contextualSpacing/>
        <w:jc w:val="left"/>
        <w:rPr>
          <w:rFonts w:ascii="仿宋_GB2312" w:hAnsi="仿宋" w:eastAsia="仿宋_GB2312"/>
          <w:color w:val="000000"/>
          <w:kern w:val="0"/>
          <w:sz w:val="32"/>
          <w:szCs w:val="32"/>
          <w:shd w:val="clear" w:color="auto" w:fill="FFFFFF"/>
        </w:rPr>
      </w:pPr>
      <w:r>
        <w:rPr>
          <w:rFonts w:hint="eastAsia" w:ascii="仿宋_GB2312" w:hAnsi="仿宋" w:eastAsia="仿宋_GB2312"/>
          <w:b/>
          <w:bCs/>
          <w:color w:val="000000"/>
          <w:kern w:val="0"/>
          <w:sz w:val="32"/>
          <w:szCs w:val="32"/>
          <w:shd w:val="clear" w:color="auto" w:fill="FFFFFF"/>
          <w:lang w:val="zh-CN"/>
        </w:rPr>
        <w:t>（二）部门预算项目绩效分析。</w:t>
      </w:r>
    </w:p>
    <w:p w14:paraId="70D4CFA2">
      <w:pPr>
        <w:adjustRightInd w:val="0"/>
        <w:snapToGrid w:val="0"/>
        <w:spacing w:line="578" w:lineRule="exact"/>
        <w:ind w:firstLine="640" w:firstLineChars="200"/>
        <w:contextualSpacing/>
        <w:jc w:val="left"/>
        <w:rPr>
          <w:rFonts w:ascii="仿宋_GB2312" w:hAnsi="仿宋" w:eastAsia="仿宋_GB2312"/>
          <w:color w:val="000000"/>
          <w:kern w:val="0"/>
          <w:sz w:val="32"/>
          <w:szCs w:val="32"/>
          <w:shd w:val="clear" w:color="auto" w:fill="FFFFFF"/>
          <w:lang w:val="zh-CN"/>
        </w:rPr>
      </w:pPr>
      <w:r>
        <w:rPr>
          <w:rFonts w:hint="eastAsia" w:ascii="仿宋_GB2312" w:hAnsi="仿宋" w:eastAsia="仿宋_GB2312"/>
          <w:color w:val="000000"/>
          <w:kern w:val="0"/>
          <w:sz w:val="32"/>
          <w:szCs w:val="32"/>
          <w:shd w:val="clear" w:color="auto" w:fill="FFFFFF"/>
        </w:rPr>
        <w:t>常年项目绩效分析。</w:t>
      </w:r>
      <w:r>
        <w:rPr>
          <w:rFonts w:hint="eastAsia" w:ascii="仿宋_GB2312" w:hAnsi="仿宋" w:eastAsia="仿宋_GB2312"/>
          <w:color w:val="000000"/>
          <w:kern w:val="0"/>
          <w:sz w:val="32"/>
          <w:szCs w:val="32"/>
          <w:shd w:val="clear" w:color="auto" w:fill="FFFFFF"/>
          <w:lang w:val="zh-CN"/>
        </w:rPr>
        <w:t>该类项目总数</w:t>
      </w:r>
      <w:r>
        <w:rPr>
          <w:rFonts w:hint="eastAsia" w:ascii="仿宋_GB2312" w:hAnsi="仿宋" w:eastAsia="仿宋_GB2312"/>
          <w:color w:val="000000"/>
          <w:kern w:val="0"/>
          <w:sz w:val="32"/>
          <w:szCs w:val="32"/>
          <w:shd w:val="clear" w:color="auto" w:fill="FFFFFF"/>
        </w:rPr>
        <w:t>1</w:t>
      </w:r>
      <w:r>
        <w:rPr>
          <w:rFonts w:hint="eastAsia" w:ascii="仿宋_GB2312" w:hAnsi="仿宋" w:eastAsia="仿宋_GB2312"/>
          <w:color w:val="000000"/>
          <w:kern w:val="0"/>
          <w:sz w:val="32"/>
          <w:szCs w:val="32"/>
          <w:shd w:val="clear" w:color="auto" w:fill="FFFFFF"/>
          <w:lang w:val="zh-CN"/>
        </w:rPr>
        <w:t>个，涉及预算总金额</w:t>
      </w:r>
      <w:r>
        <w:rPr>
          <w:rFonts w:hint="eastAsia" w:ascii="仿宋_GB2312" w:hAnsi="仿宋" w:eastAsia="仿宋_GB2312"/>
          <w:color w:val="000000"/>
          <w:kern w:val="0"/>
          <w:sz w:val="32"/>
          <w:szCs w:val="32"/>
          <w:shd w:val="clear" w:color="auto" w:fill="FFFFFF"/>
        </w:rPr>
        <w:t xml:space="preserve">   8</w:t>
      </w:r>
      <w:r>
        <w:rPr>
          <w:rFonts w:hint="eastAsia" w:ascii="仿宋_GB2312" w:hAnsi="仿宋" w:eastAsia="仿宋_GB2312"/>
          <w:color w:val="000000"/>
          <w:kern w:val="0"/>
          <w:sz w:val="32"/>
          <w:szCs w:val="32"/>
          <w:shd w:val="clear" w:color="auto" w:fill="FFFFFF"/>
          <w:lang w:val="zh-CN"/>
        </w:rPr>
        <w:t>万元，1—1</w:t>
      </w:r>
      <w:r>
        <w:rPr>
          <w:rFonts w:hint="eastAsia" w:ascii="仿宋_GB2312" w:hAnsi="仿宋" w:eastAsia="仿宋_GB2312"/>
          <w:color w:val="000000"/>
          <w:kern w:val="0"/>
          <w:sz w:val="32"/>
          <w:szCs w:val="32"/>
          <w:shd w:val="clear" w:color="auto" w:fill="FFFFFF"/>
        </w:rPr>
        <w:t>2</w:t>
      </w:r>
      <w:r>
        <w:rPr>
          <w:rFonts w:hint="eastAsia" w:ascii="仿宋_GB2312" w:hAnsi="仿宋" w:eastAsia="仿宋_GB2312"/>
          <w:color w:val="000000"/>
          <w:kern w:val="0"/>
          <w:sz w:val="32"/>
          <w:szCs w:val="32"/>
          <w:shd w:val="clear" w:color="auto" w:fill="FFFFFF"/>
          <w:lang w:val="zh-CN"/>
        </w:rPr>
        <w:t>月预算执行总体进度为</w:t>
      </w:r>
      <w:r>
        <w:rPr>
          <w:rFonts w:hint="eastAsia" w:ascii="仿宋_GB2312" w:hAnsi="仿宋" w:eastAsia="仿宋_GB2312"/>
          <w:color w:val="000000"/>
          <w:kern w:val="0"/>
          <w:sz w:val="32"/>
          <w:szCs w:val="32"/>
          <w:shd w:val="clear" w:color="auto" w:fill="FFFFFF"/>
        </w:rPr>
        <w:t xml:space="preserve">100 </w:t>
      </w:r>
      <w:r>
        <w:rPr>
          <w:rFonts w:hint="eastAsia" w:ascii="仿宋_GB2312" w:hAnsi="仿宋" w:eastAsia="仿宋_GB2312"/>
          <w:color w:val="000000"/>
          <w:kern w:val="0"/>
          <w:sz w:val="32"/>
          <w:szCs w:val="32"/>
          <w:shd w:val="clear" w:color="auto" w:fill="FFFFFF"/>
          <w:lang w:val="zh-CN"/>
        </w:rPr>
        <w:t>%，其中：预算结余率大于</w:t>
      </w:r>
      <w:r>
        <w:rPr>
          <w:rFonts w:hint="eastAsia" w:ascii="仿宋_GB2312" w:hAnsi="仿宋" w:eastAsia="仿宋_GB2312"/>
          <w:color w:val="000000"/>
          <w:kern w:val="0"/>
          <w:sz w:val="32"/>
          <w:szCs w:val="32"/>
          <w:shd w:val="clear" w:color="auto" w:fill="FFFFFF"/>
        </w:rPr>
        <w:t>10%</w:t>
      </w:r>
      <w:r>
        <w:rPr>
          <w:rFonts w:hint="eastAsia" w:ascii="仿宋_GB2312" w:hAnsi="仿宋" w:eastAsia="仿宋_GB2312"/>
          <w:color w:val="000000"/>
          <w:kern w:val="0"/>
          <w:sz w:val="32"/>
          <w:szCs w:val="32"/>
          <w:shd w:val="clear" w:color="auto" w:fill="FFFFFF"/>
          <w:lang w:val="zh-CN"/>
        </w:rPr>
        <w:t>的项目共计</w:t>
      </w:r>
      <w:r>
        <w:rPr>
          <w:rFonts w:hint="eastAsia" w:ascii="仿宋_GB2312" w:hAnsi="仿宋" w:eastAsia="仿宋_GB2312"/>
          <w:color w:val="000000"/>
          <w:kern w:val="0"/>
          <w:sz w:val="32"/>
          <w:szCs w:val="32"/>
          <w:shd w:val="clear" w:color="auto" w:fill="FFFFFF"/>
        </w:rPr>
        <w:t xml:space="preserve"> 0 </w:t>
      </w:r>
      <w:r>
        <w:rPr>
          <w:rFonts w:hint="eastAsia" w:ascii="仿宋_GB2312" w:hAnsi="仿宋" w:eastAsia="仿宋_GB2312"/>
          <w:color w:val="000000"/>
          <w:kern w:val="0"/>
          <w:sz w:val="32"/>
          <w:szCs w:val="32"/>
          <w:shd w:val="clear" w:color="auto" w:fill="FFFFFF"/>
          <w:lang w:val="zh-CN"/>
        </w:rPr>
        <w:t>个。</w:t>
      </w:r>
    </w:p>
    <w:p w14:paraId="1E0631CF">
      <w:pPr>
        <w:adjustRightInd w:val="0"/>
        <w:snapToGrid w:val="0"/>
        <w:spacing w:line="578" w:lineRule="exact"/>
        <w:ind w:firstLine="640" w:firstLineChars="200"/>
        <w:contextualSpacing/>
        <w:jc w:val="left"/>
        <w:rPr>
          <w:rFonts w:ascii="仿宋_GB2312" w:hAnsi="仿宋" w:eastAsia="仿宋_GB2312"/>
          <w:color w:val="000000"/>
          <w:kern w:val="0"/>
          <w:sz w:val="32"/>
          <w:szCs w:val="32"/>
          <w:shd w:val="clear" w:color="auto" w:fill="FFFFFF"/>
          <w:lang w:val="zh-CN"/>
        </w:rPr>
      </w:pPr>
      <w:r>
        <w:rPr>
          <w:rFonts w:hint="eastAsia" w:ascii="仿宋_GB2312" w:hAnsi="仿宋" w:eastAsia="仿宋_GB2312"/>
          <w:color w:val="000000"/>
          <w:kern w:val="0"/>
          <w:sz w:val="32"/>
          <w:szCs w:val="32"/>
          <w:shd w:val="clear" w:color="auto" w:fill="FFFFFF"/>
        </w:rPr>
        <w:t>阶段（一次性）项目绩效分析。</w:t>
      </w:r>
      <w:r>
        <w:rPr>
          <w:rFonts w:hint="eastAsia" w:ascii="仿宋_GB2312" w:hAnsi="仿宋" w:eastAsia="仿宋_GB2312"/>
          <w:color w:val="000000"/>
          <w:kern w:val="0"/>
          <w:sz w:val="32"/>
          <w:szCs w:val="32"/>
          <w:shd w:val="clear" w:color="auto" w:fill="FFFFFF"/>
          <w:lang w:val="zh-CN"/>
        </w:rPr>
        <w:t>该类项目总数</w:t>
      </w:r>
      <w:r>
        <w:rPr>
          <w:rFonts w:hint="eastAsia" w:ascii="仿宋_GB2312" w:hAnsi="仿宋" w:eastAsia="仿宋_GB2312"/>
          <w:color w:val="000000"/>
          <w:kern w:val="0"/>
          <w:sz w:val="32"/>
          <w:szCs w:val="32"/>
          <w:shd w:val="clear" w:color="auto" w:fill="FFFFFF"/>
        </w:rPr>
        <w:t xml:space="preserve"> 0 </w:t>
      </w:r>
      <w:r>
        <w:rPr>
          <w:rFonts w:hint="eastAsia" w:ascii="仿宋_GB2312" w:hAnsi="仿宋" w:eastAsia="仿宋_GB2312"/>
          <w:color w:val="000000"/>
          <w:kern w:val="0"/>
          <w:sz w:val="32"/>
          <w:szCs w:val="32"/>
          <w:shd w:val="clear" w:color="auto" w:fill="FFFFFF"/>
          <w:lang w:val="zh-CN"/>
        </w:rPr>
        <w:t>个，涉及预算总金额</w:t>
      </w:r>
      <w:r>
        <w:rPr>
          <w:rFonts w:hint="eastAsia" w:ascii="仿宋_GB2312" w:hAnsi="仿宋" w:eastAsia="仿宋_GB2312"/>
          <w:color w:val="000000"/>
          <w:kern w:val="0"/>
          <w:sz w:val="32"/>
          <w:szCs w:val="32"/>
          <w:shd w:val="clear" w:color="auto" w:fill="FFFFFF"/>
        </w:rPr>
        <w:t xml:space="preserve"> 0</w:t>
      </w:r>
      <w:r>
        <w:rPr>
          <w:rFonts w:hint="eastAsia" w:ascii="仿宋_GB2312" w:hAnsi="仿宋" w:eastAsia="仿宋_GB2312"/>
          <w:color w:val="000000"/>
          <w:kern w:val="0"/>
          <w:sz w:val="32"/>
          <w:szCs w:val="32"/>
          <w:shd w:val="clear" w:color="auto" w:fill="FFFFFF"/>
          <w:lang w:val="zh-CN"/>
        </w:rPr>
        <w:t>万元，1—1</w:t>
      </w:r>
      <w:r>
        <w:rPr>
          <w:rFonts w:hint="eastAsia" w:ascii="仿宋_GB2312" w:hAnsi="仿宋" w:eastAsia="仿宋_GB2312"/>
          <w:color w:val="000000"/>
          <w:kern w:val="0"/>
          <w:sz w:val="32"/>
          <w:szCs w:val="32"/>
          <w:shd w:val="clear" w:color="auto" w:fill="FFFFFF"/>
        </w:rPr>
        <w:t>2</w:t>
      </w:r>
      <w:r>
        <w:rPr>
          <w:rFonts w:hint="eastAsia" w:ascii="仿宋_GB2312" w:hAnsi="仿宋" w:eastAsia="仿宋_GB2312"/>
          <w:color w:val="000000"/>
          <w:kern w:val="0"/>
          <w:sz w:val="32"/>
          <w:szCs w:val="32"/>
          <w:shd w:val="clear" w:color="auto" w:fill="FFFFFF"/>
          <w:lang w:val="zh-CN"/>
        </w:rPr>
        <w:t>月预算执行总体进度为</w:t>
      </w:r>
      <w:r>
        <w:rPr>
          <w:rFonts w:hint="eastAsia" w:ascii="仿宋_GB2312" w:hAnsi="仿宋" w:eastAsia="仿宋_GB2312"/>
          <w:color w:val="000000"/>
          <w:kern w:val="0"/>
          <w:sz w:val="32"/>
          <w:szCs w:val="32"/>
          <w:shd w:val="clear" w:color="auto" w:fill="FFFFFF"/>
        </w:rPr>
        <w:t xml:space="preserve"> 0 </w:t>
      </w:r>
      <w:r>
        <w:rPr>
          <w:rFonts w:hint="eastAsia" w:ascii="仿宋_GB2312" w:hAnsi="仿宋" w:eastAsia="仿宋_GB2312"/>
          <w:color w:val="000000"/>
          <w:kern w:val="0"/>
          <w:sz w:val="32"/>
          <w:szCs w:val="32"/>
          <w:shd w:val="clear" w:color="auto" w:fill="FFFFFF"/>
          <w:lang w:val="zh-CN"/>
        </w:rPr>
        <w:t>%，其中：预算结余率大于</w:t>
      </w:r>
      <w:r>
        <w:rPr>
          <w:rFonts w:hint="eastAsia" w:ascii="仿宋_GB2312" w:hAnsi="仿宋" w:eastAsia="仿宋_GB2312"/>
          <w:color w:val="000000"/>
          <w:kern w:val="0"/>
          <w:sz w:val="32"/>
          <w:szCs w:val="32"/>
          <w:shd w:val="clear" w:color="auto" w:fill="FFFFFF"/>
        </w:rPr>
        <w:t>10%</w:t>
      </w:r>
      <w:r>
        <w:rPr>
          <w:rFonts w:hint="eastAsia" w:ascii="仿宋_GB2312" w:hAnsi="仿宋" w:eastAsia="仿宋_GB2312"/>
          <w:color w:val="000000"/>
          <w:kern w:val="0"/>
          <w:sz w:val="32"/>
          <w:szCs w:val="32"/>
          <w:shd w:val="clear" w:color="auto" w:fill="FFFFFF"/>
          <w:lang w:val="zh-CN"/>
        </w:rPr>
        <w:t>的项目共计</w:t>
      </w:r>
      <w:r>
        <w:rPr>
          <w:rFonts w:hint="eastAsia" w:ascii="仿宋_GB2312" w:hAnsi="仿宋" w:eastAsia="仿宋_GB2312"/>
          <w:color w:val="000000"/>
          <w:kern w:val="0"/>
          <w:sz w:val="32"/>
          <w:szCs w:val="32"/>
          <w:shd w:val="clear" w:color="auto" w:fill="FFFFFF"/>
        </w:rPr>
        <w:t xml:space="preserve"> 0 </w:t>
      </w:r>
      <w:r>
        <w:rPr>
          <w:rFonts w:hint="eastAsia" w:ascii="仿宋_GB2312" w:hAnsi="仿宋" w:eastAsia="仿宋_GB2312"/>
          <w:color w:val="000000"/>
          <w:kern w:val="0"/>
          <w:sz w:val="32"/>
          <w:szCs w:val="32"/>
          <w:shd w:val="clear" w:color="auto" w:fill="FFFFFF"/>
          <w:lang w:val="zh-CN"/>
        </w:rPr>
        <w:t>个。</w:t>
      </w:r>
    </w:p>
    <w:p w14:paraId="33CA166C">
      <w:pPr>
        <w:numPr>
          <w:ilvl w:val="0"/>
          <w:numId w:val="10"/>
        </w:numPr>
        <w:adjustRightInd w:val="0"/>
        <w:snapToGrid w:val="0"/>
        <w:spacing w:line="578" w:lineRule="exact"/>
        <w:ind w:firstLine="643" w:firstLineChars="200"/>
        <w:contextualSpacing/>
        <w:jc w:val="left"/>
        <w:rPr>
          <w:rFonts w:ascii="仿宋_GB2312" w:hAnsi="仿宋" w:eastAsia="仿宋_GB2312" w:cs="楷体_GB2312"/>
          <w:b/>
          <w:bCs/>
          <w:color w:val="000000"/>
          <w:kern w:val="0"/>
          <w:sz w:val="32"/>
          <w:szCs w:val="32"/>
          <w:shd w:val="clear" w:color="auto" w:fill="FFFFFF"/>
          <w:lang w:val="zh-CN"/>
        </w:rPr>
      </w:pPr>
      <w:r>
        <w:rPr>
          <w:rFonts w:hint="eastAsia" w:ascii="仿宋_GB2312" w:hAnsi="仿宋" w:eastAsia="仿宋_GB2312" w:cs="楷体_GB2312"/>
          <w:b/>
          <w:bCs/>
          <w:color w:val="000000"/>
          <w:kern w:val="0"/>
          <w:sz w:val="32"/>
          <w:szCs w:val="32"/>
          <w:shd w:val="clear" w:color="auto" w:fill="FFFFFF"/>
          <w:lang w:val="zh-CN"/>
        </w:rPr>
        <w:t>项目决策，自评得</w:t>
      </w:r>
      <w:r>
        <w:rPr>
          <w:rFonts w:hint="eastAsia" w:ascii="仿宋_GB2312" w:hAnsi="仿宋" w:eastAsia="仿宋_GB2312" w:cs="楷体_GB2312"/>
          <w:b/>
          <w:bCs/>
          <w:color w:val="000000"/>
          <w:kern w:val="0"/>
          <w:sz w:val="32"/>
          <w:szCs w:val="32"/>
          <w:shd w:val="clear" w:color="auto" w:fill="FFFFFF"/>
        </w:rPr>
        <w:t>12分。</w:t>
      </w:r>
    </w:p>
    <w:p w14:paraId="7DCFACAD">
      <w:pPr>
        <w:numPr>
          <w:ilvl w:val="0"/>
          <w:numId w:val="11"/>
        </w:numPr>
        <w:adjustRightInd w:val="0"/>
        <w:snapToGrid w:val="0"/>
        <w:spacing w:line="578" w:lineRule="exact"/>
        <w:ind w:firstLine="640" w:firstLineChars="200"/>
        <w:contextualSpacing/>
        <w:jc w:val="left"/>
        <w:rPr>
          <w:rFonts w:ascii="仿宋_GB2312" w:hAnsi="仿宋" w:eastAsia="仿宋_GB2312" w:cs="楷体_GB2312"/>
          <w:color w:val="000000"/>
          <w:kern w:val="0"/>
          <w:sz w:val="32"/>
          <w:szCs w:val="32"/>
          <w:shd w:val="clear" w:color="auto" w:fill="FFFFFF"/>
          <w:lang w:val="zh-CN"/>
        </w:rPr>
      </w:pPr>
      <w:r>
        <w:rPr>
          <w:rFonts w:hint="eastAsia" w:ascii="仿宋_GB2312" w:hAnsi="仿宋" w:eastAsia="仿宋_GB2312"/>
          <w:color w:val="000000"/>
          <w:kern w:val="0"/>
          <w:sz w:val="32"/>
          <w:szCs w:val="32"/>
          <w:shd w:val="clear" w:color="auto" w:fill="FFFFFF"/>
          <w:lang w:val="zh-CN"/>
        </w:rPr>
        <w:t>决策程序，自评得</w:t>
      </w:r>
      <w:r>
        <w:rPr>
          <w:rFonts w:hint="eastAsia" w:ascii="仿宋_GB2312" w:hAnsi="仿宋" w:eastAsia="仿宋_GB2312"/>
          <w:color w:val="000000"/>
          <w:kern w:val="0"/>
          <w:sz w:val="32"/>
          <w:szCs w:val="32"/>
          <w:shd w:val="clear" w:color="auto" w:fill="FFFFFF"/>
        </w:rPr>
        <w:t>4分。</w:t>
      </w:r>
    </w:p>
    <w:p w14:paraId="715EC48E">
      <w:pPr>
        <w:adjustRightInd w:val="0"/>
        <w:snapToGrid w:val="0"/>
        <w:spacing w:line="578" w:lineRule="exact"/>
        <w:ind w:firstLine="640" w:firstLineChars="200"/>
        <w:contextualSpacing/>
        <w:jc w:val="left"/>
        <w:rPr>
          <w:rFonts w:ascii="仿宋_GB2312" w:hAnsi="仿宋" w:eastAsia="仿宋_GB2312" w:cs="楷体_GB2312"/>
          <w:color w:val="000000"/>
          <w:kern w:val="0"/>
          <w:sz w:val="32"/>
          <w:szCs w:val="32"/>
          <w:shd w:val="clear" w:color="auto" w:fill="FFFFFF"/>
        </w:rPr>
      </w:pPr>
      <w:r>
        <w:rPr>
          <w:rFonts w:hint="eastAsia" w:ascii="仿宋_GB2312" w:hAnsi="仿宋" w:eastAsia="仿宋_GB2312"/>
          <w:color w:val="000000"/>
          <w:kern w:val="0"/>
          <w:sz w:val="32"/>
          <w:szCs w:val="32"/>
          <w:shd w:val="clear" w:color="auto" w:fill="FFFFFF"/>
        </w:rPr>
        <w:t>本年度本单位有专项业务（护林防火工作）1项，在预算初期单位对该项工作进行了评估论证并向财政申报获批，故此项自评得4分。</w:t>
      </w:r>
    </w:p>
    <w:p w14:paraId="498A652D">
      <w:pPr>
        <w:numPr>
          <w:ilvl w:val="0"/>
          <w:numId w:val="11"/>
        </w:numPr>
        <w:adjustRightInd w:val="0"/>
        <w:snapToGrid w:val="0"/>
        <w:spacing w:line="578" w:lineRule="exact"/>
        <w:ind w:firstLine="640" w:firstLineChars="200"/>
        <w:contextualSpacing/>
        <w:jc w:val="left"/>
        <w:rPr>
          <w:rFonts w:ascii="仿宋_GB2312" w:hAnsi="仿宋" w:eastAsia="仿宋_GB2312" w:cs="楷体_GB2312"/>
          <w:color w:val="000000"/>
          <w:kern w:val="0"/>
          <w:sz w:val="32"/>
          <w:szCs w:val="32"/>
          <w:shd w:val="clear" w:color="auto" w:fill="FFFFFF"/>
          <w:lang w:val="zh-CN"/>
        </w:rPr>
      </w:pPr>
      <w:r>
        <w:rPr>
          <w:rFonts w:hint="eastAsia" w:ascii="仿宋_GB2312" w:hAnsi="仿宋" w:eastAsia="仿宋_GB2312"/>
          <w:color w:val="000000"/>
          <w:kern w:val="0"/>
          <w:sz w:val="32"/>
          <w:szCs w:val="32"/>
          <w:shd w:val="clear" w:color="auto" w:fill="FFFFFF"/>
          <w:lang w:val="zh-CN"/>
        </w:rPr>
        <w:t>目标设置，自评得</w:t>
      </w:r>
      <w:r>
        <w:rPr>
          <w:rFonts w:hint="eastAsia" w:ascii="仿宋_GB2312" w:hAnsi="仿宋" w:eastAsia="仿宋_GB2312"/>
          <w:color w:val="000000"/>
          <w:kern w:val="0"/>
          <w:sz w:val="32"/>
          <w:szCs w:val="32"/>
          <w:shd w:val="clear" w:color="auto" w:fill="FFFFFF"/>
        </w:rPr>
        <w:t>4分。</w:t>
      </w:r>
    </w:p>
    <w:p w14:paraId="36C9F8BD">
      <w:pPr>
        <w:adjustRightInd w:val="0"/>
        <w:snapToGrid w:val="0"/>
        <w:spacing w:line="578" w:lineRule="exact"/>
        <w:ind w:firstLine="640" w:firstLineChars="200"/>
        <w:contextualSpacing/>
        <w:jc w:val="left"/>
        <w:rPr>
          <w:rFonts w:ascii="仿宋_GB2312" w:hAnsi="仿宋" w:eastAsia="仿宋_GB2312"/>
          <w:color w:val="000000"/>
          <w:kern w:val="0"/>
          <w:sz w:val="32"/>
          <w:szCs w:val="32"/>
          <w:shd w:val="clear" w:color="auto" w:fill="FFFFFF"/>
          <w:lang w:val="zh-CN"/>
        </w:rPr>
      </w:pPr>
      <w:r>
        <w:rPr>
          <w:rFonts w:hint="eastAsia" w:ascii="仿宋_GB2312" w:hAnsi="仿宋" w:eastAsia="仿宋_GB2312"/>
          <w:color w:val="000000"/>
          <w:kern w:val="0"/>
          <w:sz w:val="32"/>
          <w:szCs w:val="32"/>
          <w:shd w:val="clear" w:color="auto" w:fill="FFFFFF"/>
        </w:rPr>
        <w:t>本年度本单位</w:t>
      </w:r>
      <w:r>
        <w:rPr>
          <w:rFonts w:hint="eastAsia" w:ascii="仿宋_GB2312" w:hAnsi="仿宋" w:eastAsia="仿宋_GB2312"/>
          <w:color w:val="000000"/>
          <w:kern w:val="0"/>
          <w:sz w:val="32"/>
          <w:szCs w:val="32"/>
          <w:shd w:val="clear" w:color="auto" w:fill="FFFFFF"/>
          <w:lang w:val="zh-CN"/>
        </w:rPr>
        <w:t>绩效目标设置科学合理、规范完整、量化细化、与预算匹配，</w:t>
      </w:r>
      <w:r>
        <w:rPr>
          <w:rFonts w:hint="eastAsia" w:ascii="仿宋_GB2312" w:hAnsi="仿宋" w:eastAsia="仿宋_GB2312"/>
          <w:color w:val="000000"/>
          <w:kern w:val="0"/>
          <w:sz w:val="32"/>
          <w:szCs w:val="32"/>
          <w:shd w:val="clear" w:color="auto" w:fill="FFFFFF"/>
        </w:rPr>
        <w:t>故此项自评得4分。</w:t>
      </w:r>
    </w:p>
    <w:p w14:paraId="4A9A0F18">
      <w:pPr>
        <w:numPr>
          <w:ilvl w:val="0"/>
          <w:numId w:val="11"/>
        </w:numPr>
        <w:adjustRightInd w:val="0"/>
        <w:snapToGrid w:val="0"/>
        <w:spacing w:line="578" w:lineRule="exact"/>
        <w:ind w:firstLine="640" w:firstLineChars="200"/>
        <w:contextualSpacing/>
        <w:jc w:val="left"/>
        <w:rPr>
          <w:rFonts w:ascii="仿宋_GB2312" w:hAnsi="仿宋" w:eastAsia="仿宋_GB2312" w:cs="楷体_GB2312"/>
          <w:color w:val="000000"/>
          <w:kern w:val="0"/>
          <w:sz w:val="32"/>
          <w:szCs w:val="32"/>
          <w:shd w:val="clear" w:color="auto" w:fill="FFFFFF"/>
          <w:lang w:val="zh-CN"/>
        </w:rPr>
      </w:pPr>
      <w:r>
        <w:rPr>
          <w:rFonts w:hint="eastAsia" w:ascii="仿宋_GB2312" w:hAnsi="仿宋" w:eastAsia="仿宋_GB2312"/>
          <w:color w:val="000000"/>
          <w:kern w:val="0"/>
          <w:sz w:val="32"/>
          <w:szCs w:val="32"/>
          <w:shd w:val="clear" w:color="auto" w:fill="FFFFFF"/>
          <w:lang w:val="zh-CN"/>
        </w:rPr>
        <w:t>项目入库，自评得</w:t>
      </w:r>
      <w:r>
        <w:rPr>
          <w:rFonts w:hint="eastAsia" w:ascii="仿宋_GB2312" w:hAnsi="仿宋" w:eastAsia="仿宋_GB2312"/>
          <w:color w:val="000000"/>
          <w:kern w:val="0"/>
          <w:sz w:val="32"/>
          <w:szCs w:val="32"/>
          <w:shd w:val="clear" w:color="auto" w:fill="FFFFFF"/>
        </w:rPr>
        <w:t>4分</w:t>
      </w:r>
      <w:r>
        <w:rPr>
          <w:rFonts w:hint="eastAsia" w:ascii="仿宋_GB2312" w:hAnsi="仿宋" w:eastAsia="仿宋_GB2312"/>
          <w:color w:val="000000"/>
          <w:kern w:val="0"/>
          <w:sz w:val="32"/>
          <w:szCs w:val="32"/>
          <w:shd w:val="clear" w:color="auto" w:fill="FFFFFF"/>
          <w:lang w:val="zh-CN"/>
        </w:rPr>
        <w:t>。</w:t>
      </w:r>
    </w:p>
    <w:p w14:paraId="731BE355">
      <w:pPr>
        <w:adjustRightInd w:val="0"/>
        <w:snapToGrid w:val="0"/>
        <w:spacing w:line="578" w:lineRule="exact"/>
        <w:ind w:firstLine="640" w:firstLineChars="200"/>
        <w:contextualSpacing/>
        <w:jc w:val="left"/>
        <w:rPr>
          <w:rFonts w:ascii="仿宋_GB2312" w:hAnsi="仿宋" w:eastAsia="仿宋_GB2312"/>
          <w:color w:val="000000"/>
          <w:kern w:val="0"/>
          <w:sz w:val="32"/>
          <w:szCs w:val="32"/>
          <w:shd w:val="clear" w:color="auto" w:fill="FFFFFF"/>
          <w:lang w:val="zh-CN"/>
        </w:rPr>
      </w:pPr>
      <w:r>
        <w:rPr>
          <w:rFonts w:hint="eastAsia" w:ascii="仿宋_GB2312" w:hAnsi="仿宋" w:eastAsia="仿宋_GB2312"/>
          <w:color w:val="000000"/>
          <w:kern w:val="0"/>
          <w:sz w:val="32"/>
          <w:szCs w:val="32"/>
          <w:shd w:val="clear" w:color="auto" w:fill="FFFFFF"/>
        </w:rPr>
        <w:t>本年度本单位</w:t>
      </w:r>
      <w:r>
        <w:rPr>
          <w:rFonts w:hint="eastAsia" w:ascii="仿宋_GB2312" w:hAnsi="仿宋" w:eastAsia="仿宋_GB2312"/>
          <w:color w:val="000000"/>
          <w:kern w:val="0"/>
          <w:sz w:val="32"/>
          <w:szCs w:val="32"/>
          <w:shd w:val="clear" w:color="auto" w:fill="FFFFFF"/>
          <w:lang w:val="zh-CN"/>
        </w:rPr>
        <w:t>部门预算项目是在规定时间完成项目入库的，</w:t>
      </w:r>
      <w:r>
        <w:rPr>
          <w:rFonts w:hint="eastAsia" w:ascii="仿宋_GB2312" w:hAnsi="仿宋" w:eastAsia="仿宋_GB2312"/>
          <w:color w:val="000000"/>
          <w:kern w:val="0"/>
          <w:sz w:val="32"/>
          <w:szCs w:val="32"/>
          <w:shd w:val="clear" w:color="auto" w:fill="FFFFFF"/>
        </w:rPr>
        <w:t>此项自评得4分。</w:t>
      </w:r>
    </w:p>
    <w:p w14:paraId="091701D3">
      <w:pPr>
        <w:numPr>
          <w:ilvl w:val="0"/>
          <w:numId w:val="10"/>
        </w:numPr>
        <w:adjustRightInd w:val="0"/>
        <w:snapToGrid w:val="0"/>
        <w:spacing w:line="578" w:lineRule="exact"/>
        <w:ind w:firstLine="643" w:firstLineChars="200"/>
        <w:contextualSpacing/>
        <w:jc w:val="left"/>
        <w:rPr>
          <w:rFonts w:ascii="仿宋_GB2312" w:hAnsi="仿宋" w:eastAsia="仿宋_GB2312" w:cs="楷体_GB2312"/>
          <w:b/>
          <w:bCs/>
          <w:color w:val="000000"/>
          <w:kern w:val="0"/>
          <w:sz w:val="32"/>
          <w:szCs w:val="32"/>
          <w:shd w:val="clear" w:color="auto" w:fill="FFFFFF"/>
          <w:lang w:val="zh-CN"/>
        </w:rPr>
      </w:pPr>
      <w:r>
        <w:rPr>
          <w:rFonts w:hint="eastAsia" w:ascii="仿宋_GB2312" w:hAnsi="仿宋" w:eastAsia="仿宋_GB2312" w:cs="楷体_GB2312"/>
          <w:b/>
          <w:bCs/>
          <w:color w:val="000000"/>
          <w:kern w:val="0"/>
          <w:sz w:val="32"/>
          <w:szCs w:val="32"/>
          <w:shd w:val="clear" w:color="auto" w:fill="FFFFFF"/>
        </w:rPr>
        <w:t>项目执行</w:t>
      </w:r>
      <w:r>
        <w:rPr>
          <w:rFonts w:hint="eastAsia" w:ascii="仿宋_GB2312" w:hAnsi="仿宋" w:eastAsia="仿宋_GB2312" w:cs="楷体_GB2312"/>
          <w:b/>
          <w:bCs/>
          <w:color w:val="000000"/>
          <w:kern w:val="0"/>
          <w:sz w:val="32"/>
          <w:szCs w:val="32"/>
          <w:shd w:val="clear" w:color="auto" w:fill="FFFFFF"/>
          <w:lang w:val="zh-CN"/>
        </w:rPr>
        <w:t>，自评得</w:t>
      </w:r>
      <w:r>
        <w:rPr>
          <w:rFonts w:hint="eastAsia" w:ascii="仿宋_GB2312" w:hAnsi="仿宋" w:eastAsia="仿宋_GB2312" w:cs="楷体_GB2312"/>
          <w:b/>
          <w:bCs/>
          <w:color w:val="000000"/>
          <w:kern w:val="0"/>
          <w:sz w:val="32"/>
          <w:szCs w:val="32"/>
          <w:shd w:val="clear" w:color="auto" w:fill="FFFFFF"/>
        </w:rPr>
        <w:t>12分。</w:t>
      </w:r>
    </w:p>
    <w:p w14:paraId="474DCA8F">
      <w:pPr>
        <w:numPr>
          <w:ilvl w:val="0"/>
          <w:numId w:val="12"/>
        </w:numPr>
        <w:adjustRightInd w:val="0"/>
        <w:snapToGrid w:val="0"/>
        <w:spacing w:line="578" w:lineRule="exact"/>
        <w:ind w:left="420" w:leftChars="200"/>
        <w:contextualSpacing/>
        <w:jc w:val="left"/>
        <w:rPr>
          <w:rFonts w:ascii="仿宋_GB2312" w:hAnsi="仿宋" w:eastAsia="仿宋_GB2312"/>
          <w:color w:val="000000"/>
          <w:kern w:val="0"/>
          <w:sz w:val="32"/>
          <w:szCs w:val="32"/>
          <w:shd w:val="clear" w:color="auto" w:fill="FFFFFF"/>
          <w:lang w:val="zh-CN"/>
        </w:rPr>
      </w:pPr>
      <w:r>
        <w:rPr>
          <w:rFonts w:hint="eastAsia" w:ascii="仿宋_GB2312" w:hAnsi="仿宋" w:eastAsia="仿宋_GB2312"/>
          <w:color w:val="000000"/>
          <w:kern w:val="0"/>
          <w:sz w:val="32"/>
          <w:szCs w:val="32"/>
          <w:shd w:val="clear" w:color="auto" w:fill="FFFFFF"/>
          <w:lang w:val="zh-CN"/>
        </w:rPr>
        <w:t>资金执行同向，自评得</w:t>
      </w:r>
      <w:r>
        <w:rPr>
          <w:rFonts w:hint="eastAsia" w:ascii="仿宋_GB2312" w:hAnsi="仿宋" w:eastAsia="仿宋_GB2312"/>
          <w:color w:val="000000"/>
          <w:kern w:val="0"/>
          <w:sz w:val="32"/>
          <w:szCs w:val="32"/>
          <w:shd w:val="clear" w:color="auto" w:fill="FFFFFF"/>
        </w:rPr>
        <w:t>4分。</w:t>
      </w:r>
    </w:p>
    <w:p w14:paraId="241C6D91">
      <w:pPr>
        <w:adjustRightInd w:val="0"/>
        <w:snapToGrid w:val="0"/>
        <w:spacing w:line="578" w:lineRule="exact"/>
        <w:ind w:firstLine="640" w:firstLineChars="200"/>
        <w:contextualSpacing/>
        <w:jc w:val="left"/>
        <w:rPr>
          <w:rFonts w:ascii="仿宋_GB2312" w:hAnsi="仿宋" w:eastAsia="仿宋_GB2312"/>
          <w:color w:val="000000"/>
          <w:kern w:val="0"/>
          <w:sz w:val="32"/>
          <w:szCs w:val="32"/>
          <w:shd w:val="clear" w:color="auto" w:fill="FFFFFF"/>
          <w:lang w:val="zh-CN"/>
        </w:rPr>
      </w:pPr>
      <w:r>
        <w:rPr>
          <w:rFonts w:hint="eastAsia" w:ascii="仿宋_GB2312" w:hAnsi="仿宋" w:eastAsia="仿宋_GB2312"/>
          <w:color w:val="000000"/>
          <w:kern w:val="0"/>
          <w:sz w:val="32"/>
          <w:szCs w:val="32"/>
          <w:shd w:val="clear" w:color="auto" w:fill="FFFFFF"/>
        </w:rPr>
        <w:t>本年度本单位</w:t>
      </w:r>
      <w:r>
        <w:rPr>
          <w:rFonts w:hint="eastAsia" w:ascii="仿宋_GB2312" w:hAnsi="仿宋" w:eastAsia="仿宋_GB2312"/>
          <w:color w:val="000000"/>
          <w:kern w:val="0"/>
          <w:sz w:val="32"/>
          <w:szCs w:val="32"/>
          <w:shd w:val="clear" w:color="auto" w:fill="FFFFFF"/>
          <w:lang w:val="zh-CN"/>
        </w:rPr>
        <w:t>预算项目实际列支内容与绩效目标设置方向相符，根据绩效评价指标体系中计算方法此项自评得</w:t>
      </w:r>
      <w:r>
        <w:rPr>
          <w:rFonts w:hint="eastAsia" w:ascii="仿宋_GB2312" w:hAnsi="仿宋" w:eastAsia="仿宋_GB2312"/>
          <w:color w:val="000000"/>
          <w:kern w:val="0"/>
          <w:sz w:val="32"/>
          <w:szCs w:val="32"/>
          <w:shd w:val="clear" w:color="auto" w:fill="FFFFFF"/>
        </w:rPr>
        <w:t>4分。</w:t>
      </w:r>
    </w:p>
    <w:p w14:paraId="07887331">
      <w:pPr>
        <w:numPr>
          <w:ilvl w:val="0"/>
          <w:numId w:val="12"/>
        </w:numPr>
        <w:adjustRightInd w:val="0"/>
        <w:snapToGrid w:val="0"/>
        <w:spacing w:line="578" w:lineRule="exact"/>
        <w:ind w:left="420" w:leftChars="200"/>
        <w:contextualSpacing/>
        <w:jc w:val="left"/>
        <w:rPr>
          <w:rFonts w:ascii="仿宋_GB2312" w:hAnsi="仿宋" w:eastAsia="仿宋_GB2312" w:cs="楷体_GB2312"/>
          <w:color w:val="000000"/>
          <w:kern w:val="0"/>
          <w:sz w:val="32"/>
          <w:szCs w:val="32"/>
          <w:shd w:val="clear" w:color="auto" w:fill="FFFFFF"/>
          <w:lang w:val="zh-CN"/>
        </w:rPr>
      </w:pPr>
      <w:r>
        <w:rPr>
          <w:rFonts w:hint="eastAsia" w:ascii="仿宋_GB2312" w:hAnsi="仿宋" w:eastAsia="仿宋_GB2312"/>
          <w:color w:val="000000"/>
          <w:kern w:val="0"/>
          <w:sz w:val="32"/>
          <w:szCs w:val="32"/>
          <w:shd w:val="clear" w:color="auto" w:fill="FFFFFF"/>
          <w:lang w:val="zh-CN"/>
        </w:rPr>
        <w:t>项目调整，自评得</w:t>
      </w:r>
      <w:r>
        <w:rPr>
          <w:rFonts w:hint="eastAsia" w:ascii="仿宋_GB2312" w:hAnsi="仿宋" w:eastAsia="仿宋_GB2312"/>
          <w:color w:val="000000"/>
          <w:kern w:val="0"/>
          <w:sz w:val="32"/>
          <w:szCs w:val="32"/>
          <w:shd w:val="clear" w:color="auto" w:fill="FFFFFF"/>
        </w:rPr>
        <w:t>4分。</w:t>
      </w:r>
    </w:p>
    <w:p w14:paraId="108E8616">
      <w:pPr>
        <w:adjustRightInd w:val="0"/>
        <w:snapToGrid w:val="0"/>
        <w:spacing w:line="578" w:lineRule="exact"/>
        <w:ind w:firstLine="640" w:firstLineChars="200"/>
        <w:contextualSpacing/>
        <w:jc w:val="left"/>
        <w:rPr>
          <w:rFonts w:ascii="仿宋_GB2312" w:hAnsi="仿宋" w:eastAsia="仿宋_GB2312"/>
          <w:color w:val="000000"/>
          <w:kern w:val="0"/>
          <w:sz w:val="32"/>
          <w:szCs w:val="32"/>
          <w:shd w:val="clear" w:color="auto" w:fill="FFFFFF"/>
        </w:rPr>
      </w:pPr>
      <w:r>
        <w:rPr>
          <w:rFonts w:hint="eastAsia" w:ascii="仿宋_GB2312" w:hAnsi="仿宋" w:eastAsia="仿宋_GB2312"/>
          <w:color w:val="000000"/>
          <w:kern w:val="0"/>
          <w:sz w:val="32"/>
          <w:szCs w:val="32"/>
          <w:shd w:val="clear" w:color="auto" w:fill="FFFFFF"/>
        </w:rPr>
        <w:t>本年度本单位</w:t>
      </w:r>
      <w:r>
        <w:rPr>
          <w:rFonts w:hint="eastAsia" w:ascii="仿宋_GB2312" w:hAnsi="仿宋" w:eastAsia="仿宋_GB2312"/>
          <w:color w:val="000000"/>
          <w:kern w:val="0"/>
          <w:sz w:val="32"/>
          <w:szCs w:val="32"/>
          <w:shd w:val="clear" w:color="auto" w:fill="FFFFFF"/>
          <w:lang w:val="zh-CN"/>
        </w:rPr>
        <w:t>部门预算项目无收回预算及调整事项，根据绩效评价指标体系中计算方法此项自评得</w:t>
      </w:r>
      <w:r>
        <w:rPr>
          <w:rFonts w:hint="eastAsia" w:ascii="仿宋_GB2312" w:hAnsi="仿宋" w:eastAsia="仿宋_GB2312"/>
          <w:color w:val="000000"/>
          <w:kern w:val="0"/>
          <w:sz w:val="32"/>
          <w:szCs w:val="32"/>
          <w:shd w:val="clear" w:color="auto" w:fill="FFFFFF"/>
        </w:rPr>
        <w:t>4分。</w:t>
      </w:r>
    </w:p>
    <w:p w14:paraId="2A2A7E0F">
      <w:pPr>
        <w:numPr>
          <w:ilvl w:val="0"/>
          <w:numId w:val="12"/>
        </w:numPr>
        <w:adjustRightInd w:val="0"/>
        <w:snapToGrid w:val="0"/>
        <w:spacing w:line="578" w:lineRule="exact"/>
        <w:ind w:left="420" w:leftChars="200"/>
        <w:contextualSpacing/>
        <w:jc w:val="left"/>
        <w:rPr>
          <w:rFonts w:ascii="仿宋_GB2312" w:hAnsi="仿宋" w:eastAsia="仿宋_GB2312" w:cs="楷体_GB2312"/>
          <w:color w:val="000000"/>
          <w:kern w:val="0"/>
          <w:sz w:val="32"/>
          <w:szCs w:val="32"/>
          <w:shd w:val="clear" w:color="auto" w:fill="FFFFFF"/>
          <w:lang w:val="zh-CN"/>
        </w:rPr>
      </w:pPr>
      <w:r>
        <w:rPr>
          <w:rFonts w:hint="eastAsia" w:ascii="仿宋_GB2312" w:hAnsi="仿宋" w:eastAsia="仿宋_GB2312"/>
          <w:color w:val="000000"/>
          <w:kern w:val="0"/>
          <w:sz w:val="32"/>
          <w:szCs w:val="32"/>
          <w:shd w:val="clear" w:color="auto" w:fill="FFFFFF"/>
          <w:lang w:val="zh-CN"/>
        </w:rPr>
        <w:t>执行结果，自评得</w:t>
      </w:r>
      <w:r>
        <w:rPr>
          <w:rFonts w:hint="eastAsia" w:ascii="仿宋_GB2312" w:hAnsi="仿宋" w:eastAsia="仿宋_GB2312"/>
          <w:color w:val="000000"/>
          <w:kern w:val="0"/>
          <w:sz w:val="32"/>
          <w:szCs w:val="32"/>
          <w:shd w:val="clear" w:color="auto" w:fill="FFFFFF"/>
        </w:rPr>
        <w:t>4分。</w:t>
      </w:r>
    </w:p>
    <w:p w14:paraId="4174D257">
      <w:pPr>
        <w:adjustRightInd w:val="0"/>
        <w:snapToGrid w:val="0"/>
        <w:spacing w:line="578" w:lineRule="exact"/>
        <w:ind w:firstLine="640" w:firstLineChars="200"/>
        <w:contextualSpacing/>
        <w:jc w:val="left"/>
        <w:rPr>
          <w:rFonts w:ascii="仿宋_GB2312" w:hAnsi="仿宋" w:eastAsia="仿宋_GB2312" w:cs="楷体_GB2312"/>
          <w:color w:val="000000"/>
          <w:kern w:val="0"/>
          <w:sz w:val="32"/>
          <w:szCs w:val="32"/>
          <w:shd w:val="clear" w:color="auto" w:fill="FFFFFF"/>
        </w:rPr>
      </w:pPr>
      <w:r>
        <w:rPr>
          <w:rFonts w:hint="eastAsia" w:ascii="仿宋_GB2312" w:hAnsi="仿宋" w:eastAsia="仿宋_GB2312"/>
          <w:color w:val="000000"/>
          <w:kern w:val="0"/>
          <w:sz w:val="32"/>
          <w:szCs w:val="32"/>
          <w:shd w:val="clear" w:color="auto" w:fill="FFFFFF"/>
        </w:rPr>
        <w:t>本年度本单位部门预算项目预算执行全面完成，无结余，</w:t>
      </w:r>
      <w:r>
        <w:rPr>
          <w:rFonts w:hint="eastAsia" w:ascii="仿宋_GB2312" w:hAnsi="仿宋" w:eastAsia="仿宋_GB2312"/>
          <w:color w:val="000000"/>
          <w:kern w:val="0"/>
          <w:sz w:val="32"/>
          <w:szCs w:val="32"/>
          <w:shd w:val="clear" w:color="auto" w:fill="FFFFFF"/>
          <w:lang w:val="zh-CN"/>
        </w:rPr>
        <w:t>根据绩效评价指标体系中计算方法此项自评得</w:t>
      </w:r>
      <w:r>
        <w:rPr>
          <w:rFonts w:hint="eastAsia" w:ascii="仿宋_GB2312" w:hAnsi="仿宋" w:eastAsia="仿宋_GB2312"/>
          <w:color w:val="000000"/>
          <w:kern w:val="0"/>
          <w:sz w:val="32"/>
          <w:szCs w:val="32"/>
          <w:shd w:val="clear" w:color="auto" w:fill="FFFFFF"/>
        </w:rPr>
        <w:t>4分。</w:t>
      </w:r>
    </w:p>
    <w:p w14:paraId="40FA2BDC">
      <w:pPr>
        <w:numPr>
          <w:ilvl w:val="0"/>
          <w:numId w:val="10"/>
        </w:numPr>
        <w:adjustRightInd w:val="0"/>
        <w:snapToGrid w:val="0"/>
        <w:spacing w:line="578" w:lineRule="exact"/>
        <w:ind w:firstLine="643" w:firstLineChars="200"/>
        <w:contextualSpacing/>
        <w:jc w:val="left"/>
        <w:rPr>
          <w:rFonts w:ascii="仿宋_GB2312" w:hAnsi="仿宋" w:eastAsia="仿宋_GB2312" w:cs="楷体_GB2312"/>
          <w:b/>
          <w:bCs/>
          <w:color w:val="000000"/>
          <w:kern w:val="0"/>
          <w:sz w:val="32"/>
          <w:szCs w:val="32"/>
          <w:shd w:val="clear" w:color="auto" w:fill="FFFFFF"/>
          <w:lang w:val="zh-CN"/>
        </w:rPr>
      </w:pPr>
      <w:r>
        <w:rPr>
          <w:rFonts w:hint="eastAsia" w:ascii="仿宋_GB2312" w:hAnsi="仿宋" w:eastAsia="仿宋_GB2312" w:cs="楷体_GB2312"/>
          <w:b/>
          <w:bCs/>
          <w:color w:val="000000"/>
          <w:kern w:val="0"/>
          <w:sz w:val="32"/>
          <w:szCs w:val="32"/>
          <w:shd w:val="clear" w:color="auto" w:fill="FFFFFF"/>
          <w:lang w:val="zh-CN"/>
        </w:rPr>
        <w:t>目标实现，自评得</w:t>
      </w:r>
      <w:r>
        <w:rPr>
          <w:rFonts w:hint="eastAsia" w:ascii="仿宋_GB2312" w:hAnsi="仿宋" w:eastAsia="仿宋_GB2312" w:cs="楷体_GB2312"/>
          <w:b/>
          <w:bCs/>
          <w:color w:val="000000"/>
          <w:kern w:val="0"/>
          <w:sz w:val="32"/>
          <w:szCs w:val="32"/>
          <w:shd w:val="clear" w:color="auto" w:fill="FFFFFF"/>
        </w:rPr>
        <w:t>11分。</w:t>
      </w:r>
    </w:p>
    <w:p w14:paraId="76BE91BA">
      <w:pPr>
        <w:numPr>
          <w:ilvl w:val="0"/>
          <w:numId w:val="13"/>
        </w:numPr>
        <w:adjustRightInd w:val="0"/>
        <w:snapToGrid w:val="0"/>
        <w:spacing w:line="578" w:lineRule="exact"/>
        <w:ind w:left="420" w:leftChars="200"/>
        <w:contextualSpacing/>
        <w:jc w:val="left"/>
        <w:rPr>
          <w:rFonts w:ascii="仿宋_GB2312" w:hAnsi="仿宋" w:eastAsia="仿宋_GB2312" w:cs="楷体_GB2312"/>
          <w:color w:val="000000"/>
          <w:kern w:val="0"/>
          <w:sz w:val="32"/>
          <w:szCs w:val="32"/>
          <w:shd w:val="clear" w:color="auto" w:fill="FFFFFF"/>
          <w:lang w:val="zh-CN"/>
        </w:rPr>
      </w:pPr>
      <w:r>
        <w:rPr>
          <w:rFonts w:hint="eastAsia" w:ascii="仿宋_GB2312" w:hAnsi="仿宋" w:eastAsia="仿宋_GB2312"/>
          <w:color w:val="000000"/>
          <w:kern w:val="0"/>
          <w:sz w:val="32"/>
          <w:szCs w:val="32"/>
          <w:shd w:val="clear" w:color="auto" w:fill="FFFFFF"/>
          <w:lang w:val="zh-CN"/>
        </w:rPr>
        <w:t>目标完成，自评得</w:t>
      </w:r>
      <w:r>
        <w:rPr>
          <w:rFonts w:hint="eastAsia" w:ascii="仿宋_GB2312" w:hAnsi="仿宋" w:eastAsia="仿宋_GB2312"/>
          <w:color w:val="000000"/>
          <w:kern w:val="0"/>
          <w:sz w:val="32"/>
          <w:szCs w:val="32"/>
          <w:shd w:val="clear" w:color="auto" w:fill="FFFFFF"/>
        </w:rPr>
        <w:t>4分。</w:t>
      </w:r>
    </w:p>
    <w:p w14:paraId="54F2DB8C">
      <w:pPr>
        <w:adjustRightInd w:val="0"/>
        <w:snapToGrid w:val="0"/>
        <w:spacing w:line="578" w:lineRule="exact"/>
        <w:ind w:firstLine="640" w:firstLineChars="200"/>
        <w:contextualSpacing/>
        <w:jc w:val="left"/>
        <w:rPr>
          <w:rFonts w:ascii="仿宋_GB2312" w:hAnsi="仿宋" w:eastAsia="仿宋_GB2312"/>
          <w:color w:val="000000"/>
          <w:kern w:val="0"/>
          <w:sz w:val="32"/>
          <w:szCs w:val="32"/>
          <w:shd w:val="clear" w:color="auto" w:fill="FFFFFF"/>
          <w:lang w:val="zh-CN"/>
        </w:rPr>
      </w:pPr>
      <w:r>
        <w:rPr>
          <w:rFonts w:hint="eastAsia" w:ascii="仿宋_GB2312" w:hAnsi="仿宋" w:eastAsia="仿宋_GB2312"/>
          <w:color w:val="000000"/>
          <w:kern w:val="0"/>
          <w:sz w:val="32"/>
          <w:szCs w:val="32"/>
          <w:shd w:val="clear" w:color="auto" w:fill="FFFFFF"/>
          <w:lang w:val="zh-CN"/>
        </w:rPr>
        <w:t>本年度本单位预算项目绩效目标数量指标全面完成，根据绩效评价指标体系中计算方法此项自评得</w:t>
      </w:r>
      <w:r>
        <w:rPr>
          <w:rFonts w:hint="eastAsia" w:ascii="仿宋_GB2312" w:hAnsi="仿宋" w:eastAsia="仿宋_GB2312"/>
          <w:color w:val="000000"/>
          <w:kern w:val="0"/>
          <w:sz w:val="32"/>
          <w:szCs w:val="32"/>
          <w:shd w:val="clear" w:color="auto" w:fill="FFFFFF"/>
        </w:rPr>
        <w:t>4分。</w:t>
      </w:r>
    </w:p>
    <w:p w14:paraId="61A55B84">
      <w:pPr>
        <w:numPr>
          <w:ilvl w:val="0"/>
          <w:numId w:val="13"/>
        </w:numPr>
        <w:adjustRightInd w:val="0"/>
        <w:snapToGrid w:val="0"/>
        <w:spacing w:line="578" w:lineRule="exact"/>
        <w:ind w:left="420" w:leftChars="200"/>
        <w:contextualSpacing/>
        <w:jc w:val="left"/>
        <w:rPr>
          <w:rFonts w:ascii="仿宋_GB2312" w:hAnsi="仿宋" w:eastAsia="仿宋_GB2312" w:cs="楷体_GB2312"/>
          <w:color w:val="000000"/>
          <w:kern w:val="0"/>
          <w:sz w:val="32"/>
          <w:szCs w:val="32"/>
          <w:shd w:val="clear" w:color="auto" w:fill="FFFFFF"/>
          <w:lang w:val="zh-CN"/>
        </w:rPr>
      </w:pPr>
      <w:r>
        <w:rPr>
          <w:rFonts w:hint="eastAsia" w:ascii="仿宋_GB2312" w:hAnsi="仿宋" w:eastAsia="仿宋_GB2312"/>
          <w:color w:val="000000"/>
          <w:kern w:val="0"/>
          <w:sz w:val="32"/>
          <w:szCs w:val="32"/>
          <w:shd w:val="clear" w:color="auto" w:fill="FFFFFF"/>
          <w:lang w:val="zh-CN"/>
        </w:rPr>
        <w:t>目标偏离，自评得</w:t>
      </w:r>
      <w:r>
        <w:rPr>
          <w:rFonts w:hint="eastAsia" w:ascii="仿宋_GB2312" w:hAnsi="仿宋" w:eastAsia="仿宋_GB2312"/>
          <w:color w:val="000000"/>
          <w:kern w:val="0"/>
          <w:sz w:val="32"/>
          <w:szCs w:val="32"/>
          <w:shd w:val="clear" w:color="auto" w:fill="FFFFFF"/>
        </w:rPr>
        <w:t>4分。</w:t>
      </w:r>
    </w:p>
    <w:p w14:paraId="4B97E4B3">
      <w:pPr>
        <w:adjustRightInd w:val="0"/>
        <w:snapToGrid w:val="0"/>
        <w:spacing w:line="578" w:lineRule="exact"/>
        <w:ind w:firstLine="640" w:firstLineChars="200"/>
        <w:contextualSpacing/>
        <w:jc w:val="left"/>
        <w:rPr>
          <w:rFonts w:ascii="仿宋_GB2312" w:hAnsi="仿宋" w:eastAsia="仿宋_GB2312"/>
          <w:color w:val="000000"/>
          <w:kern w:val="0"/>
          <w:sz w:val="32"/>
          <w:szCs w:val="32"/>
          <w:shd w:val="clear" w:color="auto" w:fill="FFFFFF"/>
          <w:lang w:val="zh-CN"/>
        </w:rPr>
      </w:pPr>
      <w:r>
        <w:rPr>
          <w:rFonts w:hint="eastAsia" w:ascii="仿宋_GB2312" w:hAnsi="仿宋" w:eastAsia="仿宋_GB2312"/>
          <w:color w:val="000000"/>
          <w:kern w:val="0"/>
          <w:sz w:val="32"/>
          <w:szCs w:val="32"/>
          <w:shd w:val="clear" w:color="auto" w:fill="FFFFFF"/>
          <w:lang w:val="zh-CN"/>
        </w:rPr>
        <w:t>本年度本单位没有预算项目绩效目标数量指标实现程度与预期目标的偏离度在30%以上的指标，根据绩效评价指标体系中计算方法此项自评得</w:t>
      </w:r>
      <w:r>
        <w:rPr>
          <w:rFonts w:hint="eastAsia" w:ascii="仿宋_GB2312" w:hAnsi="仿宋" w:eastAsia="仿宋_GB2312"/>
          <w:color w:val="000000"/>
          <w:kern w:val="0"/>
          <w:sz w:val="32"/>
          <w:szCs w:val="32"/>
          <w:shd w:val="clear" w:color="auto" w:fill="FFFFFF"/>
        </w:rPr>
        <w:t>4分。</w:t>
      </w:r>
    </w:p>
    <w:p w14:paraId="33FD85A1">
      <w:pPr>
        <w:numPr>
          <w:ilvl w:val="0"/>
          <w:numId w:val="13"/>
        </w:numPr>
        <w:adjustRightInd w:val="0"/>
        <w:snapToGrid w:val="0"/>
        <w:spacing w:line="578" w:lineRule="exact"/>
        <w:ind w:left="420" w:leftChars="200"/>
        <w:contextualSpacing/>
        <w:jc w:val="left"/>
        <w:rPr>
          <w:rFonts w:ascii="仿宋_GB2312" w:hAnsi="仿宋" w:eastAsia="仿宋_GB2312" w:cs="楷体_GB2312"/>
          <w:color w:val="000000"/>
          <w:kern w:val="0"/>
          <w:sz w:val="32"/>
          <w:szCs w:val="32"/>
          <w:shd w:val="clear" w:color="auto" w:fill="FFFFFF"/>
          <w:lang w:val="zh-CN"/>
        </w:rPr>
      </w:pPr>
      <w:r>
        <w:rPr>
          <w:rFonts w:hint="eastAsia" w:ascii="仿宋_GB2312" w:hAnsi="仿宋" w:eastAsia="仿宋_GB2312"/>
          <w:color w:val="000000"/>
          <w:kern w:val="0"/>
          <w:sz w:val="32"/>
          <w:szCs w:val="32"/>
          <w:shd w:val="clear" w:color="auto" w:fill="FFFFFF"/>
          <w:lang w:val="zh-CN"/>
        </w:rPr>
        <w:t>实现效果，自评得</w:t>
      </w:r>
      <w:r>
        <w:rPr>
          <w:rFonts w:hint="eastAsia" w:ascii="仿宋_GB2312" w:hAnsi="仿宋" w:eastAsia="仿宋_GB2312"/>
          <w:color w:val="000000"/>
          <w:kern w:val="0"/>
          <w:sz w:val="32"/>
          <w:szCs w:val="32"/>
          <w:shd w:val="clear" w:color="auto" w:fill="FFFFFF"/>
        </w:rPr>
        <w:t>3分。</w:t>
      </w:r>
    </w:p>
    <w:p w14:paraId="2590D2B6">
      <w:pPr>
        <w:adjustRightInd w:val="0"/>
        <w:snapToGrid w:val="0"/>
        <w:spacing w:line="578" w:lineRule="exact"/>
        <w:ind w:firstLine="640" w:firstLineChars="200"/>
        <w:contextualSpacing/>
        <w:jc w:val="left"/>
        <w:rPr>
          <w:rFonts w:ascii="仿宋_GB2312" w:hAnsi="仿宋" w:eastAsia="仿宋_GB2312" w:cs="楷体_GB2312"/>
          <w:color w:val="000000"/>
          <w:kern w:val="0"/>
          <w:sz w:val="32"/>
          <w:szCs w:val="32"/>
          <w:shd w:val="clear" w:color="auto" w:fill="FFFFFF"/>
          <w:lang w:val="zh-CN"/>
        </w:rPr>
      </w:pPr>
      <w:r>
        <w:rPr>
          <w:rFonts w:hint="eastAsia" w:ascii="仿宋_GB2312" w:hAnsi="仿宋" w:eastAsia="仿宋_GB2312"/>
          <w:color w:val="000000"/>
          <w:kern w:val="0"/>
          <w:sz w:val="32"/>
          <w:szCs w:val="32"/>
          <w:shd w:val="clear" w:color="auto" w:fill="FFFFFF"/>
          <w:lang w:val="zh-CN"/>
        </w:rPr>
        <w:t>本年度本单位预算项目绩效目标效益指标已全面完成，根据绩效评价指标体系中计算方法此项自评得</w:t>
      </w:r>
      <w:r>
        <w:rPr>
          <w:rFonts w:hint="eastAsia" w:ascii="仿宋_GB2312" w:hAnsi="仿宋" w:eastAsia="仿宋_GB2312"/>
          <w:color w:val="000000"/>
          <w:kern w:val="0"/>
          <w:sz w:val="32"/>
          <w:szCs w:val="32"/>
          <w:shd w:val="clear" w:color="auto" w:fill="FFFFFF"/>
        </w:rPr>
        <w:t>4分。</w:t>
      </w:r>
    </w:p>
    <w:p w14:paraId="24981E95">
      <w:pPr>
        <w:spacing w:line="578" w:lineRule="exact"/>
        <w:ind w:firstLine="640" w:firstLineChars="200"/>
        <w:rPr>
          <w:rFonts w:ascii="仿宋_GB2312" w:hAnsi="仿宋" w:eastAsia="仿宋_GB2312"/>
          <w:color w:val="333333"/>
          <w:sz w:val="32"/>
          <w:szCs w:val="32"/>
        </w:rPr>
      </w:pPr>
      <w:r>
        <w:rPr>
          <w:rFonts w:hint="eastAsia" w:ascii="仿宋_GB2312" w:hAnsi="仿宋" w:eastAsia="仿宋_GB2312"/>
          <w:color w:val="000000"/>
          <w:kern w:val="0"/>
          <w:sz w:val="32"/>
          <w:szCs w:val="32"/>
          <w:shd w:val="clear" w:color="auto" w:fill="FFFFFF"/>
          <w:lang w:val="zh-CN"/>
        </w:rPr>
        <w:t>本年度本单位</w:t>
      </w:r>
      <w:r>
        <w:rPr>
          <w:rFonts w:hint="eastAsia" w:ascii="仿宋_GB2312" w:hAnsi="仿宋" w:eastAsia="仿宋_GB2312"/>
          <w:sz w:val="32"/>
          <w:szCs w:val="32"/>
        </w:rPr>
        <w:t>2023年度不涉及国有资本经营预算、社会保险基金预算，国有资本经营等情况。</w:t>
      </w:r>
    </w:p>
    <w:p w14:paraId="5FE2865A">
      <w:pPr>
        <w:widowControl/>
        <w:adjustRightInd w:val="0"/>
        <w:snapToGrid w:val="0"/>
        <w:spacing w:line="578" w:lineRule="exact"/>
        <w:ind w:left="640"/>
        <w:contextualSpacing/>
        <w:jc w:val="left"/>
        <w:rPr>
          <w:rFonts w:ascii="仿宋_GB2312" w:hAnsi="仿宋" w:eastAsia="仿宋_GB2312"/>
          <w:color w:val="000000"/>
          <w:kern w:val="0"/>
          <w:sz w:val="32"/>
          <w:szCs w:val="32"/>
          <w:shd w:val="clear" w:color="auto" w:fill="FFFFFF"/>
          <w:lang w:val="zh-CN"/>
        </w:rPr>
      </w:pPr>
      <w:r>
        <w:rPr>
          <w:rFonts w:hint="eastAsia" w:ascii="仿宋_GB2312" w:hAnsi="仿宋" w:eastAsia="仿宋_GB2312"/>
          <w:b/>
          <w:bCs/>
          <w:color w:val="000000"/>
          <w:kern w:val="0"/>
          <w:sz w:val="32"/>
          <w:szCs w:val="32"/>
          <w:shd w:val="clear" w:color="auto" w:fill="FFFFFF"/>
          <w:lang w:val="zh-CN"/>
        </w:rPr>
        <w:t>（三）重点领域绩效分析。</w:t>
      </w:r>
      <w:r>
        <w:rPr>
          <w:rFonts w:hint="eastAsia" w:ascii="仿宋_GB2312" w:hAnsi="仿宋" w:eastAsia="仿宋_GB2312"/>
          <w:b/>
          <w:bCs/>
          <w:color w:val="000000"/>
          <w:kern w:val="0"/>
          <w:sz w:val="32"/>
          <w:szCs w:val="32"/>
          <w:shd w:val="clear" w:color="auto" w:fill="FFFFFF"/>
        </w:rPr>
        <w:t xml:space="preserve">                                       </w:t>
      </w:r>
      <w:r>
        <w:rPr>
          <w:rFonts w:hint="eastAsia" w:ascii="仿宋_GB2312" w:hAnsi="仿宋" w:eastAsia="仿宋_GB2312"/>
          <w:color w:val="000000"/>
          <w:kern w:val="0"/>
          <w:sz w:val="32"/>
          <w:szCs w:val="32"/>
          <w:shd w:val="clear" w:color="auto" w:fill="FFFFFF"/>
        </w:rPr>
        <w:t>本年度本单位2023年度</w:t>
      </w:r>
      <w:r>
        <w:rPr>
          <w:rFonts w:hint="eastAsia" w:ascii="仿宋_GB2312" w:hAnsi="仿宋" w:eastAsia="仿宋_GB2312"/>
          <w:color w:val="000000"/>
          <w:kern w:val="0"/>
          <w:sz w:val="32"/>
          <w:szCs w:val="32"/>
          <w:shd w:val="clear" w:color="auto" w:fill="FFFFFF"/>
          <w:lang w:val="zh-CN"/>
        </w:rPr>
        <w:t>不涉及国有资本、行政事业性国有资产债券资金、政府采购和政府购买服务等重点领域，故此项无绩效分析内容。</w:t>
      </w:r>
    </w:p>
    <w:p w14:paraId="41C6A11D">
      <w:pPr>
        <w:snapToGrid w:val="0"/>
        <w:spacing w:line="600" w:lineRule="exact"/>
        <w:ind w:firstLine="643" w:firstLineChars="200"/>
        <w:rPr>
          <w:rFonts w:ascii="仿宋_GB2312" w:hAnsi="仿宋" w:eastAsia="仿宋_GB2312"/>
          <w:b/>
          <w:bCs/>
          <w:sz w:val="32"/>
          <w:szCs w:val="32"/>
          <w:lang w:val="zh-CN"/>
        </w:rPr>
      </w:pPr>
      <w:r>
        <w:rPr>
          <w:rFonts w:hint="eastAsia" w:ascii="仿宋_GB2312" w:hAnsi="仿宋" w:eastAsia="仿宋_GB2312"/>
          <w:b/>
          <w:bCs/>
          <w:sz w:val="32"/>
          <w:szCs w:val="32"/>
          <w:lang w:val="zh-CN"/>
        </w:rPr>
        <w:t>（四）绩效结果应用情况。</w:t>
      </w:r>
    </w:p>
    <w:p w14:paraId="04499430">
      <w:pPr>
        <w:snapToGrid w:val="0"/>
        <w:spacing w:line="600" w:lineRule="exact"/>
        <w:ind w:firstLine="643" w:firstLineChars="200"/>
        <w:rPr>
          <w:rFonts w:ascii="仿宋_GB2312" w:hAnsi="仿宋" w:eastAsia="仿宋_GB2312"/>
          <w:color w:val="000000"/>
          <w:kern w:val="0"/>
          <w:sz w:val="32"/>
          <w:szCs w:val="32"/>
          <w:shd w:val="clear" w:color="auto" w:fill="FFFFFF"/>
          <w:lang w:val="zh-CN"/>
        </w:rPr>
      </w:pPr>
      <w:r>
        <w:rPr>
          <w:rFonts w:hint="eastAsia" w:ascii="仿宋_GB2312" w:hAnsi="仿宋" w:eastAsia="仿宋_GB2312"/>
          <w:b/>
          <w:bCs/>
          <w:sz w:val="32"/>
          <w:szCs w:val="32"/>
        </w:rPr>
        <w:t>1）</w:t>
      </w:r>
      <w:r>
        <w:rPr>
          <w:rFonts w:hint="eastAsia" w:ascii="仿宋_GB2312" w:hAnsi="仿宋" w:eastAsia="仿宋_GB2312"/>
          <w:color w:val="000000"/>
          <w:kern w:val="0"/>
          <w:sz w:val="32"/>
          <w:szCs w:val="32"/>
          <w:shd w:val="clear" w:color="auto" w:fill="FFFFFF"/>
          <w:lang w:val="zh-CN"/>
        </w:rPr>
        <w:t>内部应用情况，将绩效目标与单位的各项工作挂钩，促进全面完成全年绩效目标与工作。</w:t>
      </w:r>
    </w:p>
    <w:p w14:paraId="28746CD0">
      <w:pPr>
        <w:snapToGrid w:val="0"/>
        <w:spacing w:line="600" w:lineRule="exact"/>
        <w:ind w:firstLine="640" w:firstLineChars="200"/>
        <w:rPr>
          <w:rFonts w:ascii="仿宋_GB2312" w:hAnsi="仿宋" w:eastAsia="仿宋_GB2312"/>
          <w:color w:val="000000"/>
          <w:kern w:val="0"/>
          <w:sz w:val="32"/>
          <w:szCs w:val="32"/>
          <w:shd w:val="clear" w:color="auto" w:fill="FFFFFF"/>
          <w:lang w:val="zh-CN"/>
        </w:rPr>
      </w:pPr>
      <w:r>
        <w:rPr>
          <w:rFonts w:hint="eastAsia" w:ascii="仿宋_GB2312" w:hAnsi="仿宋" w:eastAsia="仿宋_GB2312"/>
          <w:color w:val="000000"/>
          <w:kern w:val="0"/>
          <w:sz w:val="32"/>
          <w:szCs w:val="32"/>
          <w:shd w:val="clear" w:color="auto" w:fill="FFFFFF"/>
        </w:rPr>
        <w:t>2）</w:t>
      </w:r>
      <w:r>
        <w:rPr>
          <w:rFonts w:hint="eastAsia" w:ascii="仿宋_GB2312" w:hAnsi="仿宋" w:eastAsia="仿宋_GB2312"/>
          <w:color w:val="000000"/>
          <w:kern w:val="0"/>
          <w:sz w:val="32"/>
          <w:szCs w:val="32"/>
          <w:shd w:val="clear" w:color="auto" w:fill="FFFFFF"/>
          <w:lang w:val="zh-CN"/>
        </w:rPr>
        <w:t>信息公开情况，</w:t>
      </w:r>
      <w:r>
        <w:rPr>
          <w:rFonts w:hint="eastAsia" w:ascii="仿宋_GB2312" w:hAnsi="仿宋" w:eastAsia="仿宋_GB2312" w:cs="宋体"/>
          <w:color w:val="000000"/>
          <w:kern w:val="0"/>
          <w:sz w:val="32"/>
          <w:szCs w:val="32"/>
          <w:shd w:val="clear" w:color="auto" w:fill="FFFFFF"/>
          <w:lang w:val="zh-CN"/>
        </w:rPr>
        <w:t>本单位对绩效目标批复及自评均在政府信息网站进行公开，自觉接受社会各界监督。</w:t>
      </w:r>
    </w:p>
    <w:p w14:paraId="6374D5A4">
      <w:pPr>
        <w:snapToGrid w:val="0"/>
        <w:spacing w:line="600" w:lineRule="exact"/>
        <w:ind w:firstLine="640" w:firstLineChars="200"/>
        <w:rPr>
          <w:rFonts w:ascii="仿宋_GB2312" w:hAnsi="仿宋" w:eastAsia="仿宋_GB2312" w:cs="仿宋_GB2312"/>
          <w:b/>
          <w:sz w:val="32"/>
          <w:szCs w:val="32"/>
        </w:rPr>
      </w:pPr>
      <w:r>
        <w:rPr>
          <w:rFonts w:hint="eastAsia" w:ascii="仿宋_GB2312" w:hAnsi="仿宋" w:eastAsia="仿宋_GB2312"/>
          <w:color w:val="000000"/>
          <w:kern w:val="0"/>
          <w:sz w:val="32"/>
          <w:szCs w:val="32"/>
          <w:shd w:val="clear" w:color="auto" w:fill="FFFFFF"/>
        </w:rPr>
        <w:t>3）</w:t>
      </w:r>
      <w:r>
        <w:rPr>
          <w:rFonts w:hint="eastAsia" w:ascii="仿宋_GB2312" w:hAnsi="仿宋" w:eastAsia="仿宋_GB2312"/>
          <w:color w:val="000000"/>
          <w:kern w:val="0"/>
          <w:sz w:val="32"/>
          <w:szCs w:val="32"/>
          <w:shd w:val="clear" w:color="auto" w:fill="FFFFFF"/>
          <w:lang w:val="zh-CN"/>
        </w:rPr>
        <w:t>整改反馈情况，</w:t>
      </w:r>
      <w:r>
        <w:rPr>
          <w:rFonts w:hint="eastAsia" w:ascii="仿宋_GB2312" w:hAnsi="仿宋" w:eastAsia="仿宋_GB2312" w:cs="宋体"/>
          <w:color w:val="000000"/>
          <w:kern w:val="0"/>
          <w:sz w:val="32"/>
          <w:szCs w:val="32"/>
          <w:shd w:val="clear" w:color="auto" w:fill="FFFFFF"/>
          <w:lang w:val="zh-CN"/>
        </w:rPr>
        <w:t>本年度我站没有收到</w:t>
      </w:r>
      <w:r>
        <w:rPr>
          <w:rFonts w:hint="eastAsia" w:ascii="仿宋_GB2312" w:hAnsi="仿宋" w:eastAsia="仿宋_GB2312" w:cs="仿宋_GB2312"/>
          <w:sz w:val="32"/>
          <w:szCs w:val="32"/>
        </w:rPr>
        <w:t>绩效管理相关部门提出的问题，无整改事项。</w:t>
      </w:r>
    </w:p>
    <w:p w14:paraId="5E13FFBA">
      <w:pPr>
        <w:widowControl/>
        <w:adjustRightInd w:val="0"/>
        <w:snapToGrid w:val="0"/>
        <w:spacing w:line="578" w:lineRule="exact"/>
        <w:ind w:firstLine="640" w:firstLineChars="200"/>
        <w:contextualSpacing/>
        <w:jc w:val="left"/>
        <w:rPr>
          <w:rFonts w:ascii="仿宋_GB2312" w:hAnsi="仿宋" w:eastAsia="仿宋_GB2312"/>
          <w:color w:val="000000"/>
          <w:kern w:val="0"/>
          <w:sz w:val="32"/>
          <w:szCs w:val="32"/>
          <w:shd w:val="clear" w:color="auto" w:fill="FFFFFF"/>
        </w:rPr>
      </w:pPr>
      <w:r>
        <w:rPr>
          <w:rFonts w:hint="eastAsia" w:ascii="仿宋_GB2312" w:hAnsi="仿宋" w:eastAsia="仿宋_GB2312"/>
          <w:color w:val="000000"/>
          <w:kern w:val="0"/>
          <w:sz w:val="32"/>
          <w:szCs w:val="32"/>
          <w:shd w:val="clear" w:color="auto" w:fill="FFFFFF"/>
        </w:rPr>
        <w:t>四、评价结论及建议</w:t>
      </w:r>
    </w:p>
    <w:p w14:paraId="14B8C323">
      <w:pPr>
        <w:widowControl/>
        <w:adjustRightInd w:val="0"/>
        <w:snapToGrid w:val="0"/>
        <w:spacing w:line="578" w:lineRule="exact"/>
        <w:ind w:firstLine="643" w:firstLineChars="200"/>
        <w:contextualSpacing/>
        <w:jc w:val="left"/>
        <w:rPr>
          <w:rFonts w:ascii="仿宋_GB2312" w:hAnsi="仿宋" w:eastAsia="仿宋_GB2312"/>
          <w:b/>
          <w:bCs/>
          <w:color w:val="000000"/>
          <w:kern w:val="0"/>
          <w:sz w:val="32"/>
          <w:szCs w:val="32"/>
          <w:shd w:val="clear" w:color="auto" w:fill="FFFFFF"/>
          <w:lang w:val="zh-CN"/>
        </w:rPr>
      </w:pPr>
      <w:r>
        <w:rPr>
          <w:rFonts w:hint="eastAsia" w:ascii="仿宋_GB2312" w:hAnsi="仿宋" w:eastAsia="仿宋_GB2312"/>
          <w:b/>
          <w:bCs/>
          <w:color w:val="000000"/>
          <w:kern w:val="0"/>
          <w:sz w:val="32"/>
          <w:szCs w:val="32"/>
          <w:shd w:val="clear" w:color="auto" w:fill="FFFFFF"/>
          <w:lang w:val="zh-CN"/>
        </w:rPr>
        <w:t>（一）评价结论。</w:t>
      </w:r>
    </w:p>
    <w:p w14:paraId="7C930A01">
      <w:pPr>
        <w:widowControl/>
        <w:adjustRightInd w:val="0"/>
        <w:snapToGrid w:val="0"/>
        <w:spacing w:line="580" w:lineRule="exact"/>
        <w:ind w:firstLine="640" w:firstLineChars="200"/>
        <w:contextualSpacing/>
        <w:jc w:val="left"/>
        <w:rPr>
          <w:rFonts w:ascii="仿宋_GB2312" w:hAnsi="仿宋" w:eastAsia="仿宋_GB2312" w:cs="宋体"/>
          <w:color w:val="000000"/>
          <w:kern w:val="0"/>
          <w:sz w:val="32"/>
          <w:szCs w:val="32"/>
          <w:shd w:val="clear" w:color="auto" w:fill="FFFFFF"/>
          <w:lang w:val="zh-CN"/>
        </w:rPr>
      </w:pPr>
      <w:r>
        <w:rPr>
          <w:rFonts w:hint="eastAsia" w:ascii="仿宋_GB2312" w:hAnsi="仿宋" w:eastAsia="仿宋_GB2312" w:cs="仿宋_GB2312"/>
          <w:sz w:val="32"/>
          <w:szCs w:val="32"/>
        </w:rPr>
        <w:t>本年度我单位全面实现了整体支出绩效目标：完成了全县82户有效苗圃林木种子质量的监督检查、抽查；对林木种子生产活动的监督检查；从采种、育苗到出圃适时技术指导、全程监管；林业科学新技术的宣传推广；护林防灭火工作的宣传、检查，取得了良好的社会效益。绩效评价指标体系中有两项不适用，分值共7分，扣减后自评得91.14分，折算得分98分，评价结论为优。</w:t>
      </w:r>
    </w:p>
    <w:p w14:paraId="2388FCEB">
      <w:pPr>
        <w:widowControl/>
        <w:numPr>
          <w:ilvl w:val="0"/>
          <w:numId w:val="14"/>
        </w:numPr>
        <w:adjustRightInd w:val="0"/>
        <w:snapToGrid w:val="0"/>
        <w:spacing w:line="578" w:lineRule="exact"/>
        <w:ind w:firstLine="643" w:firstLineChars="200"/>
        <w:contextualSpacing/>
        <w:jc w:val="left"/>
        <w:rPr>
          <w:rFonts w:ascii="仿宋_GB2312" w:hAnsi="仿宋" w:eastAsia="仿宋_GB2312"/>
          <w:b/>
          <w:bCs/>
          <w:color w:val="000000"/>
          <w:kern w:val="0"/>
          <w:sz w:val="32"/>
          <w:szCs w:val="32"/>
          <w:shd w:val="clear" w:color="auto" w:fill="FFFFFF"/>
          <w:lang w:val="zh-CN"/>
        </w:rPr>
      </w:pPr>
      <w:r>
        <w:rPr>
          <w:rFonts w:hint="eastAsia" w:ascii="仿宋_GB2312" w:hAnsi="仿宋" w:eastAsia="仿宋_GB2312"/>
          <w:b/>
          <w:bCs/>
          <w:color w:val="000000"/>
          <w:kern w:val="0"/>
          <w:sz w:val="32"/>
          <w:szCs w:val="32"/>
          <w:shd w:val="clear" w:color="auto" w:fill="FFFFFF"/>
          <w:lang w:val="zh-CN"/>
        </w:rPr>
        <w:t>存在问题。</w:t>
      </w:r>
    </w:p>
    <w:p w14:paraId="34D7936E">
      <w:pPr>
        <w:spacing w:line="600" w:lineRule="atLeas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一是受财政资金困难影响，导致当年的五险一金缴纳滞后。</w:t>
      </w:r>
    </w:p>
    <w:p w14:paraId="78CA4E27">
      <w:pPr>
        <w:widowControl/>
        <w:adjustRightInd w:val="0"/>
        <w:snapToGrid w:val="0"/>
        <w:spacing w:line="578" w:lineRule="exact"/>
        <w:ind w:firstLine="640" w:firstLineChars="200"/>
        <w:contextualSpacing/>
        <w:jc w:val="left"/>
        <w:rPr>
          <w:rFonts w:ascii="仿宋_GB2312" w:hAnsi="仿宋" w:eastAsia="仿宋_GB2312"/>
          <w:b/>
          <w:bCs/>
          <w:color w:val="000000"/>
          <w:kern w:val="0"/>
          <w:sz w:val="32"/>
          <w:szCs w:val="32"/>
          <w:shd w:val="clear" w:color="auto" w:fill="FFFFFF"/>
        </w:rPr>
      </w:pPr>
      <w:r>
        <w:rPr>
          <w:rFonts w:hint="eastAsia" w:ascii="仿宋_GB2312" w:hAnsi="仿宋" w:eastAsia="仿宋_GB2312" w:cs="仿宋_GB2312"/>
          <w:color w:val="000000"/>
          <w:sz w:val="32"/>
          <w:szCs w:val="32"/>
        </w:rPr>
        <w:t>二是本单位属基层，内设机构</w:t>
      </w:r>
      <w:r>
        <w:rPr>
          <w:rFonts w:hint="eastAsia" w:ascii="仿宋_GB2312" w:hAnsi="仿宋" w:eastAsia="仿宋_GB2312" w:cs="仿宋_GB2312"/>
          <w:color w:val="000000"/>
          <w:sz w:val="32"/>
          <w:szCs w:val="32"/>
          <w:lang w:eastAsia="zh-CN"/>
        </w:rPr>
        <w:t>单一</w:t>
      </w:r>
      <w:r>
        <w:rPr>
          <w:rFonts w:hint="eastAsia" w:ascii="仿宋_GB2312" w:hAnsi="仿宋" w:eastAsia="仿宋_GB2312" w:cs="仿宋_GB2312"/>
          <w:color w:val="000000"/>
          <w:sz w:val="32"/>
          <w:szCs w:val="32"/>
        </w:rPr>
        <w:t>，绩效结果内部应用层面没有建立内设机构与绩效挂钩的机制。</w:t>
      </w:r>
    </w:p>
    <w:p w14:paraId="7A7E2CBA">
      <w:pPr>
        <w:widowControl/>
        <w:numPr>
          <w:ilvl w:val="0"/>
          <w:numId w:val="14"/>
        </w:numPr>
        <w:adjustRightInd w:val="0"/>
        <w:snapToGrid w:val="0"/>
        <w:spacing w:line="578" w:lineRule="exact"/>
        <w:ind w:firstLine="643" w:firstLineChars="200"/>
        <w:contextualSpacing/>
        <w:jc w:val="left"/>
        <w:rPr>
          <w:rFonts w:ascii="仿宋_GB2312" w:hAnsi="仿宋" w:eastAsia="仿宋_GB2312"/>
          <w:b/>
          <w:bCs/>
          <w:color w:val="000000"/>
          <w:kern w:val="0"/>
          <w:sz w:val="32"/>
          <w:szCs w:val="32"/>
          <w:shd w:val="clear" w:color="auto" w:fill="FFFFFF"/>
          <w:lang w:val="zh-CN"/>
        </w:rPr>
      </w:pPr>
      <w:r>
        <w:rPr>
          <w:rFonts w:hint="eastAsia" w:ascii="仿宋_GB2312" w:hAnsi="仿宋" w:eastAsia="仿宋_GB2312"/>
          <w:b/>
          <w:bCs/>
          <w:color w:val="000000"/>
          <w:kern w:val="0"/>
          <w:sz w:val="32"/>
          <w:szCs w:val="32"/>
          <w:shd w:val="clear" w:color="auto" w:fill="FFFFFF"/>
          <w:lang w:val="zh-CN"/>
        </w:rPr>
        <w:t>改进建议。</w:t>
      </w:r>
      <w:bookmarkStart w:id="54" w:name="_Hlk110546638"/>
    </w:p>
    <w:p w14:paraId="662DC589">
      <w:pPr>
        <w:widowControl/>
        <w:adjustRightInd w:val="0"/>
        <w:snapToGrid w:val="0"/>
        <w:spacing w:line="580" w:lineRule="exact"/>
        <w:ind w:firstLine="640" w:firstLineChars="200"/>
        <w:contextualSpacing/>
        <w:jc w:val="left"/>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一是严格按照绩效考核管理要求，进一步做到精细化管理。</w:t>
      </w:r>
    </w:p>
    <w:p w14:paraId="66BA3A37">
      <w:pPr>
        <w:widowControl/>
        <w:adjustRightInd w:val="0"/>
        <w:snapToGrid w:val="0"/>
        <w:spacing w:line="580" w:lineRule="exact"/>
        <w:ind w:firstLine="640" w:firstLineChars="200"/>
        <w:contextualSpacing/>
        <w:jc w:val="left"/>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二是进一步强化绩效目标意识，按时按质按量完成绩效目标任务。</w:t>
      </w:r>
    </w:p>
    <w:p w14:paraId="43659E36">
      <w:pPr>
        <w:widowControl/>
        <w:adjustRightInd w:val="0"/>
        <w:snapToGrid w:val="0"/>
        <w:spacing w:line="580" w:lineRule="exact"/>
        <w:ind w:firstLine="640" w:firstLineChars="200"/>
        <w:contextualSpacing/>
        <w:jc w:val="left"/>
        <w:rPr>
          <w:rFonts w:ascii="仿宋_GB2312" w:hAnsi="仿宋" w:eastAsia="仿宋_GB2312"/>
          <w:sz w:val="32"/>
          <w:szCs w:val="32"/>
        </w:rPr>
      </w:pPr>
      <w:r>
        <w:rPr>
          <w:rFonts w:hint="eastAsia" w:ascii="仿宋_GB2312" w:hAnsi="仿宋" w:eastAsia="仿宋_GB2312" w:cs="仿宋_GB2312"/>
          <w:color w:val="000000"/>
          <w:sz w:val="32"/>
          <w:szCs w:val="32"/>
        </w:rPr>
        <w:t>三是加强绩效管理知识的学习，提高业务技能，提升绩效评价质量。</w:t>
      </w:r>
      <w:bookmarkEnd w:id="54"/>
    </w:p>
    <w:p w14:paraId="1F860147">
      <w:pPr>
        <w:spacing w:line="578" w:lineRule="exact"/>
        <w:ind w:firstLine="480" w:firstLineChars="200"/>
      </w:pPr>
      <w:r>
        <w:rPr>
          <w:rFonts w:hint="eastAsia"/>
          <w:color w:val="000000"/>
          <w:kern w:val="0"/>
          <w:sz w:val="24"/>
          <w:shd w:val="clear" w:color="auto" w:fill="FFFFFF"/>
        </w:rPr>
        <w:t>附表：</w:t>
      </w:r>
      <w:r>
        <w:rPr>
          <w:color w:val="000000"/>
          <w:kern w:val="0"/>
          <w:sz w:val="24"/>
          <w:shd w:val="clear" w:color="auto" w:fill="FFFFFF"/>
        </w:rPr>
        <w:t>部门整体支出绩效目标完成情况自评表</w:t>
      </w:r>
    </w:p>
    <w:tbl>
      <w:tblPr>
        <w:tblStyle w:val="15"/>
        <w:tblW w:w="10460" w:type="dxa"/>
        <w:jc w:val="center"/>
        <w:tblLayout w:type="fixed"/>
        <w:tblCellMar>
          <w:top w:w="15" w:type="dxa"/>
          <w:left w:w="15" w:type="dxa"/>
          <w:bottom w:w="15" w:type="dxa"/>
          <w:right w:w="15" w:type="dxa"/>
        </w:tblCellMar>
      </w:tblPr>
      <w:tblGrid>
        <w:gridCol w:w="848"/>
        <w:gridCol w:w="919"/>
        <w:gridCol w:w="1134"/>
        <w:gridCol w:w="1613"/>
        <w:gridCol w:w="1452"/>
        <w:gridCol w:w="1424"/>
        <w:gridCol w:w="1047"/>
        <w:gridCol w:w="917"/>
        <w:gridCol w:w="1106"/>
      </w:tblGrid>
      <w:tr w14:paraId="5F7151AC">
        <w:tblPrEx>
          <w:tblCellMar>
            <w:top w:w="15" w:type="dxa"/>
            <w:left w:w="15" w:type="dxa"/>
            <w:bottom w:w="15" w:type="dxa"/>
            <w:right w:w="15" w:type="dxa"/>
          </w:tblCellMar>
        </w:tblPrEx>
        <w:trPr>
          <w:trHeight w:val="743" w:hRule="exact"/>
          <w:jc w:val="center"/>
        </w:trPr>
        <w:tc>
          <w:tcPr>
            <w:tcW w:w="10460" w:type="dxa"/>
            <w:gridSpan w:val="9"/>
            <w:shd w:val="clear" w:color="auto" w:fill="auto"/>
            <w:vAlign w:val="center"/>
          </w:tcPr>
          <w:p w14:paraId="4239FF55">
            <w:pPr>
              <w:widowControl/>
              <w:spacing w:line="600" w:lineRule="exact"/>
              <w:jc w:val="center"/>
              <w:textAlignment w:val="center"/>
              <w:rPr>
                <w:rFonts w:eastAsia="黑体"/>
                <w:color w:val="000000"/>
                <w:sz w:val="28"/>
                <w:szCs w:val="28"/>
              </w:rPr>
            </w:pPr>
            <w:r>
              <w:rPr>
                <w:rFonts w:hint="eastAsia"/>
                <w:color w:val="000000"/>
                <w:kern w:val="0"/>
                <w:szCs w:val="32"/>
                <w:shd w:val="clear" w:color="auto" w:fill="FFFFFF"/>
              </w:rPr>
              <w:t>大竹县林业站</w:t>
            </w:r>
            <w:r>
              <w:rPr>
                <w:color w:val="000000"/>
                <w:kern w:val="0"/>
                <w:szCs w:val="32"/>
                <w:shd w:val="clear" w:color="auto" w:fill="FFFFFF"/>
              </w:rPr>
              <w:t>整体支出绩效目标完成情况自评表</w:t>
            </w:r>
          </w:p>
        </w:tc>
      </w:tr>
      <w:tr w14:paraId="6A542906">
        <w:tblPrEx>
          <w:tblCellMar>
            <w:top w:w="15" w:type="dxa"/>
            <w:left w:w="15" w:type="dxa"/>
            <w:bottom w:w="15" w:type="dxa"/>
            <w:right w:w="15" w:type="dxa"/>
          </w:tblCellMar>
        </w:tblPrEx>
        <w:trPr>
          <w:trHeight w:val="316" w:hRule="atLeast"/>
          <w:jc w:val="center"/>
        </w:trPr>
        <w:tc>
          <w:tcPr>
            <w:tcW w:w="10460" w:type="dxa"/>
            <w:gridSpan w:val="9"/>
            <w:shd w:val="clear" w:color="auto" w:fill="auto"/>
            <w:vAlign w:val="center"/>
          </w:tcPr>
          <w:p w14:paraId="7631EC59">
            <w:pPr>
              <w:widowControl/>
              <w:spacing w:line="300" w:lineRule="exact"/>
              <w:jc w:val="center"/>
              <w:textAlignment w:val="center"/>
              <w:rPr>
                <w:color w:val="000000"/>
                <w:sz w:val="28"/>
                <w:szCs w:val="28"/>
              </w:rPr>
            </w:pPr>
            <w:r>
              <w:rPr>
                <w:color w:val="000000"/>
                <w:kern w:val="0"/>
                <w:sz w:val="28"/>
                <w:szCs w:val="28"/>
              </w:rPr>
              <w:t>（2023年度）</w:t>
            </w:r>
          </w:p>
        </w:tc>
      </w:tr>
      <w:tr w14:paraId="3A5D34DD">
        <w:tblPrEx>
          <w:tblCellMar>
            <w:top w:w="15" w:type="dxa"/>
            <w:left w:w="15" w:type="dxa"/>
            <w:bottom w:w="15" w:type="dxa"/>
            <w:right w:w="15" w:type="dxa"/>
          </w:tblCellMar>
        </w:tblPrEx>
        <w:trPr>
          <w:trHeight w:val="316" w:hRule="atLeast"/>
          <w:jc w:val="center"/>
        </w:trPr>
        <w:tc>
          <w:tcPr>
            <w:tcW w:w="10460" w:type="dxa"/>
            <w:gridSpan w:val="9"/>
            <w:tcBorders>
              <w:bottom w:val="single" w:color="000000" w:sz="4" w:space="0"/>
            </w:tcBorders>
            <w:shd w:val="clear" w:color="auto" w:fill="auto"/>
            <w:vAlign w:val="center"/>
          </w:tcPr>
          <w:p w14:paraId="7520A410">
            <w:pPr>
              <w:widowControl/>
              <w:spacing w:line="300" w:lineRule="exact"/>
              <w:jc w:val="right"/>
              <w:textAlignment w:val="center"/>
              <w:rPr>
                <w:color w:val="000000"/>
                <w:szCs w:val="21"/>
              </w:rPr>
            </w:pPr>
            <w:r>
              <w:rPr>
                <w:color w:val="000000"/>
                <w:kern w:val="0"/>
                <w:szCs w:val="21"/>
              </w:rPr>
              <w:t>单位：万元</w:t>
            </w:r>
          </w:p>
        </w:tc>
      </w:tr>
      <w:tr w14:paraId="113FE3FE">
        <w:tblPrEx>
          <w:tblCellMar>
            <w:top w:w="15" w:type="dxa"/>
            <w:left w:w="15" w:type="dxa"/>
            <w:bottom w:w="15" w:type="dxa"/>
            <w:right w:w="15" w:type="dxa"/>
          </w:tblCellMar>
        </w:tblPrEx>
        <w:trPr>
          <w:trHeight w:val="472" w:hRule="atLeast"/>
          <w:jc w:val="center"/>
        </w:trPr>
        <w:tc>
          <w:tcPr>
            <w:tcW w:w="29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F608E5">
            <w:pPr>
              <w:widowControl/>
              <w:spacing w:line="300" w:lineRule="exact"/>
              <w:jc w:val="center"/>
              <w:textAlignment w:val="center"/>
              <w:rPr>
                <w:color w:val="000000"/>
                <w:sz w:val="24"/>
              </w:rPr>
            </w:pPr>
            <w:r>
              <w:rPr>
                <w:color w:val="000000"/>
                <w:kern w:val="0"/>
                <w:sz w:val="24"/>
              </w:rPr>
              <w:t>部门名称</w:t>
            </w:r>
          </w:p>
        </w:tc>
        <w:tc>
          <w:tcPr>
            <w:tcW w:w="755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7DE26FB">
            <w:pPr>
              <w:widowControl/>
              <w:spacing w:line="300" w:lineRule="exact"/>
              <w:jc w:val="center"/>
              <w:textAlignment w:val="center"/>
              <w:rPr>
                <w:color w:val="000000"/>
                <w:sz w:val="24"/>
              </w:rPr>
            </w:pPr>
            <w:r>
              <w:rPr>
                <w:rFonts w:hint="eastAsia"/>
                <w:color w:val="000000"/>
                <w:kern w:val="0"/>
                <w:sz w:val="24"/>
              </w:rPr>
              <w:t>大竹县林业站（大竹县林木种苗发展中心）</w:t>
            </w:r>
          </w:p>
        </w:tc>
      </w:tr>
      <w:tr w14:paraId="69B8C475">
        <w:tblPrEx>
          <w:tblCellMar>
            <w:top w:w="15" w:type="dxa"/>
            <w:left w:w="15" w:type="dxa"/>
            <w:bottom w:w="15" w:type="dxa"/>
            <w:right w:w="15" w:type="dxa"/>
          </w:tblCellMar>
        </w:tblPrEx>
        <w:trPr>
          <w:trHeight w:val="325" w:hRule="atLeast"/>
          <w:jc w:val="center"/>
        </w:trPr>
        <w:tc>
          <w:tcPr>
            <w:tcW w:w="8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EC150F">
            <w:pPr>
              <w:widowControl/>
              <w:spacing w:line="300" w:lineRule="exact"/>
              <w:jc w:val="center"/>
              <w:textAlignment w:val="center"/>
              <w:rPr>
                <w:color w:val="000000"/>
                <w:sz w:val="15"/>
                <w:szCs w:val="15"/>
              </w:rPr>
            </w:pPr>
            <w:r>
              <w:rPr>
                <w:color w:val="000000"/>
                <w:kern w:val="0"/>
                <w:sz w:val="15"/>
                <w:szCs w:val="15"/>
              </w:rPr>
              <w:t>年度部门整体支出预算</w:t>
            </w:r>
          </w:p>
        </w:tc>
        <w:tc>
          <w:tcPr>
            <w:tcW w:w="2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968C0A">
            <w:pPr>
              <w:widowControl/>
              <w:spacing w:line="300" w:lineRule="exact"/>
              <w:jc w:val="center"/>
              <w:textAlignment w:val="center"/>
              <w:rPr>
                <w:color w:val="000000"/>
                <w:sz w:val="15"/>
                <w:szCs w:val="15"/>
              </w:rPr>
            </w:pPr>
            <w:r>
              <w:rPr>
                <w:color w:val="000000"/>
                <w:kern w:val="0"/>
                <w:sz w:val="15"/>
                <w:szCs w:val="15"/>
              </w:rPr>
              <w:t>资金总额</w:t>
            </w:r>
          </w:p>
        </w:tc>
        <w:tc>
          <w:tcPr>
            <w:tcW w:w="3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D78E40">
            <w:pPr>
              <w:widowControl/>
              <w:spacing w:line="300" w:lineRule="exact"/>
              <w:jc w:val="center"/>
              <w:textAlignment w:val="center"/>
              <w:rPr>
                <w:color w:val="000000"/>
                <w:sz w:val="15"/>
                <w:szCs w:val="15"/>
              </w:rPr>
            </w:pPr>
            <w:r>
              <w:rPr>
                <w:color w:val="000000"/>
                <w:kern w:val="0"/>
                <w:sz w:val="15"/>
                <w:szCs w:val="15"/>
              </w:rPr>
              <w:t>财政拨款</w:t>
            </w:r>
          </w:p>
        </w:tc>
        <w:tc>
          <w:tcPr>
            <w:tcW w:w="44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D570852">
            <w:pPr>
              <w:widowControl/>
              <w:spacing w:line="300" w:lineRule="exact"/>
              <w:jc w:val="center"/>
              <w:textAlignment w:val="center"/>
              <w:rPr>
                <w:color w:val="000000"/>
                <w:sz w:val="15"/>
                <w:szCs w:val="15"/>
              </w:rPr>
            </w:pPr>
            <w:r>
              <w:rPr>
                <w:color w:val="000000"/>
                <w:kern w:val="0"/>
                <w:sz w:val="15"/>
                <w:szCs w:val="15"/>
              </w:rPr>
              <w:t>其他资金</w:t>
            </w:r>
          </w:p>
        </w:tc>
      </w:tr>
      <w:tr w14:paraId="5F48450F">
        <w:tblPrEx>
          <w:tblCellMar>
            <w:top w:w="15" w:type="dxa"/>
            <w:left w:w="15" w:type="dxa"/>
            <w:bottom w:w="15" w:type="dxa"/>
            <w:right w:w="15" w:type="dxa"/>
          </w:tblCellMar>
        </w:tblPrEx>
        <w:trPr>
          <w:trHeight w:val="325" w:hRule="atLeast"/>
          <w:jc w:val="center"/>
        </w:trPr>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F6CE7F">
            <w:pPr>
              <w:widowControl/>
              <w:spacing w:line="300" w:lineRule="exact"/>
              <w:jc w:val="center"/>
              <w:rPr>
                <w:color w:val="000000"/>
                <w:sz w:val="15"/>
                <w:szCs w:val="15"/>
              </w:rPr>
            </w:pPr>
          </w:p>
        </w:tc>
        <w:tc>
          <w:tcPr>
            <w:tcW w:w="2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9C38F1">
            <w:pPr>
              <w:widowControl/>
              <w:spacing w:line="300" w:lineRule="exact"/>
              <w:jc w:val="center"/>
              <w:textAlignment w:val="center"/>
              <w:rPr>
                <w:color w:val="000000"/>
                <w:sz w:val="15"/>
                <w:szCs w:val="15"/>
              </w:rPr>
            </w:pPr>
            <w:r>
              <w:rPr>
                <w:rFonts w:hint="eastAsia"/>
                <w:color w:val="000000"/>
                <w:kern w:val="0"/>
                <w:sz w:val="15"/>
                <w:szCs w:val="15"/>
              </w:rPr>
              <w:t>349.89</w:t>
            </w:r>
          </w:p>
        </w:tc>
        <w:tc>
          <w:tcPr>
            <w:tcW w:w="3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462725">
            <w:pPr>
              <w:widowControl/>
              <w:spacing w:line="300" w:lineRule="exact"/>
              <w:jc w:val="center"/>
              <w:textAlignment w:val="center"/>
              <w:rPr>
                <w:color w:val="000000"/>
                <w:sz w:val="15"/>
                <w:szCs w:val="15"/>
              </w:rPr>
            </w:pPr>
            <w:r>
              <w:rPr>
                <w:rFonts w:hint="eastAsia"/>
                <w:color w:val="000000"/>
                <w:kern w:val="0"/>
                <w:sz w:val="15"/>
                <w:szCs w:val="15"/>
              </w:rPr>
              <w:t>349.89</w:t>
            </w:r>
          </w:p>
        </w:tc>
        <w:tc>
          <w:tcPr>
            <w:tcW w:w="44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CB884B2">
            <w:pPr>
              <w:widowControl/>
              <w:spacing w:line="300" w:lineRule="exact"/>
              <w:jc w:val="center"/>
              <w:textAlignment w:val="center"/>
              <w:rPr>
                <w:color w:val="000000"/>
                <w:sz w:val="15"/>
                <w:szCs w:val="15"/>
              </w:rPr>
            </w:pPr>
            <w:r>
              <w:rPr>
                <w:color w:val="000000"/>
                <w:kern w:val="0"/>
                <w:sz w:val="15"/>
                <w:szCs w:val="15"/>
              </w:rPr>
              <w:t>XXXX</w:t>
            </w:r>
          </w:p>
        </w:tc>
      </w:tr>
      <w:tr w14:paraId="0FB6C185">
        <w:tblPrEx>
          <w:tblCellMar>
            <w:top w:w="15" w:type="dxa"/>
            <w:left w:w="15" w:type="dxa"/>
            <w:bottom w:w="15" w:type="dxa"/>
            <w:right w:w="15" w:type="dxa"/>
          </w:tblCellMar>
        </w:tblPrEx>
        <w:trPr>
          <w:trHeight w:val="612" w:hRule="atLeast"/>
          <w:jc w:val="center"/>
        </w:trPr>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76953">
            <w:pPr>
              <w:widowControl/>
              <w:spacing w:line="300" w:lineRule="exact"/>
              <w:jc w:val="center"/>
              <w:textAlignment w:val="center"/>
              <w:rPr>
                <w:color w:val="000000"/>
                <w:kern w:val="0"/>
                <w:sz w:val="15"/>
                <w:szCs w:val="15"/>
              </w:rPr>
            </w:pPr>
            <w:r>
              <w:rPr>
                <w:color w:val="000000"/>
                <w:kern w:val="0"/>
                <w:sz w:val="15"/>
                <w:szCs w:val="15"/>
              </w:rPr>
              <w:t>年度总体</w:t>
            </w:r>
          </w:p>
          <w:p w14:paraId="431CAC05">
            <w:pPr>
              <w:widowControl/>
              <w:spacing w:line="300" w:lineRule="exact"/>
              <w:jc w:val="center"/>
              <w:textAlignment w:val="center"/>
              <w:rPr>
                <w:color w:val="000000"/>
                <w:sz w:val="15"/>
                <w:szCs w:val="15"/>
              </w:rPr>
            </w:pPr>
            <w:r>
              <w:rPr>
                <w:color w:val="000000"/>
                <w:kern w:val="0"/>
                <w:sz w:val="15"/>
                <w:szCs w:val="15"/>
              </w:rPr>
              <w:t>目标</w:t>
            </w:r>
          </w:p>
        </w:tc>
        <w:tc>
          <w:tcPr>
            <w:tcW w:w="961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BCB0300">
            <w:pPr>
              <w:widowControl/>
              <w:spacing w:line="300" w:lineRule="exact"/>
              <w:jc w:val="left"/>
              <w:textAlignment w:val="center"/>
              <w:rPr>
                <w:color w:val="000000"/>
                <w:sz w:val="15"/>
                <w:szCs w:val="15"/>
              </w:rPr>
            </w:pPr>
            <w:r>
              <w:rPr>
                <w:color w:val="000000"/>
                <w:kern w:val="0"/>
                <w:sz w:val="15"/>
                <w:szCs w:val="15"/>
              </w:rPr>
              <w:t>负责指导全县林木种苗生产、经营活动；负责全县林木种苗新品种、新技术的推广、试验、示范工作；受县林业局委托负责全县林木种苗品种的质量管理工作；负责林业科学技术推广与试验示范基地建设相关社会服务工作；负责全县82个有效苗圃及周边群众的护林防灭火宣传工作</w:t>
            </w:r>
          </w:p>
        </w:tc>
      </w:tr>
      <w:tr w14:paraId="3DB40FBB">
        <w:tblPrEx>
          <w:tblCellMar>
            <w:top w:w="15" w:type="dxa"/>
            <w:left w:w="15" w:type="dxa"/>
            <w:bottom w:w="15" w:type="dxa"/>
            <w:right w:w="15" w:type="dxa"/>
          </w:tblCellMar>
        </w:tblPrEx>
        <w:trPr>
          <w:trHeight w:val="325" w:hRule="atLeast"/>
          <w:jc w:val="center"/>
        </w:trPr>
        <w:tc>
          <w:tcPr>
            <w:tcW w:w="8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A5A094">
            <w:pPr>
              <w:widowControl/>
              <w:spacing w:line="300" w:lineRule="exact"/>
              <w:jc w:val="center"/>
              <w:textAlignment w:val="center"/>
              <w:rPr>
                <w:color w:val="000000"/>
                <w:kern w:val="0"/>
                <w:sz w:val="15"/>
                <w:szCs w:val="15"/>
              </w:rPr>
            </w:pPr>
            <w:r>
              <w:rPr>
                <w:color w:val="000000"/>
                <w:kern w:val="0"/>
                <w:sz w:val="15"/>
                <w:szCs w:val="15"/>
              </w:rPr>
              <w:t>年度主要</w:t>
            </w:r>
          </w:p>
          <w:p w14:paraId="14C4B1BD">
            <w:pPr>
              <w:widowControl/>
              <w:spacing w:line="300" w:lineRule="exact"/>
              <w:jc w:val="center"/>
              <w:textAlignment w:val="center"/>
              <w:rPr>
                <w:color w:val="000000"/>
                <w:sz w:val="15"/>
                <w:szCs w:val="15"/>
              </w:rPr>
            </w:pPr>
            <w:r>
              <w:rPr>
                <w:color w:val="000000"/>
                <w:kern w:val="0"/>
                <w:sz w:val="15"/>
                <w:szCs w:val="15"/>
              </w:rPr>
              <w:t>任务</w:t>
            </w:r>
          </w:p>
        </w:tc>
        <w:tc>
          <w:tcPr>
            <w:tcW w:w="2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E8CC8E">
            <w:pPr>
              <w:widowControl/>
              <w:spacing w:line="300" w:lineRule="exact"/>
              <w:jc w:val="center"/>
              <w:textAlignment w:val="center"/>
              <w:rPr>
                <w:color w:val="000000"/>
                <w:sz w:val="15"/>
                <w:szCs w:val="15"/>
              </w:rPr>
            </w:pPr>
            <w:r>
              <w:rPr>
                <w:color w:val="000000"/>
                <w:kern w:val="0"/>
                <w:sz w:val="15"/>
                <w:szCs w:val="15"/>
              </w:rPr>
              <w:t>任务名称</w:t>
            </w:r>
          </w:p>
        </w:tc>
        <w:tc>
          <w:tcPr>
            <w:tcW w:w="755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7905087">
            <w:pPr>
              <w:widowControl/>
              <w:spacing w:line="300" w:lineRule="exact"/>
              <w:jc w:val="center"/>
              <w:textAlignment w:val="center"/>
              <w:rPr>
                <w:color w:val="000000"/>
                <w:sz w:val="15"/>
                <w:szCs w:val="15"/>
              </w:rPr>
            </w:pPr>
            <w:r>
              <w:rPr>
                <w:color w:val="000000"/>
                <w:kern w:val="0"/>
                <w:sz w:val="15"/>
                <w:szCs w:val="15"/>
              </w:rPr>
              <w:t>主要内容</w:t>
            </w:r>
          </w:p>
        </w:tc>
      </w:tr>
      <w:tr w14:paraId="59F279AB">
        <w:tblPrEx>
          <w:tblCellMar>
            <w:top w:w="15" w:type="dxa"/>
            <w:left w:w="15" w:type="dxa"/>
            <w:bottom w:w="15" w:type="dxa"/>
            <w:right w:w="15" w:type="dxa"/>
          </w:tblCellMar>
        </w:tblPrEx>
        <w:trPr>
          <w:trHeight w:val="325" w:hRule="atLeast"/>
          <w:jc w:val="center"/>
        </w:trPr>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C0DA4E">
            <w:pPr>
              <w:widowControl/>
              <w:spacing w:line="300" w:lineRule="exact"/>
              <w:jc w:val="center"/>
              <w:rPr>
                <w:color w:val="000000"/>
                <w:sz w:val="15"/>
                <w:szCs w:val="15"/>
              </w:rPr>
            </w:pPr>
          </w:p>
        </w:tc>
        <w:tc>
          <w:tcPr>
            <w:tcW w:w="2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F9BF3E">
            <w:pPr>
              <w:widowControl/>
              <w:spacing w:line="300" w:lineRule="exact"/>
              <w:jc w:val="left"/>
              <w:textAlignment w:val="center"/>
              <w:rPr>
                <w:color w:val="000000"/>
                <w:sz w:val="15"/>
                <w:szCs w:val="15"/>
              </w:rPr>
            </w:pPr>
            <w:r>
              <w:rPr>
                <w:color w:val="000000"/>
                <w:kern w:val="0"/>
                <w:sz w:val="15"/>
                <w:szCs w:val="15"/>
              </w:rPr>
              <w:t>林木种苗生产管理</w:t>
            </w:r>
          </w:p>
        </w:tc>
        <w:tc>
          <w:tcPr>
            <w:tcW w:w="755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A1FAFDF">
            <w:pPr>
              <w:widowControl/>
              <w:spacing w:line="300" w:lineRule="exact"/>
              <w:jc w:val="left"/>
              <w:textAlignment w:val="center"/>
              <w:rPr>
                <w:color w:val="000000"/>
                <w:sz w:val="15"/>
                <w:szCs w:val="15"/>
              </w:rPr>
            </w:pPr>
            <w:r>
              <w:rPr>
                <w:color w:val="000000"/>
                <w:sz w:val="15"/>
                <w:szCs w:val="15"/>
              </w:rPr>
              <w:t>对林木种子生产活动及种子质量的监督抽查，从采种、育苗到出圃，技术上适时指导、全程服务</w:t>
            </w:r>
          </w:p>
        </w:tc>
      </w:tr>
      <w:tr w14:paraId="42CE0BCD">
        <w:tblPrEx>
          <w:tblCellMar>
            <w:top w:w="15" w:type="dxa"/>
            <w:left w:w="15" w:type="dxa"/>
            <w:bottom w:w="15" w:type="dxa"/>
            <w:right w:w="15" w:type="dxa"/>
          </w:tblCellMar>
        </w:tblPrEx>
        <w:trPr>
          <w:trHeight w:val="325" w:hRule="atLeast"/>
          <w:jc w:val="center"/>
        </w:trPr>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C973F0">
            <w:pPr>
              <w:widowControl/>
              <w:spacing w:line="300" w:lineRule="exact"/>
              <w:jc w:val="center"/>
              <w:rPr>
                <w:color w:val="000000"/>
                <w:sz w:val="15"/>
                <w:szCs w:val="15"/>
              </w:rPr>
            </w:pPr>
          </w:p>
        </w:tc>
        <w:tc>
          <w:tcPr>
            <w:tcW w:w="2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66CA33">
            <w:pPr>
              <w:widowControl/>
              <w:spacing w:line="300" w:lineRule="exact"/>
              <w:jc w:val="left"/>
              <w:rPr>
                <w:color w:val="000000"/>
                <w:sz w:val="15"/>
                <w:szCs w:val="15"/>
              </w:rPr>
            </w:pPr>
            <w:r>
              <w:rPr>
                <w:color w:val="000000"/>
                <w:sz w:val="15"/>
                <w:szCs w:val="15"/>
              </w:rPr>
              <w:t>林业科学技术推广与示范</w:t>
            </w:r>
          </w:p>
        </w:tc>
        <w:tc>
          <w:tcPr>
            <w:tcW w:w="755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D421AC0">
            <w:pPr>
              <w:widowControl/>
              <w:spacing w:line="300" w:lineRule="exact"/>
              <w:jc w:val="left"/>
              <w:rPr>
                <w:color w:val="000000"/>
                <w:sz w:val="15"/>
                <w:szCs w:val="15"/>
              </w:rPr>
            </w:pPr>
            <w:r>
              <w:rPr>
                <w:color w:val="000000"/>
                <w:sz w:val="15"/>
                <w:szCs w:val="15"/>
              </w:rPr>
              <w:t>林业科学新技术、新品种的推广、试验示范、应用宣传</w:t>
            </w:r>
          </w:p>
        </w:tc>
      </w:tr>
      <w:tr w14:paraId="2054E25C">
        <w:tblPrEx>
          <w:tblCellMar>
            <w:top w:w="15" w:type="dxa"/>
            <w:left w:w="15" w:type="dxa"/>
            <w:bottom w:w="15" w:type="dxa"/>
            <w:right w:w="15" w:type="dxa"/>
          </w:tblCellMar>
        </w:tblPrEx>
        <w:trPr>
          <w:trHeight w:val="90" w:hRule="atLeast"/>
          <w:jc w:val="center"/>
        </w:trPr>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00458B">
            <w:pPr>
              <w:widowControl/>
              <w:spacing w:line="300" w:lineRule="exact"/>
              <w:jc w:val="center"/>
              <w:rPr>
                <w:color w:val="000000"/>
                <w:sz w:val="15"/>
                <w:szCs w:val="15"/>
              </w:rPr>
            </w:pPr>
          </w:p>
        </w:tc>
        <w:tc>
          <w:tcPr>
            <w:tcW w:w="2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0D5257">
            <w:pPr>
              <w:widowControl/>
              <w:spacing w:line="300" w:lineRule="exact"/>
              <w:jc w:val="left"/>
              <w:rPr>
                <w:color w:val="000000"/>
                <w:sz w:val="15"/>
                <w:szCs w:val="15"/>
              </w:rPr>
            </w:pPr>
            <w:r>
              <w:rPr>
                <w:color w:val="000000"/>
                <w:sz w:val="15"/>
                <w:szCs w:val="15"/>
              </w:rPr>
              <w:t>护林防灭火工作</w:t>
            </w:r>
          </w:p>
        </w:tc>
        <w:tc>
          <w:tcPr>
            <w:tcW w:w="755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A90B1B7">
            <w:pPr>
              <w:widowControl/>
              <w:spacing w:line="300" w:lineRule="exact"/>
              <w:jc w:val="left"/>
              <w:rPr>
                <w:color w:val="000000"/>
                <w:sz w:val="15"/>
                <w:szCs w:val="15"/>
              </w:rPr>
            </w:pPr>
            <w:r>
              <w:rPr>
                <w:color w:val="000000"/>
                <w:sz w:val="15"/>
                <w:szCs w:val="15"/>
              </w:rPr>
              <w:t>协助各苗圃做好护林防灭火预防宣传，强化各业主的护林防灭火主体意识</w:t>
            </w:r>
          </w:p>
        </w:tc>
      </w:tr>
      <w:tr w14:paraId="07752687">
        <w:tblPrEx>
          <w:tblCellMar>
            <w:top w:w="15" w:type="dxa"/>
            <w:left w:w="15" w:type="dxa"/>
            <w:bottom w:w="15" w:type="dxa"/>
            <w:right w:w="15" w:type="dxa"/>
          </w:tblCellMar>
        </w:tblPrEx>
        <w:trPr>
          <w:trHeight w:val="325" w:hRule="atLeast"/>
          <w:jc w:val="center"/>
        </w:trPr>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F3D751">
            <w:pPr>
              <w:widowControl/>
              <w:spacing w:line="300" w:lineRule="exact"/>
              <w:jc w:val="center"/>
              <w:rPr>
                <w:color w:val="000000"/>
                <w:sz w:val="15"/>
                <w:szCs w:val="15"/>
              </w:rPr>
            </w:pPr>
          </w:p>
        </w:tc>
        <w:tc>
          <w:tcPr>
            <w:tcW w:w="2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D7F503">
            <w:pPr>
              <w:widowControl/>
              <w:spacing w:line="300" w:lineRule="exact"/>
              <w:jc w:val="left"/>
              <w:rPr>
                <w:color w:val="000000"/>
                <w:sz w:val="15"/>
                <w:szCs w:val="15"/>
              </w:rPr>
            </w:pPr>
            <w:r>
              <w:rPr>
                <w:color w:val="000000"/>
                <w:sz w:val="15"/>
                <w:szCs w:val="15"/>
              </w:rPr>
              <w:t>事业机构正常运转</w:t>
            </w:r>
          </w:p>
        </w:tc>
        <w:tc>
          <w:tcPr>
            <w:tcW w:w="755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CA592A0">
            <w:pPr>
              <w:widowControl/>
              <w:spacing w:line="300" w:lineRule="exact"/>
              <w:jc w:val="left"/>
              <w:rPr>
                <w:color w:val="000000"/>
                <w:sz w:val="15"/>
                <w:szCs w:val="15"/>
              </w:rPr>
            </w:pPr>
            <w:r>
              <w:rPr>
                <w:color w:val="000000"/>
                <w:sz w:val="15"/>
                <w:szCs w:val="15"/>
              </w:rPr>
              <w:t>全年机构人员经费、日常公用经费按预算标准执行运转</w:t>
            </w:r>
          </w:p>
        </w:tc>
      </w:tr>
      <w:tr w14:paraId="2D32BDF0">
        <w:tblPrEx>
          <w:tblCellMar>
            <w:top w:w="15" w:type="dxa"/>
            <w:left w:w="15" w:type="dxa"/>
            <w:bottom w:w="15" w:type="dxa"/>
            <w:right w:w="15" w:type="dxa"/>
          </w:tblCellMar>
        </w:tblPrEx>
        <w:trPr>
          <w:trHeight w:val="612" w:hRule="atLeast"/>
          <w:jc w:val="center"/>
        </w:trPr>
        <w:tc>
          <w:tcPr>
            <w:tcW w:w="8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A36FC7">
            <w:pPr>
              <w:widowControl/>
              <w:spacing w:line="300" w:lineRule="exact"/>
              <w:jc w:val="center"/>
              <w:textAlignment w:val="center"/>
              <w:rPr>
                <w:color w:val="000000"/>
                <w:kern w:val="0"/>
                <w:sz w:val="15"/>
                <w:szCs w:val="15"/>
              </w:rPr>
            </w:pPr>
            <w:r>
              <w:rPr>
                <w:color w:val="000000"/>
                <w:kern w:val="0"/>
                <w:sz w:val="15"/>
                <w:szCs w:val="15"/>
              </w:rPr>
              <w:t>年度绩效</w:t>
            </w:r>
          </w:p>
          <w:p w14:paraId="125BF1F4">
            <w:pPr>
              <w:widowControl/>
              <w:spacing w:line="300" w:lineRule="exact"/>
              <w:jc w:val="center"/>
              <w:textAlignment w:val="center"/>
              <w:rPr>
                <w:color w:val="000000"/>
                <w:sz w:val="15"/>
                <w:szCs w:val="15"/>
              </w:rPr>
            </w:pPr>
            <w:r>
              <w:rPr>
                <w:color w:val="000000"/>
                <w:kern w:val="0"/>
                <w:sz w:val="15"/>
                <w:szCs w:val="15"/>
              </w:rPr>
              <w:t>指标</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E7BEF">
            <w:pPr>
              <w:widowControl/>
              <w:spacing w:line="300" w:lineRule="exact"/>
              <w:jc w:val="center"/>
              <w:textAlignment w:val="center"/>
              <w:rPr>
                <w:color w:val="000000"/>
                <w:sz w:val="15"/>
                <w:szCs w:val="15"/>
              </w:rPr>
            </w:pPr>
            <w:r>
              <w:rPr>
                <w:color w:val="000000"/>
                <w:kern w:val="0"/>
                <w:sz w:val="15"/>
                <w:szCs w:val="15"/>
              </w:rPr>
              <w:t>一级指标</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CCE72">
            <w:pPr>
              <w:widowControl/>
              <w:spacing w:line="300" w:lineRule="exact"/>
              <w:jc w:val="center"/>
              <w:textAlignment w:val="center"/>
              <w:rPr>
                <w:color w:val="000000"/>
                <w:sz w:val="15"/>
                <w:szCs w:val="15"/>
              </w:rPr>
            </w:pPr>
            <w:r>
              <w:rPr>
                <w:color w:val="000000"/>
                <w:kern w:val="0"/>
                <w:sz w:val="15"/>
                <w:szCs w:val="15"/>
              </w:rPr>
              <w:t>二级指标</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57CCC">
            <w:pPr>
              <w:widowControl/>
              <w:spacing w:line="300" w:lineRule="exact"/>
              <w:jc w:val="center"/>
              <w:textAlignment w:val="center"/>
              <w:rPr>
                <w:color w:val="000000"/>
                <w:sz w:val="15"/>
                <w:szCs w:val="15"/>
              </w:rPr>
            </w:pPr>
            <w:r>
              <w:rPr>
                <w:color w:val="000000"/>
                <w:kern w:val="0"/>
                <w:sz w:val="15"/>
                <w:szCs w:val="15"/>
              </w:rPr>
              <w:t>三级指标</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05499">
            <w:pPr>
              <w:widowControl/>
              <w:spacing w:line="300" w:lineRule="exact"/>
              <w:jc w:val="center"/>
              <w:textAlignment w:val="center"/>
              <w:rPr>
                <w:color w:val="000000"/>
                <w:kern w:val="0"/>
                <w:sz w:val="15"/>
                <w:szCs w:val="15"/>
              </w:rPr>
            </w:pPr>
            <w:r>
              <w:rPr>
                <w:color w:val="000000"/>
                <w:kern w:val="0"/>
                <w:sz w:val="15"/>
                <w:szCs w:val="15"/>
              </w:rPr>
              <w:t>绩效指标</w:t>
            </w:r>
          </w:p>
          <w:p w14:paraId="431B1D4C">
            <w:pPr>
              <w:widowControl/>
              <w:spacing w:line="300" w:lineRule="exact"/>
              <w:jc w:val="center"/>
              <w:textAlignment w:val="center"/>
              <w:rPr>
                <w:color w:val="000000"/>
                <w:sz w:val="15"/>
                <w:szCs w:val="15"/>
              </w:rPr>
            </w:pPr>
            <w:r>
              <w:rPr>
                <w:color w:val="000000"/>
                <w:kern w:val="0"/>
                <w:sz w:val="15"/>
                <w:szCs w:val="15"/>
              </w:rPr>
              <w:t>性质</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6209C">
            <w:pPr>
              <w:widowControl/>
              <w:spacing w:line="300" w:lineRule="exact"/>
              <w:jc w:val="center"/>
              <w:textAlignment w:val="center"/>
              <w:rPr>
                <w:color w:val="000000"/>
                <w:sz w:val="15"/>
                <w:szCs w:val="15"/>
              </w:rPr>
            </w:pPr>
            <w:r>
              <w:rPr>
                <w:color w:val="000000"/>
                <w:kern w:val="0"/>
                <w:sz w:val="15"/>
                <w:szCs w:val="15"/>
              </w:rPr>
              <w:t>绩效指标值</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A1558">
            <w:pPr>
              <w:widowControl/>
              <w:spacing w:line="300" w:lineRule="exact"/>
              <w:jc w:val="center"/>
              <w:textAlignment w:val="center"/>
              <w:rPr>
                <w:color w:val="000000"/>
                <w:sz w:val="15"/>
                <w:szCs w:val="15"/>
              </w:rPr>
            </w:pPr>
            <w:r>
              <w:rPr>
                <w:color w:val="000000"/>
                <w:kern w:val="0"/>
                <w:sz w:val="15"/>
                <w:szCs w:val="15"/>
              </w:rPr>
              <w:t>绩效度量单位</w:t>
            </w:r>
          </w:p>
        </w:tc>
        <w:tc>
          <w:tcPr>
            <w:tcW w:w="917" w:type="dxa"/>
            <w:tcBorders>
              <w:top w:val="single" w:color="000000" w:sz="4" w:space="0"/>
              <w:left w:val="single" w:color="000000" w:sz="4" w:space="0"/>
              <w:bottom w:val="single" w:color="000000" w:sz="4" w:space="0"/>
            </w:tcBorders>
            <w:shd w:val="clear" w:color="auto" w:fill="auto"/>
            <w:vAlign w:val="center"/>
          </w:tcPr>
          <w:p w14:paraId="1BBE8D29">
            <w:pPr>
              <w:widowControl/>
              <w:spacing w:line="300" w:lineRule="exact"/>
              <w:jc w:val="center"/>
              <w:textAlignment w:val="center"/>
              <w:rPr>
                <w:color w:val="000000"/>
                <w:sz w:val="15"/>
                <w:szCs w:val="15"/>
              </w:rPr>
            </w:pPr>
            <w:r>
              <w:rPr>
                <w:color w:val="000000"/>
                <w:kern w:val="0"/>
                <w:sz w:val="15"/>
                <w:szCs w:val="15"/>
              </w:rPr>
              <w:t>权重</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D019C">
            <w:pPr>
              <w:widowControl/>
              <w:spacing w:line="300" w:lineRule="exact"/>
              <w:jc w:val="center"/>
              <w:textAlignment w:val="center"/>
              <w:rPr>
                <w:color w:val="000000"/>
                <w:kern w:val="0"/>
                <w:sz w:val="15"/>
                <w:szCs w:val="15"/>
              </w:rPr>
            </w:pPr>
            <w:r>
              <w:rPr>
                <w:color w:val="000000"/>
                <w:kern w:val="0"/>
                <w:sz w:val="15"/>
                <w:szCs w:val="15"/>
              </w:rPr>
              <w:t>实际完成</w:t>
            </w:r>
          </w:p>
          <w:p w14:paraId="27F447BD">
            <w:pPr>
              <w:widowControl/>
              <w:spacing w:line="300" w:lineRule="exact"/>
              <w:jc w:val="center"/>
              <w:textAlignment w:val="center"/>
              <w:rPr>
                <w:color w:val="000000"/>
                <w:sz w:val="15"/>
                <w:szCs w:val="15"/>
              </w:rPr>
            </w:pPr>
            <w:r>
              <w:rPr>
                <w:color w:val="000000"/>
                <w:kern w:val="0"/>
                <w:sz w:val="15"/>
                <w:szCs w:val="15"/>
              </w:rPr>
              <w:t>指标值</w:t>
            </w:r>
          </w:p>
        </w:tc>
      </w:tr>
      <w:tr w14:paraId="718BF8B3">
        <w:tblPrEx>
          <w:tblCellMar>
            <w:top w:w="15" w:type="dxa"/>
            <w:left w:w="15" w:type="dxa"/>
            <w:bottom w:w="15" w:type="dxa"/>
            <w:right w:w="15" w:type="dxa"/>
          </w:tblCellMar>
        </w:tblPrEx>
        <w:trPr>
          <w:trHeight w:val="375" w:hRule="atLeast"/>
          <w:jc w:val="center"/>
        </w:trPr>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354625">
            <w:pPr>
              <w:widowControl/>
              <w:spacing w:line="300" w:lineRule="exact"/>
              <w:jc w:val="center"/>
              <w:rPr>
                <w:color w:val="000000"/>
                <w:sz w:val="15"/>
                <w:szCs w:val="15"/>
              </w:rPr>
            </w:pPr>
          </w:p>
        </w:tc>
        <w:tc>
          <w:tcPr>
            <w:tcW w:w="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BC97B0">
            <w:pPr>
              <w:widowControl/>
              <w:spacing w:line="300" w:lineRule="exact"/>
              <w:jc w:val="center"/>
              <w:textAlignment w:val="center"/>
              <w:rPr>
                <w:color w:val="000000"/>
                <w:sz w:val="15"/>
                <w:szCs w:val="15"/>
              </w:rPr>
            </w:pPr>
            <w:r>
              <w:rPr>
                <w:color w:val="000000"/>
                <w:kern w:val="0"/>
                <w:sz w:val="15"/>
                <w:szCs w:val="15"/>
              </w:rPr>
              <w:t>产出指标</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A0D80E">
            <w:pPr>
              <w:widowControl/>
              <w:spacing w:line="300" w:lineRule="exact"/>
              <w:jc w:val="center"/>
              <w:textAlignment w:val="center"/>
              <w:rPr>
                <w:color w:val="000000"/>
                <w:sz w:val="15"/>
                <w:szCs w:val="15"/>
              </w:rPr>
            </w:pPr>
            <w:r>
              <w:rPr>
                <w:color w:val="000000"/>
                <w:kern w:val="0"/>
                <w:sz w:val="15"/>
                <w:szCs w:val="15"/>
              </w:rPr>
              <w:t>数量指标</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BB988">
            <w:pPr>
              <w:widowControl/>
              <w:spacing w:line="300" w:lineRule="exact"/>
              <w:jc w:val="left"/>
              <w:textAlignment w:val="center"/>
              <w:rPr>
                <w:color w:val="000000"/>
                <w:sz w:val="15"/>
                <w:szCs w:val="15"/>
              </w:rPr>
            </w:pPr>
            <w:r>
              <w:rPr>
                <w:color w:val="000000"/>
                <w:kern w:val="0"/>
                <w:sz w:val="15"/>
                <w:szCs w:val="15"/>
              </w:rPr>
              <w:t>护林防灭火宣传</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A8985">
            <w:pPr>
              <w:widowControl/>
              <w:spacing w:line="300" w:lineRule="exact"/>
              <w:jc w:val="center"/>
              <w:rPr>
                <w:color w:val="000000"/>
                <w:sz w:val="15"/>
                <w:szCs w:val="15"/>
              </w:rPr>
            </w:pPr>
            <w:r>
              <w:rPr>
                <w:rFonts w:hint="eastAsia"/>
                <w:sz w:val="15"/>
                <w:szCs w:val="15"/>
              </w:rPr>
              <w:t>≥</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A28DC">
            <w:pPr>
              <w:widowControl/>
              <w:spacing w:line="300" w:lineRule="exact"/>
              <w:jc w:val="center"/>
              <w:textAlignment w:val="center"/>
              <w:rPr>
                <w:color w:val="000000"/>
                <w:sz w:val="15"/>
                <w:szCs w:val="15"/>
              </w:rPr>
            </w:pPr>
            <w:r>
              <w:rPr>
                <w:rFonts w:hint="eastAsia"/>
                <w:color w:val="000000"/>
                <w:kern w:val="0"/>
                <w:sz w:val="15"/>
                <w:szCs w:val="15"/>
              </w:rPr>
              <w:t>82</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F7A51">
            <w:pPr>
              <w:widowControl/>
              <w:spacing w:line="300" w:lineRule="exact"/>
              <w:jc w:val="center"/>
              <w:textAlignment w:val="center"/>
              <w:rPr>
                <w:color w:val="000000"/>
                <w:sz w:val="15"/>
                <w:szCs w:val="15"/>
              </w:rPr>
            </w:pPr>
            <w:r>
              <w:rPr>
                <w:rFonts w:hint="eastAsia"/>
                <w:color w:val="000000"/>
                <w:kern w:val="0"/>
                <w:sz w:val="15"/>
                <w:szCs w:val="15"/>
              </w:rPr>
              <w:t>次</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D1C48">
            <w:pPr>
              <w:widowControl/>
              <w:spacing w:line="300" w:lineRule="exact"/>
              <w:jc w:val="center"/>
              <w:textAlignment w:val="center"/>
              <w:rPr>
                <w:color w:val="000000"/>
                <w:sz w:val="15"/>
                <w:szCs w:val="15"/>
              </w:rPr>
            </w:pPr>
            <w:r>
              <w:rPr>
                <w:rFonts w:hint="eastAsia"/>
                <w:color w:val="000000"/>
                <w:kern w:val="0"/>
                <w:sz w:val="15"/>
                <w:szCs w:val="15"/>
              </w:rPr>
              <w:t>3</w:t>
            </w:r>
          </w:p>
        </w:tc>
        <w:tc>
          <w:tcPr>
            <w:tcW w:w="1106" w:type="dxa"/>
            <w:tcBorders>
              <w:left w:val="single" w:color="000000" w:sz="4" w:space="0"/>
              <w:bottom w:val="single" w:color="000000" w:sz="4" w:space="0"/>
              <w:right w:val="single" w:color="000000" w:sz="4" w:space="0"/>
            </w:tcBorders>
            <w:shd w:val="clear" w:color="auto" w:fill="auto"/>
            <w:vAlign w:val="center"/>
          </w:tcPr>
          <w:p w14:paraId="2E0BE141">
            <w:pPr>
              <w:widowControl/>
              <w:spacing w:line="300" w:lineRule="exact"/>
              <w:jc w:val="center"/>
              <w:textAlignment w:val="center"/>
              <w:rPr>
                <w:color w:val="000000"/>
                <w:sz w:val="15"/>
                <w:szCs w:val="15"/>
              </w:rPr>
            </w:pPr>
            <w:r>
              <w:rPr>
                <w:rFonts w:hint="eastAsia"/>
                <w:color w:val="000000"/>
                <w:sz w:val="15"/>
                <w:szCs w:val="15"/>
              </w:rPr>
              <w:t>90次</w:t>
            </w:r>
          </w:p>
        </w:tc>
      </w:tr>
      <w:tr w14:paraId="3E0A74C7">
        <w:tblPrEx>
          <w:tblCellMar>
            <w:top w:w="15" w:type="dxa"/>
            <w:left w:w="15" w:type="dxa"/>
            <w:bottom w:w="15" w:type="dxa"/>
            <w:right w:w="15" w:type="dxa"/>
          </w:tblCellMar>
        </w:tblPrEx>
        <w:trPr>
          <w:trHeight w:val="335" w:hRule="atLeast"/>
          <w:jc w:val="center"/>
        </w:trPr>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8C4BE">
            <w:pPr>
              <w:widowControl/>
              <w:spacing w:line="300" w:lineRule="exact"/>
              <w:jc w:val="center"/>
              <w:rPr>
                <w:color w:val="000000"/>
                <w:sz w:val="15"/>
                <w:szCs w:val="15"/>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97E3A2">
            <w:pPr>
              <w:widowControl/>
              <w:spacing w:line="300" w:lineRule="exact"/>
              <w:jc w:val="center"/>
              <w:rPr>
                <w:color w:val="000000"/>
                <w:sz w:val="15"/>
                <w:szCs w:val="15"/>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3C121C">
            <w:pPr>
              <w:widowControl/>
              <w:spacing w:line="300" w:lineRule="exact"/>
              <w:jc w:val="center"/>
              <w:rPr>
                <w:color w:val="000000"/>
                <w:sz w:val="15"/>
                <w:szCs w:val="15"/>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047B5">
            <w:pPr>
              <w:widowControl/>
              <w:spacing w:line="300" w:lineRule="exact"/>
              <w:jc w:val="left"/>
              <w:rPr>
                <w:color w:val="000000"/>
                <w:sz w:val="15"/>
                <w:szCs w:val="15"/>
              </w:rPr>
            </w:pPr>
            <w:r>
              <w:rPr>
                <w:color w:val="000000"/>
                <w:sz w:val="15"/>
                <w:szCs w:val="15"/>
              </w:rPr>
              <w:t>科目调整次数</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26FDF">
            <w:pPr>
              <w:widowControl/>
              <w:jc w:val="center"/>
              <w:textAlignment w:val="center"/>
              <w:rPr>
                <w:rFonts w:ascii="宋体" w:hAnsi="宋体" w:cs="宋体"/>
                <w:color w:val="000000"/>
                <w:sz w:val="22"/>
                <w:szCs w:val="22"/>
              </w:rPr>
            </w:pPr>
            <w:r>
              <w:rPr>
                <w:rFonts w:hint="eastAsia" w:ascii="宋体" w:hAnsi="宋体" w:cs="宋体"/>
                <w:color w:val="000000"/>
                <w:kern w:val="0"/>
                <w:sz w:val="15"/>
                <w:szCs w:val="15"/>
              </w:rPr>
              <w:t>≤</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D1322">
            <w:pPr>
              <w:widowControl/>
              <w:spacing w:line="300" w:lineRule="exact"/>
              <w:jc w:val="center"/>
              <w:rPr>
                <w:color w:val="000000"/>
                <w:sz w:val="15"/>
                <w:szCs w:val="15"/>
              </w:rPr>
            </w:pPr>
            <w:r>
              <w:rPr>
                <w:rFonts w:hint="eastAsia"/>
                <w:color w:val="000000"/>
                <w:sz w:val="15"/>
                <w:szCs w:val="15"/>
              </w:rPr>
              <w:t>3</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CD0B3">
            <w:pPr>
              <w:widowControl/>
              <w:spacing w:line="300" w:lineRule="exact"/>
              <w:jc w:val="center"/>
              <w:rPr>
                <w:color w:val="000000"/>
                <w:sz w:val="15"/>
                <w:szCs w:val="15"/>
              </w:rPr>
            </w:pPr>
            <w:r>
              <w:rPr>
                <w:rFonts w:hint="eastAsia"/>
                <w:color w:val="000000"/>
                <w:kern w:val="0"/>
                <w:sz w:val="15"/>
                <w:szCs w:val="15"/>
              </w:rPr>
              <w:t>次</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DB581">
            <w:pPr>
              <w:widowControl/>
              <w:spacing w:line="300" w:lineRule="exact"/>
              <w:jc w:val="center"/>
              <w:rPr>
                <w:color w:val="000000"/>
                <w:sz w:val="15"/>
                <w:szCs w:val="15"/>
              </w:rPr>
            </w:pPr>
            <w:r>
              <w:rPr>
                <w:rFonts w:hint="eastAsia"/>
                <w:color w:val="000000"/>
                <w:sz w:val="15"/>
                <w:szCs w:val="15"/>
              </w:rPr>
              <w:t>2</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7610B">
            <w:pPr>
              <w:widowControl/>
              <w:spacing w:line="300" w:lineRule="exact"/>
              <w:jc w:val="center"/>
              <w:rPr>
                <w:color w:val="000000"/>
                <w:sz w:val="15"/>
                <w:szCs w:val="15"/>
              </w:rPr>
            </w:pPr>
            <w:r>
              <w:rPr>
                <w:rFonts w:hint="eastAsia"/>
                <w:color w:val="000000"/>
                <w:sz w:val="15"/>
                <w:szCs w:val="15"/>
              </w:rPr>
              <w:t>1次</w:t>
            </w:r>
          </w:p>
        </w:tc>
      </w:tr>
      <w:tr w14:paraId="59E5194E">
        <w:tblPrEx>
          <w:tblCellMar>
            <w:top w:w="15" w:type="dxa"/>
            <w:left w:w="15" w:type="dxa"/>
            <w:bottom w:w="15" w:type="dxa"/>
            <w:right w:w="15" w:type="dxa"/>
          </w:tblCellMar>
        </w:tblPrEx>
        <w:trPr>
          <w:trHeight w:val="325" w:hRule="atLeast"/>
          <w:jc w:val="center"/>
        </w:trPr>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3392A3">
            <w:pPr>
              <w:widowControl/>
              <w:spacing w:line="300" w:lineRule="exact"/>
              <w:jc w:val="center"/>
              <w:rPr>
                <w:color w:val="000000"/>
                <w:sz w:val="15"/>
                <w:szCs w:val="15"/>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FB0DB7">
            <w:pPr>
              <w:widowControl/>
              <w:spacing w:line="300" w:lineRule="exact"/>
              <w:jc w:val="center"/>
              <w:rPr>
                <w:color w:val="000000"/>
                <w:sz w:val="15"/>
                <w:szCs w:val="15"/>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B457BA">
            <w:pPr>
              <w:widowControl/>
              <w:spacing w:line="300" w:lineRule="exact"/>
              <w:jc w:val="center"/>
              <w:rPr>
                <w:color w:val="000000"/>
                <w:sz w:val="15"/>
                <w:szCs w:val="15"/>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C8D40">
            <w:pPr>
              <w:widowControl/>
              <w:spacing w:line="300" w:lineRule="exact"/>
              <w:jc w:val="left"/>
              <w:rPr>
                <w:color w:val="000000"/>
                <w:sz w:val="15"/>
                <w:szCs w:val="15"/>
              </w:rPr>
            </w:pPr>
            <w:r>
              <w:rPr>
                <w:color w:val="000000"/>
                <w:sz w:val="15"/>
                <w:szCs w:val="15"/>
              </w:rPr>
              <w:t>林木种苗生产技术服务</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88B23">
            <w:pPr>
              <w:widowControl/>
              <w:spacing w:line="300" w:lineRule="exact"/>
              <w:jc w:val="center"/>
              <w:rPr>
                <w:color w:val="000000"/>
                <w:sz w:val="15"/>
                <w:szCs w:val="15"/>
              </w:rPr>
            </w:pPr>
            <w:r>
              <w:rPr>
                <w:rFonts w:hint="eastAsia"/>
                <w:sz w:val="15"/>
                <w:szCs w:val="15"/>
              </w:rPr>
              <w:t>≥</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3690B">
            <w:pPr>
              <w:widowControl/>
              <w:spacing w:line="300" w:lineRule="exact"/>
              <w:jc w:val="center"/>
              <w:rPr>
                <w:color w:val="000000"/>
                <w:sz w:val="15"/>
                <w:szCs w:val="15"/>
              </w:rPr>
            </w:pPr>
            <w:r>
              <w:rPr>
                <w:rFonts w:hint="eastAsia"/>
                <w:color w:val="000000"/>
                <w:sz w:val="15"/>
                <w:szCs w:val="15"/>
              </w:rPr>
              <w:t>82</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D4033">
            <w:pPr>
              <w:widowControl/>
              <w:spacing w:line="300" w:lineRule="exact"/>
              <w:jc w:val="center"/>
              <w:rPr>
                <w:color w:val="000000"/>
                <w:sz w:val="15"/>
                <w:szCs w:val="15"/>
              </w:rPr>
            </w:pPr>
            <w:r>
              <w:rPr>
                <w:rFonts w:hint="eastAsia"/>
                <w:color w:val="000000"/>
                <w:kern w:val="0"/>
                <w:sz w:val="15"/>
                <w:szCs w:val="15"/>
              </w:rPr>
              <w:t>次</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3556E">
            <w:pPr>
              <w:widowControl/>
              <w:spacing w:line="300" w:lineRule="exact"/>
              <w:jc w:val="center"/>
              <w:rPr>
                <w:color w:val="000000"/>
                <w:sz w:val="15"/>
                <w:szCs w:val="15"/>
              </w:rPr>
            </w:pPr>
            <w:r>
              <w:rPr>
                <w:rFonts w:hint="eastAsia"/>
                <w:color w:val="000000"/>
                <w:sz w:val="15"/>
                <w:szCs w:val="15"/>
              </w:rPr>
              <w:t>5</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F2E15">
            <w:pPr>
              <w:widowControl/>
              <w:spacing w:line="300" w:lineRule="exact"/>
              <w:jc w:val="center"/>
              <w:rPr>
                <w:color w:val="000000"/>
                <w:sz w:val="15"/>
                <w:szCs w:val="15"/>
              </w:rPr>
            </w:pPr>
            <w:r>
              <w:rPr>
                <w:rFonts w:hint="eastAsia"/>
                <w:color w:val="000000"/>
                <w:sz w:val="15"/>
                <w:szCs w:val="15"/>
              </w:rPr>
              <w:t>90次</w:t>
            </w:r>
          </w:p>
        </w:tc>
      </w:tr>
      <w:tr w14:paraId="729A5E86">
        <w:tblPrEx>
          <w:tblCellMar>
            <w:top w:w="15" w:type="dxa"/>
            <w:left w:w="15" w:type="dxa"/>
            <w:bottom w:w="15" w:type="dxa"/>
            <w:right w:w="15" w:type="dxa"/>
          </w:tblCellMar>
        </w:tblPrEx>
        <w:trPr>
          <w:trHeight w:val="325" w:hRule="atLeast"/>
          <w:jc w:val="center"/>
        </w:trPr>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21160A">
            <w:pPr>
              <w:widowControl/>
              <w:spacing w:line="300" w:lineRule="exact"/>
              <w:jc w:val="center"/>
              <w:rPr>
                <w:color w:val="000000"/>
                <w:sz w:val="15"/>
                <w:szCs w:val="15"/>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51407D">
            <w:pPr>
              <w:widowControl/>
              <w:spacing w:line="300" w:lineRule="exact"/>
              <w:jc w:val="center"/>
              <w:rPr>
                <w:color w:val="000000"/>
                <w:sz w:val="15"/>
                <w:szCs w:val="15"/>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4F0A94">
            <w:pPr>
              <w:widowControl/>
              <w:spacing w:line="300" w:lineRule="exact"/>
              <w:jc w:val="center"/>
              <w:rPr>
                <w:color w:val="000000"/>
                <w:sz w:val="15"/>
                <w:szCs w:val="15"/>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3C0A2">
            <w:pPr>
              <w:widowControl/>
              <w:spacing w:line="300" w:lineRule="exact"/>
              <w:jc w:val="left"/>
              <w:rPr>
                <w:color w:val="000000"/>
                <w:sz w:val="15"/>
                <w:szCs w:val="15"/>
              </w:rPr>
            </w:pPr>
            <w:r>
              <w:rPr>
                <w:color w:val="000000"/>
                <w:sz w:val="15"/>
                <w:szCs w:val="15"/>
              </w:rPr>
              <w:t>林业科技推广</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8C0B5">
            <w:pPr>
              <w:widowControl/>
              <w:spacing w:line="300" w:lineRule="exact"/>
              <w:jc w:val="center"/>
              <w:rPr>
                <w:color w:val="000000"/>
                <w:sz w:val="15"/>
                <w:szCs w:val="15"/>
              </w:rPr>
            </w:pPr>
            <w:r>
              <w:rPr>
                <w:rFonts w:hint="eastAsia"/>
                <w:sz w:val="15"/>
                <w:szCs w:val="15"/>
              </w:rPr>
              <w:t>≥</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ABB51">
            <w:pPr>
              <w:widowControl/>
              <w:spacing w:line="300" w:lineRule="exact"/>
              <w:jc w:val="center"/>
              <w:rPr>
                <w:color w:val="000000"/>
                <w:sz w:val="15"/>
                <w:szCs w:val="15"/>
              </w:rPr>
            </w:pPr>
            <w:r>
              <w:rPr>
                <w:rFonts w:hint="eastAsia"/>
                <w:color w:val="000000"/>
                <w:sz w:val="15"/>
                <w:szCs w:val="15"/>
              </w:rPr>
              <w:t>20</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5B1A9">
            <w:pPr>
              <w:widowControl/>
              <w:spacing w:line="300" w:lineRule="exact"/>
              <w:jc w:val="center"/>
              <w:rPr>
                <w:color w:val="000000"/>
                <w:sz w:val="15"/>
                <w:szCs w:val="15"/>
              </w:rPr>
            </w:pPr>
            <w:r>
              <w:rPr>
                <w:rFonts w:hint="eastAsia"/>
                <w:color w:val="000000"/>
                <w:kern w:val="0"/>
                <w:sz w:val="15"/>
                <w:szCs w:val="15"/>
              </w:rPr>
              <w:t>次</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A3E94">
            <w:pPr>
              <w:widowControl/>
              <w:spacing w:line="300" w:lineRule="exact"/>
              <w:jc w:val="center"/>
              <w:rPr>
                <w:color w:val="000000"/>
                <w:sz w:val="15"/>
                <w:szCs w:val="15"/>
              </w:rPr>
            </w:pPr>
            <w:r>
              <w:rPr>
                <w:rFonts w:hint="eastAsia"/>
                <w:color w:val="000000"/>
                <w:sz w:val="15"/>
                <w:szCs w:val="15"/>
              </w:rPr>
              <w:t>2</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9CDC7">
            <w:pPr>
              <w:widowControl/>
              <w:spacing w:line="300" w:lineRule="exact"/>
              <w:jc w:val="center"/>
              <w:rPr>
                <w:color w:val="000000"/>
                <w:sz w:val="15"/>
                <w:szCs w:val="15"/>
              </w:rPr>
            </w:pPr>
            <w:r>
              <w:rPr>
                <w:rFonts w:hint="eastAsia"/>
                <w:color w:val="000000"/>
                <w:sz w:val="15"/>
                <w:szCs w:val="15"/>
              </w:rPr>
              <w:t>23次</w:t>
            </w:r>
          </w:p>
        </w:tc>
      </w:tr>
      <w:tr w14:paraId="1E03B03C">
        <w:tblPrEx>
          <w:tblCellMar>
            <w:top w:w="15" w:type="dxa"/>
            <w:left w:w="15" w:type="dxa"/>
            <w:bottom w:w="15" w:type="dxa"/>
            <w:right w:w="15" w:type="dxa"/>
          </w:tblCellMar>
        </w:tblPrEx>
        <w:trPr>
          <w:trHeight w:val="325" w:hRule="atLeast"/>
          <w:jc w:val="center"/>
        </w:trPr>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107443">
            <w:pPr>
              <w:widowControl/>
              <w:spacing w:line="300" w:lineRule="exact"/>
              <w:jc w:val="center"/>
              <w:rPr>
                <w:color w:val="000000"/>
                <w:sz w:val="15"/>
                <w:szCs w:val="15"/>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B3A132">
            <w:pPr>
              <w:widowControl/>
              <w:spacing w:line="300" w:lineRule="exact"/>
              <w:jc w:val="center"/>
              <w:rPr>
                <w:color w:val="000000"/>
                <w:sz w:val="15"/>
                <w:szCs w:val="15"/>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28706">
            <w:pPr>
              <w:widowControl/>
              <w:spacing w:line="300" w:lineRule="exact"/>
              <w:jc w:val="center"/>
              <w:rPr>
                <w:color w:val="000000"/>
                <w:sz w:val="15"/>
                <w:szCs w:val="15"/>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FC880">
            <w:pPr>
              <w:widowControl/>
              <w:spacing w:line="300" w:lineRule="exact"/>
              <w:jc w:val="left"/>
              <w:rPr>
                <w:color w:val="000000"/>
                <w:sz w:val="15"/>
                <w:szCs w:val="15"/>
              </w:rPr>
            </w:pPr>
            <w:r>
              <w:rPr>
                <w:color w:val="000000"/>
                <w:sz w:val="15"/>
                <w:szCs w:val="15"/>
              </w:rPr>
              <w:t>双随机一公开监督抽查</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53587">
            <w:pPr>
              <w:widowControl/>
              <w:spacing w:line="300" w:lineRule="exact"/>
              <w:jc w:val="center"/>
              <w:rPr>
                <w:color w:val="000000"/>
                <w:sz w:val="15"/>
                <w:szCs w:val="15"/>
              </w:rPr>
            </w:pPr>
            <w:r>
              <w:rPr>
                <w:rFonts w:hint="eastAsia"/>
                <w:sz w:val="15"/>
                <w:szCs w:val="15"/>
              </w:rPr>
              <w:t>≥</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D1EB6">
            <w:pPr>
              <w:widowControl/>
              <w:spacing w:line="300" w:lineRule="exact"/>
              <w:jc w:val="center"/>
              <w:rPr>
                <w:color w:val="000000"/>
                <w:sz w:val="15"/>
                <w:szCs w:val="15"/>
              </w:rPr>
            </w:pPr>
            <w:r>
              <w:rPr>
                <w:rFonts w:hint="eastAsia"/>
                <w:color w:val="000000"/>
                <w:sz w:val="15"/>
                <w:szCs w:val="15"/>
              </w:rPr>
              <w:t>82</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21846">
            <w:pPr>
              <w:widowControl/>
              <w:spacing w:line="300" w:lineRule="exact"/>
              <w:jc w:val="center"/>
              <w:rPr>
                <w:color w:val="000000"/>
                <w:sz w:val="15"/>
                <w:szCs w:val="15"/>
              </w:rPr>
            </w:pPr>
            <w:r>
              <w:rPr>
                <w:rFonts w:hint="eastAsia"/>
                <w:color w:val="000000"/>
                <w:kern w:val="0"/>
                <w:sz w:val="15"/>
                <w:szCs w:val="15"/>
              </w:rPr>
              <w:t>次</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B1E50">
            <w:pPr>
              <w:widowControl/>
              <w:spacing w:line="300" w:lineRule="exact"/>
              <w:jc w:val="center"/>
              <w:rPr>
                <w:color w:val="000000"/>
                <w:sz w:val="15"/>
                <w:szCs w:val="15"/>
              </w:rPr>
            </w:pPr>
            <w:r>
              <w:rPr>
                <w:rFonts w:hint="eastAsia"/>
                <w:color w:val="000000"/>
                <w:sz w:val="15"/>
                <w:szCs w:val="15"/>
              </w:rPr>
              <w:t>10</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4B64D">
            <w:pPr>
              <w:widowControl/>
              <w:spacing w:line="300" w:lineRule="exact"/>
              <w:jc w:val="center"/>
              <w:rPr>
                <w:color w:val="000000"/>
                <w:sz w:val="15"/>
                <w:szCs w:val="15"/>
              </w:rPr>
            </w:pPr>
            <w:r>
              <w:rPr>
                <w:rFonts w:hint="eastAsia"/>
                <w:color w:val="000000"/>
                <w:sz w:val="15"/>
                <w:szCs w:val="15"/>
              </w:rPr>
              <w:t>82次</w:t>
            </w:r>
          </w:p>
        </w:tc>
      </w:tr>
      <w:tr w14:paraId="7C12C419">
        <w:tblPrEx>
          <w:tblCellMar>
            <w:top w:w="15" w:type="dxa"/>
            <w:left w:w="15" w:type="dxa"/>
            <w:bottom w:w="15" w:type="dxa"/>
            <w:right w:w="15" w:type="dxa"/>
          </w:tblCellMar>
        </w:tblPrEx>
        <w:trPr>
          <w:trHeight w:val="325" w:hRule="atLeast"/>
          <w:jc w:val="center"/>
        </w:trPr>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EB101">
            <w:pPr>
              <w:widowControl/>
              <w:spacing w:line="300" w:lineRule="exact"/>
              <w:jc w:val="center"/>
              <w:rPr>
                <w:color w:val="000000"/>
                <w:sz w:val="15"/>
                <w:szCs w:val="15"/>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9AB7B3">
            <w:pPr>
              <w:widowControl/>
              <w:spacing w:line="300" w:lineRule="exact"/>
              <w:jc w:val="center"/>
              <w:rPr>
                <w:color w:val="000000"/>
                <w:sz w:val="15"/>
                <w:szCs w:val="15"/>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FAA0B1">
            <w:pPr>
              <w:widowControl/>
              <w:spacing w:line="300" w:lineRule="exact"/>
              <w:jc w:val="center"/>
              <w:rPr>
                <w:color w:val="000000"/>
                <w:sz w:val="15"/>
                <w:szCs w:val="15"/>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3650B">
            <w:pPr>
              <w:widowControl/>
              <w:spacing w:line="300" w:lineRule="exact"/>
              <w:jc w:val="left"/>
              <w:rPr>
                <w:color w:val="000000"/>
                <w:sz w:val="15"/>
                <w:szCs w:val="15"/>
              </w:rPr>
            </w:pPr>
            <w:r>
              <w:rPr>
                <w:color w:val="000000"/>
                <w:sz w:val="15"/>
                <w:szCs w:val="15"/>
              </w:rPr>
              <w:t>预算执行率</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5020A">
            <w:pPr>
              <w:widowControl/>
              <w:spacing w:line="300" w:lineRule="exact"/>
              <w:jc w:val="center"/>
              <w:rPr>
                <w:color w:val="000000"/>
                <w:sz w:val="15"/>
                <w:szCs w:val="15"/>
              </w:rPr>
            </w:pPr>
            <w:r>
              <w:rPr>
                <w:rFonts w:hint="eastAsia"/>
                <w:sz w:val="15"/>
                <w:szCs w:val="15"/>
              </w:rPr>
              <w:t>=</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4C422">
            <w:pPr>
              <w:widowControl/>
              <w:spacing w:line="300" w:lineRule="exact"/>
              <w:jc w:val="center"/>
              <w:rPr>
                <w:color w:val="000000"/>
                <w:sz w:val="15"/>
                <w:szCs w:val="15"/>
              </w:rPr>
            </w:pPr>
            <w:r>
              <w:rPr>
                <w:rFonts w:hint="eastAsia"/>
                <w:color w:val="000000"/>
                <w:sz w:val="15"/>
                <w:szCs w:val="15"/>
              </w:rPr>
              <w:t>100</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49FA7">
            <w:pPr>
              <w:widowControl/>
              <w:spacing w:line="300" w:lineRule="exact"/>
              <w:jc w:val="center"/>
              <w:rPr>
                <w:color w:val="000000"/>
                <w:sz w:val="15"/>
                <w:szCs w:val="15"/>
              </w:rPr>
            </w:pPr>
            <w:r>
              <w:rPr>
                <w:rFonts w:hint="eastAsia"/>
                <w:color w:val="000000"/>
                <w:sz w:val="15"/>
                <w:szCs w:val="15"/>
              </w:rPr>
              <w:t>%</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86DF2">
            <w:pPr>
              <w:widowControl/>
              <w:spacing w:line="300" w:lineRule="exact"/>
              <w:jc w:val="center"/>
              <w:rPr>
                <w:color w:val="000000"/>
                <w:sz w:val="15"/>
                <w:szCs w:val="15"/>
              </w:rPr>
            </w:pPr>
            <w:r>
              <w:rPr>
                <w:rFonts w:hint="eastAsia"/>
                <w:color w:val="000000"/>
                <w:sz w:val="15"/>
                <w:szCs w:val="15"/>
              </w:rPr>
              <w:t>10</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12BFE">
            <w:pPr>
              <w:widowControl/>
              <w:spacing w:line="300" w:lineRule="exact"/>
              <w:jc w:val="center"/>
              <w:rPr>
                <w:color w:val="000000"/>
                <w:sz w:val="15"/>
                <w:szCs w:val="15"/>
              </w:rPr>
            </w:pPr>
            <w:r>
              <w:rPr>
                <w:rFonts w:hint="eastAsia"/>
                <w:color w:val="000000"/>
                <w:sz w:val="15"/>
                <w:szCs w:val="15"/>
              </w:rPr>
              <w:t>100%</w:t>
            </w:r>
          </w:p>
        </w:tc>
      </w:tr>
      <w:tr w14:paraId="3AD6DE40">
        <w:tblPrEx>
          <w:tblCellMar>
            <w:top w:w="15" w:type="dxa"/>
            <w:left w:w="15" w:type="dxa"/>
            <w:bottom w:w="15" w:type="dxa"/>
            <w:right w:w="15" w:type="dxa"/>
          </w:tblCellMar>
        </w:tblPrEx>
        <w:trPr>
          <w:trHeight w:val="325" w:hRule="atLeast"/>
          <w:jc w:val="center"/>
        </w:trPr>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CF7D6D">
            <w:pPr>
              <w:widowControl/>
              <w:spacing w:line="300" w:lineRule="exact"/>
              <w:jc w:val="center"/>
              <w:rPr>
                <w:color w:val="000000"/>
                <w:sz w:val="15"/>
                <w:szCs w:val="15"/>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28175E">
            <w:pPr>
              <w:widowControl/>
              <w:spacing w:line="300" w:lineRule="exact"/>
              <w:jc w:val="center"/>
              <w:rPr>
                <w:color w:val="000000"/>
                <w:sz w:val="15"/>
                <w:szCs w:val="15"/>
              </w:rPr>
            </w:pPr>
          </w:p>
        </w:tc>
        <w:tc>
          <w:tcPr>
            <w:tcW w:w="1134" w:type="dxa"/>
            <w:vMerge w:val="restart"/>
            <w:tcBorders>
              <w:top w:val="single" w:color="000000" w:sz="4" w:space="0"/>
              <w:left w:val="single" w:color="000000" w:sz="4" w:space="0"/>
              <w:right w:val="single" w:color="000000" w:sz="4" w:space="0"/>
            </w:tcBorders>
            <w:shd w:val="clear" w:color="auto" w:fill="auto"/>
            <w:vAlign w:val="center"/>
          </w:tcPr>
          <w:p w14:paraId="5745032F">
            <w:pPr>
              <w:widowControl/>
              <w:ind w:firstLine="150" w:firstLineChars="100"/>
              <w:jc w:val="left"/>
              <w:textAlignment w:val="center"/>
              <w:rPr>
                <w:color w:val="000000"/>
                <w:sz w:val="15"/>
                <w:szCs w:val="15"/>
              </w:rPr>
            </w:pPr>
            <w:r>
              <w:rPr>
                <w:rFonts w:hint="eastAsia" w:ascii="宋体" w:hAnsi="宋体" w:cs="宋体"/>
                <w:color w:val="000000"/>
                <w:kern w:val="0"/>
                <w:sz w:val="15"/>
                <w:szCs w:val="15"/>
              </w:rPr>
              <w:t>质量指标</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8DA6A">
            <w:pPr>
              <w:widowControl/>
              <w:spacing w:line="300" w:lineRule="exact"/>
              <w:jc w:val="left"/>
              <w:rPr>
                <w:color w:val="000000"/>
                <w:sz w:val="15"/>
                <w:szCs w:val="15"/>
              </w:rPr>
            </w:pPr>
            <w:r>
              <w:rPr>
                <w:color w:val="000000"/>
                <w:sz w:val="15"/>
                <w:szCs w:val="15"/>
              </w:rPr>
              <w:t>出圃优质合格苗木</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5DD62">
            <w:pPr>
              <w:widowControl/>
              <w:spacing w:line="300" w:lineRule="exact"/>
              <w:jc w:val="center"/>
              <w:rPr>
                <w:color w:val="000000"/>
                <w:sz w:val="15"/>
                <w:szCs w:val="15"/>
              </w:rPr>
            </w:pPr>
            <w:r>
              <w:rPr>
                <w:rFonts w:hint="eastAsia"/>
                <w:sz w:val="15"/>
                <w:szCs w:val="15"/>
              </w:rPr>
              <w:t>定性</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49B77">
            <w:pPr>
              <w:widowControl/>
              <w:spacing w:line="300" w:lineRule="exact"/>
              <w:jc w:val="center"/>
              <w:rPr>
                <w:color w:val="000000"/>
                <w:sz w:val="15"/>
                <w:szCs w:val="15"/>
              </w:rPr>
            </w:pPr>
            <w:r>
              <w:rPr>
                <w:color w:val="000000"/>
                <w:sz w:val="15"/>
                <w:szCs w:val="15"/>
              </w:rPr>
              <w:t>优良中低差</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F7E96">
            <w:pPr>
              <w:widowControl/>
              <w:spacing w:line="300" w:lineRule="exact"/>
              <w:jc w:val="center"/>
              <w:rPr>
                <w:color w:val="000000"/>
                <w:sz w:val="15"/>
                <w:szCs w:val="15"/>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705C1">
            <w:pPr>
              <w:widowControl/>
              <w:spacing w:line="300" w:lineRule="exact"/>
              <w:jc w:val="center"/>
              <w:rPr>
                <w:color w:val="000000"/>
                <w:sz w:val="15"/>
                <w:szCs w:val="15"/>
              </w:rPr>
            </w:pPr>
            <w:r>
              <w:rPr>
                <w:rFonts w:hint="eastAsia"/>
                <w:color w:val="000000"/>
                <w:sz w:val="15"/>
                <w:szCs w:val="15"/>
              </w:rPr>
              <w:t>5</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2CF65">
            <w:pPr>
              <w:widowControl/>
              <w:spacing w:line="300" w:lineRule="exact"/>
              <w:jc w:val="center"/>
              <w:rPr>
                <w:color w:val="000000"/>
                <w:sz w:val="15"/>
                <w:szCs w:val="15"/>
              </w:rPr>
            </w:pPr>
            <w:r>
              <w:rPr>
                <w:rFonts w:hint="eastAsia"/>
                <w:color w:val="000000"/>
                <w:sz w:val="15"/>
                <w:szCs w:val="15"/>
              </w:rPr>
              <w:t>优</w:t>
            </w:r>
          </w:p>
        </w:tc>
      </w:tr>
      <w:tr w14:paraId="01C9550D">
        <w:tblPrEx>
          <w:tblCellMar>
            <w:top w:w="15" w:type="dxa"/>
            <w:left w:w="15" w:type="dxa"/>
            <w:bottom w:w="15" w:type="dxa"/>
            <w:right w:w="15" w:type="dxa"/>
          </w:tblCellMar>
        </w:tblPrEx>
        <w:trPr>
          <w:trHeight w:val="325" w:hRule="atLeast"/>
          <w:jc w:val="center"/>
        </w:trPr>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902741">
            <w:pPr>
              <w:widowControl/>
              <w:spacing w:line="300" w:lineRule="exact"/>
              <w:jc w:val="center"/>
              <w:rPr>
                <w:color w:val="000000"/>
                <w:sz w:val="15"/>
                <w:szCs w:val="15"/>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D72D0A">
            <w:pPr>
              <w:widowControl/>
              <w:spacing w:line="300" w:lineRule="exact"/>
              <w:jc w:val="center"/>
              <w:rPr>
                <w:color w:val="000000"/>
                <w:sz w:val="15"/>
                <w:szCs w:val="15"/>
              </w:rPr>
            </w:pPr>
          </w:p>
        </w:tc>
        <w:tc>
          <w:tcPr>
            <w:tcW w:w="1134" w:type="dxa"/>
            <w:vMerge w:val="continue"/>
            <w:tcBorders>
              <w:left w:val="single" w:color="000000" w:sz="4" w:space="0"/>
              <w:right w:val="single" w:color="000000" w:sz="4" w:space="0"/>
            </w:tcBorders>
            <w:shd w:val="clear" w:color="auto" w:fill="auto"/>
            <w:vAlign w:val="center"/>
          </w:tcPr>
          <w:p w14:paraId="705FCC5F">
            <w:pPr>
              <w:widowControl/>
              <w:spacing w:line="300" w:lineRule="exact"/>
              <w:jc w:val="center"/>
              <w:rPr>
                <w:color w:val="000000"/>
                <w:sz w:val="15"/>
                <w:szCs w:val="15"/>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360A6">
            <w:pPr>
              <w:widowControl/>
              <w:spacing w:line="300" w:lineRule="exact"/>
              <w:jc w:val="left"/>
              <w:rPr>
                <w:color w:val="000000"/>
                <w:sz w:val="15"/>
                <w:szCs w:val="15"/>
              </w:rPr>
            </w:pPr>
            <w:r>
              <w:rPr>
                <w:color w:val="000000"/>
                <w:sz w:val="15"/>
                <w:szCs w:val="15"/>
              </w:rPr>
              <w:t>护林防灭火宣传覆盖率</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8B6AC">
            <w:pPr>
              <w:widowControl/>
              <w:spacing w:line="300" w:lineRule="exact"/>
              <w:jc w:val="center"/>
              <w:rPr>
                <w:color w:val="000000"/>
                <w:sz w:val="15"/>
                <w:szCs w:val="15"/>
              </w:rPr>
            </w:pPr>
            <w:r>
              <w:rPr>
                <w:rFonts w:hint="eastAsia"/>
                <w:sz w:val="15"/>
                <w:szCs w:val="15"/>
              </w:rPr>
              <w:t>≥</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819D7">
            <w:pPr>
              <w:widowControl/>
              <w:spacing w:line="300" w:lineRule="exact"/>
              <w:jc w:val="center"/>
              <w:rPr>
                <w:color w:val="000000"/>
                <w:sz w:val="15"/>
                <w:szCs w:val="15"/>
              </w:rPr>
            </w:pPr>
            <w:r>
              <w:rPr>
                <w:rFonts w:hint="eastAsia"/>
                <w:color w:val="000000"/>
                <w:sz w:val="15"/>
                <w:szCs w:val="15"/>
              </w:rPr>
              <w:t>95</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6F8A0">
            <w:pPr>
              <w:widowControl/>
              <w:spacing w:line="300" w:lineRule="exact"/>
              <w:jc w:val="center"/>
              <w:rPr>
                <w:color w:val="000000"/>
                <w:sz w:val="15"/>
                <w:szCs w:val="15"/>
              </w:rPr>
            </w:pPr>
            <w:r>
              <w:rPr>
                <w:rFonts w:hint="eastAsia"/>
                <w:color w:val="000000"/>
                <w:sz w:val="15"/>
                <w:szCs w:val="15"/>
              </w:rPr>
              <w:t>%</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CFE98">
            <w:pPr>
              <w:widowControl/>
              <w:spacing w:line="300" w:lineRule="exact"/>
              <w:jc w:val="center"/>
              <w:rPr>
                <w:color w:val="000000"/>
                <w:sz w:val="15"/>
                <w:szCs w:val="15"/>
              </w:rPr>
            </w:pPr>
            <w:r>
              <w:rPr>
                <w:rFonts w:hint="eastAsia"/>
                <w:color w:val="000000"/>
                <w:sz w:val="15"/>
                <w:szCs w:val="15"/>
              </w:rPr>
              <w:t>3</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7E4F6">
            <w:pPr>
              <w:widowControl/>
              <w:spacing w:line="300" w:lineRule="exact"/>
              <w:jc w:val="center"/>
              <w:rPr>
                <w:color w:val="000000"/>
                <w:sz w:val="15"/>
                <w:szCs w:val="15"/>
              </w:rPr>
            </w:pPr>
            <w:r>
              <w:rPr>
                <w:rFonts w:hint="eastAsia"/>
                <w:color w:val="000000"/>
                <w:sz w:val="15"/>
                <w:szCs w:val="15"/>
              </w:rPr>
              <w:t>100%</w:t>
            </w:r>
          </w:p>
        </w:tc>
      </w:tr>
      <w:tr w14:paraId="1ABA93F5">
        <w:tblPrEx>
          <w:tblCellMar>
            <w:top w:w="15" w:type="dxa"/>
            <w:left w:w="15" w:type="dxa"/>
            <w:bottom w:w="15" w:type="dxa"/>
            <w:right w:w="15" w:type="dxa"/>
          </w:tblCellMar>
        </w:tblPrEx>
        <w:trPr>
          <w:trHeight w:val="325" w:hRule="atLeast"/>
          <w:jc w:val="center"/>
        </w:trPr>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635DB2">
            <w:pPr>
              <w:widowControl/>
              <w:spacing w:line="300" w:lineRule="exact"/>
              <w:jc w:val="center"/>
              <w:rPr>
                <w:color w:val="000000"/>
                <w:sz w:val="15"/>
                <w:szCs w:val="15"/>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CC30A2">
            <w:pPr>
              <w:widowControl/>
              <w:spacing w:line="300" w:lineRule="exact"/>
              <w:jc w:val="center"/>
              <w:rPr>
                <w:color w:val="000000"/>
                <w:sz w:val="15"/>
                <w:szCs w:val="15"/>
              </w:rPr>
            </w:pPr>
          </w:p>
        </w:tc>
        <w:tc>
          <w:tcPr>
            <w:tcW w:w="1134" w:type="dxa"/>
            <w:vMerge w:val="continue"/>
            <w:tcBorders>
              <w:left w:val="single" w:color="000000" w:sz="4" w:space="0"/>
              <w:right w:val="single" w:color="000000" w:sz="4" w:space="0"/>
            </w:tcBorders>
            <w:shd w:val="clear" w:color="auto" w:fill="auto"/>
            <w:vAlign w:val="center"/>
          </w:tcPr>
          <w:p w14:paraId="72FF94EF">
            <w:pPr>
              <w:widowControl/>
              <w:spacing w:line="300" w:lineRule="exact"/>
              <w:jc w:val="center"/>
              <w:rPr>
                <w:color w:val="000000"/>
                <w:sz w:val="15"/>
                <w:szCs w:val="15"/>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7A779">
            <w:pPr>
              <w:widowControl/>
              <w:spacing w:line="300" w:lineRule="exact"/>
              <w:jc w:val="left"/>
              <w:rPr>
                <w:color w:val="000000"/>
                <w:sz w:val="15"/>
                <w:szCs w:val="15"/>
              </w:rPr>
            </w:pPr>
            <w:r>
              <w:rPr>
                <w:color w:val="000000"/>
                <w:sz w:val="15"/>
                <w:szCs w:val="15"/>
              </w:rPr>
              <w:t>技术服务覆盖率</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E7A33">
            <w:pPr>
              <w:widowControl/>
              <w:spacing w:line="300" w:lineRule="exact"/>
              <w:jc w:val="center"/>
              <w:rPr>
                <w:color w:val="000000"/>
                <w:sz w:val="15"/>
                <w:szCs w:val="15"/>
              </w:rPr>
            </w:pPr>
            <w:r>
              <w:rPr>
                <w:rFonts w:hint="eastAsia"/>
                <w:sz w:val="15"/>
                <w:szCs w:val="15"/>
              </w:rPr>
              <w:t>≥</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3A40E">
            <w:pPr>
              <w:widowControl/>
              <w:spacing w:line="300" w:lineRule="exact"/>
              <w:jc w:val="center"/>
              <w:rPr>
                <w:color w:val="000000"/>
                <w:sz w:val="15"/>
                <w:szCs w:val="15"/>
              </w:rPr>
            </w:pPr>
            <w:r>
              <w:rPr>
                <w:rFonts w:hint="eastAsia"/>
                <w:color w:val="000000"/>
                <w:sz w:val="15"/>
                <w:szCs w:val="15"/>
              </w:rPr>
              <w:t>100</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903CD">
            <w:pPr>
              <w:widowControl/>
              <w:spacing w:line="300" w:lineRule="exact"/>
              <w:jc w:val="center"/>
              <w:rPr>
                <w:color w:val="000000"/>
                <w:sz w:val="15"/>
                <w:szCs w:val="15"/>
              </w:rPr>
            </w:pPr>
            <w:r>
              <w:rPr>
                <w:rFonts w:hint="eastAsia"/>
                <w:color w:val="000000"/>
                <w:sz w:val="15"/>
                <w:szCs w:val="15"/>
              </w:rPr>
              <w:t>%</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947D1">
            <w:pPr>
              <w:widowControl/>
              <w:spacing w:line="300" w:lineRule="exact"/>
              <w:jc w:val="center"/>
              <w:rPr>
                <w:color w:val="000000"/>
                <w:sz w:val="15"/>
                <w:szCs w:val="15"/>
              </w:rPr>
            </w:pPr>
            <w:r>
              <w:rPr>
                <w:rFonts w:hint="eastAsia"/>
                <w:color w:val="000000"/>
                <w:sz w:val="15"/>
                <w:szCs w:val="15"/>
              </w:rPr>
              <w:t>3</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B7303">
            <w:pPr>
              <w:widowControl/>
              <w:spacing w:line="300" w:lineRule="exact"/>
              <w:jc w:val="center"/>
              <w:rPr>
                <w:color w:val="000000"/>
                <w:sz w:val="15"/>
                <w:szCs w:val="15"/>
              </w:rPr>
            </w:pPr>
            <w:r>
              <w:rPr>
                <w:rFonts w:hint="eastAsia"/>
                <w:color w:val="000000"/>
                <w:sz w:val="15"/>
                <w:szCs w:val="15"/>
              </w:rPr>
              <w:t>100%</w:t>
            </w:r>
          </w:p>
        </w:tc>
      </w:tr>
      <w:tr w14:paraId="0CC3A424">
        <w:tblPrEx>
          <w:tblCellMar>
            <w:top w:w="15" w:type="dxa"/>
            <w:left w:w="15" w:type="dxa"/>
            <w:bottom w:w="15" w:type="dxa"/>
            <w:right w:w="15" w:type="dxa"/>
          </w:tblCellMar>
        </w:tblPrEx>
        <w:trPr>
          <w:trHeight w:val="325" w:hRule="atLeast"/>
          <w:jc w:val="center"/>
        </w:trPr>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E9971B">
            <w:pPr>
              <w:widowControl/>
              <w:spacing w:line="300" w:lineRule="exact"/>
              <w:jc w:val="center"/>
              <w:rPr>
                <w:color w:val="000000"/>
                <w:sz w:val="15"/>
                <w:szCs w:val="15"/>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2EAF37">
            <w:pPr>
              <w:widowControl/>
              <w:spacing w:line="300" w:lineRule="exact"/>
              <w:jc w:val="center"/>
              <w:rPr>
                <w:color w:val="000000"/>
                <w:sz w:val="15"/>
                <w:szCs w:val="15"/>
              </w:rPr>
            </w:pPr>
          </w:p>
        </w:tc>
        <w:tc>
          <w:tcPr>
            <w:tcW w:w="1134" w:type="dxa"/>
            <w:vMerge w:val="continue"/>
            <w:tcBorders>
              <w:left w:val="single" w:color="000000" w:sz="4" w:space="0"/>
              <w:right w:val="single" w:color="000000" w:sz="4" w:space="0"/>
            </w:tcBorders>
            <w:shd w:val="clear" w:color="auto" w:fill="auto"/>
            <w:vAlign w:val="center"/>
          </w:tcPr>
          <w:p w14:paraId="542010E5">
            <w:pPr>
              <w:widowControl/>
              <w:spacing w:line="300" w:lineRule="exact"/>
              <w:jc w:val="center"/>
              <w:rPr>
                <w:color w:val="000000"/>
                <w:sz w:val="15"/>
                <w:szCs w:val="15"/>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33FA2">
            <w:pPr>
              <w:widowControl/>
              <w:spacing w:line="300" w:lineRule="exact"/>
              <w:jc w:val="left"/>
              <w:rPr>
                <w:color w:val="000000"/>
                <w:sz w:val="15"/>
                <w:szCs w:val="15"/>
              </w:rPr>
            </w:pPr>
            <w:r>
              <w:rPr>
                <w:color w:val="000000"/>
                <w:sz w:val="15"/>
                <w:szCs w:val="15"/>
              </w:rPr>
              <w:t>科技推广覆盖率</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37889">
            <w:pPr>
              <w:widowControl/>
              <w:spacing w:line="300" w:lineRule="exact"/>
              <w:jc w:val="center"/>
              <w:rPr>
                <w:color w:val="000000"/>
                <w:sz w:val="15"/>
                <w:szCs w:val="15"/>
              </w:rPr>
            </w:pPr>
            <w:r>
              <w:rPr>
                <w:rFonts w:hint="eastAsia"/>
                <w:sz w:val="15"/>
                <w:szCs w:val="15"/>
              </w:rPr>
              <w:t>≥</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2B6CA">
            <w:pPr>
              <w:widowControl/>
              <w:spacing w:line="300" w:lineRule="exact"/>
              <w:jc w:val="center"/>
              <w:rPr>
                <w:color w:val="000000"/>
                <w:sz w:val="15"/>
                <w:szCs w:val="15"/>
              </w:rPr>
            </w:pPr>
            <w:r>
              <w:rPr>
                <w:rFonts w:hint="eastAsia"/>
                <w:color w:val="000000"/>
                <w:sz w:val="15"/>
                <w:szCs w:val="15"/>
              </w:rPr>
              <w:t>90</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B1DBD">
            <w:pPr>
              <w:widowControl/>
              <w:spacing w:line="300" w:lineRule="exact"/>
              <w:jc w:val="center"/>
              <w:rPr>
                <w:color w:val="000000"/>
                <w:sz w:val="15"/>
                <w:szCs w:val="15"/>
              </w:rPr>
            </w:pPr>
            <w:r>
              <w:rPr>
                <w:rFonts w:hint="eastAsia"/>
                <w:color w:val="000000"/>
                <w:sz w:val="15"/>
                <w:szCs w:val="15"/>
              </w:rPr>
              <w:t>%</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F0ED4">
            <w:pPr>
              <w:widowControl/>
              <w:spacing w:line="300" w:lineRule="exact"/>
              <w:jc w:val="center"/>
              <w:rPr>
                <w:color w:val="000000"/>
                <w:sz w:val="15"/>
                <w:szCs w:val="15"/>
              </w:rPr>
            </w:pPr>
            <w:r>
              <w:rPr>
                <w:rFonts w:hint="eastAsia"/>
                <w:color w:val="000000"/>
                <w:sz w:val="15"/>
                <w:szCs w:val="15"/>
              </w:rPr>
              <w:t>2</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97DF3">
            <w:pPr>
              <w:widowControl/>
              <w:spacing w:line="300" w:lineRule="exact"/>
              <w:jc w:val="center"/>
              <w:rPr>
                <w:color w:val="000000"/>
                <w:sz w:val="15"/>
                <w:szCs w:val="15"/>
              </w:rPr>
            </w:pPr>
            <w:r>
              <w:rPr>
                <w:rFonts w:hint="eastAsia"/>
                <w:color w:val="000000"/>
                <w:sz w:val="15"/>
                <w:szCs w:val="15"/>
              </w:rPr>
              <w:t>95%</w:t>
            </w:r>
          </w:p>
        </w:tc>
      </w:tr>
      <w:tr w14:paraId="28AF605D">
        <w:tblPrEx>
          <w:tblCellMar>
            <w:top w:w="15" w:type="dxa"/>
            <w:left w:w="15" w:type="dxa"/>
            <w:bottom w:w="15" w:type="dxa"/>
            <w:right w:w="15" w:type="dxa"/>
          </w:tblCellMar>
        </w:tblPrEx>
        <w:trPr>
          <w:trHeight w:val="325" w:hRule="atLeast"/>
          <w:jc w:val="center"/>
        </w:trPr>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BF5475">
            <w:pPr>
              <w:widowControl/>
              <w:spacing w:line="300" w:lineRule="exact"/>
              <w:jc w:val="center"/>
              <w:rPr>
                <w:color w:val="000000"/>
                <w:sz w:val="15"/>
                <w:szCs w:val="15"/>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072896">
            <w:pPr>
              <w:widowControl/>
              <w:spacing w:line="300" w:lineRule="exact"/>
              <w:jc w:val="center"/>
              <w:rPr>
                <w:color w:val="000000"/>
                <w:sz w:val="15"/>
                <w:szCs w:val="15"/>
              </w:rPr>
            </w:pPr>
          </w:p>
        </w:tc>
        <w:tc>
          <w:tcPr>
            <w:tcW w:w="1134" w:type="dxa"/>
            <w:vMerge w:val="continue"/>
            <w:tcBorders>
              <w:left w:val="single" w:color="000000" w:sz="4" w:space="0"/>
              <w:right w:val="single" w:color="000000" w:sz="4" w:space="0"/>
            </w:tcBorders>
            <w:shd w:val="clear" w:color="auto" w:fill="auto"/>
            <w:vAlign w:val="center"/>
          </w:tcPr>
          <w:p w14:paraId="2293D3F2">
            <w:pPr>
              <w:widowControl/>
              <w:spacing w:line="300" w:lineRule="exact"/>
              <w:jc w:val="center"/>
              <w:rPr>
                <w:color w:val="000000"/>
                <w:sz w:val="15"/>
                <w:szCs w:val="15"/>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D6596">
            <w:pPr>
              <w:widowControl/>
              <w:spacing w:line="300" w:lineRule="exact"/>
              <w:jc w:val="left"/>
              <w:rPr>
                <w:color w:val="000000"/>
                <w:sz w:val="15"/>
                <w:szCs w:val="15"/>
              </w:rPr>
            </w:pPr>
            <w:r>
              <w:rPr>
                <w:color w:val="000000"/>
                <w:sz w:val="15"/>
                <w:szCs w:val="15"/>
              </w:rPr>
              <w:t>林木种子质量合格率</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FA6C4">
            <w:pPr>
              <w:widowControl/>
              <w:spacing w:line="300" w:lineRule="exact"/>
              <w:jc w:val="center"/>
              <w:rPr>
                <w:color w:val="000000"/>
                <w:sz w:val="15"/>
                <w:szCs w:val="15"/>
              </w:rPr>
            </w:pPr>
            <w:r>
              <w:rPr>
                <w:rFonts w:hint="eastAsia"/>
                <w:sz w:val="15"/>
                <w:szCs w:val="15"/>
              </w:rPr>
              <w:t>≥</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29F70">
            <w:pPr>
              <w:widowControl/>
              <w:spacing w:line="300" w:lineRule="exact"/>
              <w:jc w:val="center"/>
              <w:rPr>
                <w:color w:val="000000"/>
                <w:sz w:val="15"/>
                <w:szCs w:val="15"/>
              </w:rPr>
            </w:pPr>
            <w:r>
              <w:rPr>
                <w:rFonts w:hint="eastAsia"/>
                <w:color w:val="000000"/>
                <w:sz w:val="15"/>
                <w:szCs w:val="15"/>
              </w:rPr>
              <w:t>95</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C36F1">
            <w:pPr>
              <w:widowControl/>
              <w:spacing w:line="300" w:lineRule="exact"/>
              <w:jc w:val="center"/>
              <w:rPr>
                <w:color w:val="000000"/>
                <w:sz w:val="15"/>
                <w:szCs w:val="15"/>
              </w:rPr>
            </w:pPr>
            <w:r>
              <w:rPr>
                <w:rFonts w:hint="eastAsia"/>
                <w:color w:val="000000"/>
                <w:sz w:val="15"/>
                <w:szCs w:val="15"/>
              </w:rPr>
              <w:t>%</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57DC1">
            <w:pPr>
              <w:widowControl/>
              <w:spacing w:line="300" w:lineRule="exact"/>
              <w:jc w:val="center"/>
              <w:rPr>
                <w:color w:val="000000"/>
                <w:sz w:val="15"/>
                <w:szCs w:val="15"/>
              </w:rPr>
            </w:pPr>
            <w:r>
              <w:rPr>
                <w:rFonts w:hint="eastAsia"/>
                <w:color w:val="000000"/>
                <w:sz w:val="15"/>
                <w:szCs w:val="15"/>
              </w:rPr>
              <w:t>5</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7DBF0">
            <w:pPr>
              <w:widowControl/>
              <w:spacing w:line="300" w:lineRule="exact"/>
              <w:jc w:val="center"/>
              <w:rPr>
                <w:color w:val="000000"/>
                <w:sz w:val="15"/>
                <w:szCs w:val="15"/>
              </w:rPr>
            </w:pPr>
            <w:r>
              <w:rPr>
                <w:rFonts w:hint="eastAsia"/>
                <w:sz w:val="15"/>
                <w:szCs w:val="15"/>
              </w:rPr>
              <w:t>≥95%</w:t>
            </w:r>
          </w:p>
        </w:tc>
      </w:tr>
      <w:tr w14:paraId="1D111F2D">
        <w:tblPrEx>
          <w:tblCellMar>
            <w:top w:w="15" w:type="dxa"/>
            <w:left w:w="15" w:type="dxa"/>
            <w:bottom w:w="15" w:type="dxa"/>
            <w:right w:w="15" w:type="dxa"/>
          </w:tblCellMar>
        </w:tblPrEx>
        <w:trPr>
          <w:trHeight w:val="325" w:hRule="atLeast"/>
          <w:jc w:val="center"/>
        </w:trPr>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76BA31">
            <w:pPr>
              <w:widowControl/>
              <w:spacing w:line="300" w:lineRule="exact"/>
              <w:jc w:val="center"/>
              <w:rPr>
                <w:color w:val="000000"/>
                <w:sz w:val="15"/>
                <w:szCs w:val="15"/>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D9035F">
            <w:pPr>
              <w:widowControl/>
              <w:spacing w:line="300" w:lineRule="exact"/>
              <w:jc w:val="center"/>
              <w:rPr>
                <w:color w:val="000000"/>
                <w:sz w:val="15"/>
                <w:szCs w:val="15"/>
              </w:rPr>
            </w:pPr>
          </w:p>
        </w:tc>
        <w:tc>
          <w:tcPr>
            <w:tcW w:w="1134" w:type="dxa"/>
            <w:vMerge w:val="continue"/>
            <w:tcBorders>
              <w:left w:val="single" w:color="000000" w:sz="4" w:space="0"/>
              <w:bottom w:val="single" w:color="000000" w:sz="4" w:space="0"/>
              <w:right w:val="single" w:color="000000" w:sz="4" w:space="0"/>
            </w:tcBorders>
            <w:shd w:val="clear" w:color="auto" w:fill="auto"/>
            <w:vAlign w:val="center"/>
          </w:tcPr>
          <w:p w14:paraId="365E5F0E">
            <w:pPr>
              <w:widowControl/>
              <w:spacing w:line="300" w:lineRule="exact"/>
              <w:jc w:val="center"/>
              <w:rPr>
                <w:color w:val="000000"/>
                <w:sz w:val="15"/>
                <w:szCs w:val="15"/>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D7128">
            <w:pPr>
              <w:widowControl/>
              <w:spacing w:line="300" w:lineRule="exact"/>
              <w:jc w:val="left"/>
              <w:rPr>
                <w:color w:val="000000"/>
                <w:sz w:val="15"/>
                <w:szCs w:val="15"/>
              </w:rPr>
            </w:pPr>
            <w:r>
              <w:rPr>
                <w:color w:val="000000"/>
                <w:sz w:val="15"/>
                <w:szCs w:val="15"/>
              </w:rPr>
              <w:t>预算编制准确率</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0CB3">
            <w:pPr>
              <w:widowControl/>
              <w:spacing w:line="300" w:lineRule="exact"/>
              <w:jc w:val="center"/>
              <w:rPr>
                <w:color w:val="000000"/>
                <w:sz w:val="15"/>
                <w:szCs w:val="15"/>
              </w:rPr>
            </w:pPr>
            <w:r>
              <w:rPr>
                <w:rFonts w:hint="eastAsia"/>
                <w:sz w:val="15"/>
                <w:szCs w:val="15"/>
              </w:rPr>
              <w:t>≥</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27269">
            <w:pPr>
              <w:widowControl/>
              <w:spacing w:line="300" w:lineRule="exact"/>
              <w:jc w:val="center"/>
              <w:rPr>
                <w:color w:val="000000"/>
                <w:sz w:val="15"/>
                <w:szCs w:val="15"/>
              </w:rPr>
            </w:pPr>
            <w:r>
              <w:rPr>
                <w:rFonts w:hint="eastAsia"/>
                <w:color w:val="000000"/>
                <w:sz w:val="15"/>
                <w:szCs w:val="15"/>
              </w:rPr>
              <w:t>95</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B2219">
            <w:pPr>
              <w:widowControl/>
              <w:spacing w:line="300" w:lineRule="exact"/>
              <w:jc w:val="center"/>
              <w:rPr>
                <w:color w:val="000000"/>
                <w:sz w:val="15"/>
                <w:szCs w:val="15"/>
              </w:rPr>
            </w:pPr>
            <w:r>
              <w:rPr>
                <w:rFonts w:hint="eastAsia"/>
                <w:color w:val="000000"/>
                <w:sz w:val="15"/>
                <w:szCs w:val="15"/>
              </w:rPr>
              <w:t>%</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3222C">
            <w:pPr>
              <w:widowControl/>
              <w:spacing w:line="300" w:lineRule="exact"/>
              <w:jc w:val="center"/>
              <w:rPr>
                <w:color w:val="000000"/>
                <w:sz w:val="15"/>
                <w:szCs w:val="15"/>
              </w:rPr>
            </w:pPr>
            <w:r>
              <w:rPr>
                <w:rFonts w:hint="eastAsia"/>
                <w:color w:val="000000"/>
                <w:sz w:val="15"/>
                <w:szCs w:val="15"/>
              </w:rPr>
              <w:t>5</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E985D">
            <w:pPr>
              <w:widowControl/>
              <w:spacing w:line="300" w:lineRule="exact"/>
              <w:jc w:val="center"/>
              <w:rPr>
                <w:color w:val="000000"/>
                <w:sz w:val="15"/>
                <w:szCs w:val="15"/>
              </w:rPr>
            </w:pPr>
            <w:r>
              <w:rPr>
                <w:rFonts w:hint="eastAsia"/>
                <w:color w:val="000000"/>
                <w:sz w:val="15"/>
                <w:szCs w:val="15"/>
              </w:rPr>
              <w:t>95%</w:t>
            </w:r>
          </w:p>
        </w:tc>
      </w:tr>
      <w:tr w14:paraId="4BFA780D">
        <w:tblPrEx>
          <w:tblCellMar>
            <w:top w:w="15" w:type="dxa"/>
            <w:left w:w="15" w:type="dxa"/>
            <w:bottom w:w="15" w:type="dxa"/>
            <w:right w:w="15" w:type="dxa"/>
          </w:tblCellMar>
        </w:tblPrEx>
        <w:trPr>
          <w:trHeight w:val="325" w:hRule="atLeast"/>
          <w:jc w:val="center"/>
        </w:trPr>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8EF037">
            <w:pPr>
              <w:widowControl/>
              <w:spacing w:line="300" w:lineRule="exact"/>
              <w:jc w:val="center"/>
              <w:rPr>
                <w:color w:val="000000"/>
                <w:sz w:val="15"/>
                <w:szCs w:val="15"/>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591614">
            <w:pPr>
              <w:widowControl/>
              <w:spacing w:line="300" w:lineRule="exact"/>
              <w:jc w:val="center"/>
              <w:rPr>
                <w:color w:val="000000"/>
                <w:sz w:val="15"/>
                <w:szCs w:val="15"/>
              </w:rPr>
            </w:pPr>
          </w:p>
        </w:tc>
        <w:tc>
          <w:tcPr>
            <w:tcW w:w="1134" w:type="dxa"/>
            <w:vMerge w:val="restart"/>
            <w:tcBorders>
              <w:top w:val="single" w:color="000000" w:sz="4" w:space="0"/>
              <w:left w:val="single" w:color="000000" w:sz="4" w:space="0"/>
              <w:right w:val="single" w:color="000000" w:sz="4" w:space="0"/>
            </w:tcBorders>
            <w:shd w:val="clear" w:color="auto" w:fill="auto"/>
            <w:vAlign w:val="center"/>
          </w:tcPr>
          <w:p w14:paraId="262EB778">
            <w:pPr>
              <w:widowControl/>
              <w:spacing w:line="300" w:lineRule="exact"/>
              <w:jc w:val="center"/>
              <w:textAlignment w:val="center"/>
              <w:rPr>
                <w:color w:val="000000"/>
                <w:kern w:val="0"/>
                <w:sz w:val="15"/>
                <w:szCs w:val="15"/>
              </w:rPr>
            </w:pPr>
            <w:r>
              <w:rPr>
                <w:color w:val="000000"/>
                <w:kern w:val="0"/>
                <w:sz w:val="15"/>
                <w:szCs w:val="15"/>
              </w:rPr>
              <w:t>时效指标</w:t>
            </w:r>
          </w:p>
          <w:p w14:paraId="3EB05429">
            <w:pPr>
              <w:widowControl/>
              <w:spacing w:line="300" w:lineRule="exact"/>
              <w:jc w:val="center"/>
              <w:textAlignment w:val="center"/>
              <w:rPr>
                <w:color w:val="000000"/>
                <w:sz w:val="15"/>
                <w:szCs w:val="15"/>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204DC">
            <w:pPr>
              <w:widowControl/>
              <w:spacing w:line="300" w:lineRule="exact"/>
              <w:jc w:val="left"/>
              <w:rPr>
                <w:color w:val="000000"/>
                <w:sz w:val="15"/>
                <w:szCs w:val="15"/>
              </w:rPr>
            </w:pPr>
            <w:r>
              <w:rPr>
                <w:color w:val="000000"/>
                <w:sz w:val="15"/>
                <w:szCs w:val="15"/>
              </w:rPr>
              <w:t>护林防灭火宣传</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EE329">
            <w:pPr>
              <w:widowControl/>
              <w:spacing w:line="300" w:lineRule="exact"/>
              <w:jc w:val="center"/>
              <w:rPr>
                <w:color w:val="000000"/>
                <w:sz w:val="15"/>
                <w:szCs w:val="15"/>
              </w:rPr>
            </w:pPr>
            <w:r>
              <w:rPr>
                <w:rFonts w:hint="eastAsia" w:ascii="宋体" w:hAnsi="宋体" w:cs="宋体"/>
                <w:color w:val="000000"/>
                <w:kern w:val="0"/>
                <w:sz w:val="15"/>
                <w:szCs w:val="15"/>
              </w:rPr>
              <w:t>≤</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D16E2">
            <w:pPr>
              <w:widowControl/>
              <w:spacing w:line="300" w:lineRule="exact"/>
              <w:jc w:val="center"/>
              <w:rPr>
                <w:color w:val="000000"/>
                <w:sz w:val="15"/>
                <w:szCs w:val="15"/>
              </w:rPr>
            </w:pPr>
            <w:r>
              <w:rPr>
                <w:rFonts w:hint="eastAsia"/>
                <w:color w:val="000000"/>
                <w:sz w:val="15"/>
                <w:szCs w:val="15"/>
              </w:rPr>
              <w:t>12</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03F52">
            <w:pPr>
              <w:widowControl/>
              <w:spacing w:line="300" w:lineRule="exact"/>
              <w:jc w:val="center"/>
              <w:rPr>
                <w:color w:val="000000"/>
                <w:sz w:val="15"/>
                <w:szCs w:val="15"/>
              </w:rPr>
            </w:pPr>
            <w:r>
              <w:rPr>
                <w:rFonts w:hint="eastAsia"/>
                <w:color w:val="000000"/>
                <w:sz w:val="15"/>
                <w:szCs w:val="15"/>
              </w:rPr>
              <w:t>月</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9EE32">
            <w:pPr>
              <w:widowControl/>
              <w:spacing w:line="300" w:lineRule="exact"/>
              <w:jc w:val="center"/>
              <w:rPr>
                <w:color w:val="000000"/>
                <w:sz w:val="15"/>
                <w:szCs w:val="15"/>
              </w:rPr>
            </w:pPr>
            <w:r>
              <w:rPr>
                <w:rFonts w:hint="eastAsia"/>
                <w:color w:val="000000"/>
                <w:sz w:val="15"/>
                <w:szCs w:val="15"/>
              </w:rPr>
              <w:t>2</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2184F">
            <w:pPr>
              <w:widowControl/>
              <w:spacing w:line="300" w:lineRule="exact"/>
              <w:jc w:val="center"/>
              <w:rPr>
                <w:color w:val="000000"/>
                <w:sz w:val="15"/>
                <w:szCs w:val="15"/>
              </w:rPr>
            </w:pPr>
            <w:r>
              <w:rPr>
                <w:rFonts w:hint="eastAsia"/>
                <w:color w:val="000000"/>
                <w:sz w:val="15"/>
                <w:szCs w:val="15"/>
              </w:rPr>
              <w:t>12月</w:t>
            </w:r>
          </w:p>
        </w:tc>
      </w:tr>
      <w:tr w14:paraId="7B6E15A3">
        <w:tblPrEx>
          <w:tblCellMar>
            <w:top w:w="15" w:type="dxa"/>
            <w:left w:w="15" w:type="dxa"/>
            <w:bottom w:w="15" w:type="dxa"/>
            <w:right w:w="15" w:type="dxa"/>
          </w:tblCellMar>
        </w:tblPrEx>
        <w:trPr>
          <w:trHeight w:val="325" w:hRule="atLeast"/>
          <w:jc w:val="center"/>
        </w:trPr>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A1677F">
            <w:pPr>
              <w:widowControl/>
              <w:spacing w:line="300" w:lineRule="exact"/>
              <w:jc w:val="center"/>
              <w:rPr>
                <w:color w:val="000000"/>
                <w:sz w:val="15"/>
                <w:szCs w:val="15"/>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744054">
            <w:pPr>
              <w:widowControl/>
              <w:spacing w:line="300" w:lineRule="exact"/>
              <w:jc w:val="center"/>
              <w:rPr>
                <w:color w:val="000000"/>
                <w:sz w:val="15"/>
                <w:szCs w:val="15"/>
              </w:rPr>
            </w:pPr>
          </w:p>
        </w:tc>
        <w:tc>
          <w:tcPr>
            <w:tcW w:w="1134" w:type="dxa"/>
            <w:vMerge w:val="continue"/>
            <w:tcBorders>
              <w:left w:val="single" w:color="000000" w:sz="4" w:space="0"/>
              <w:right w:val="single" w:color="000000" w:sz="4" w:space="0"/>
            </w:tcBorders>
            <w:shd w:val="clear" w:color="auto" w:fill="auto"/>
            <w:vAlign w:val="center"/>
          </w:tcPr>
          <w:p w14:paraId="27B416F2">
            <w:pPr>
              <w:widowControl/>
              <w:spacing w:line="300" w:lineRule="exact"/>
              <w:jc w:val="center"/>
              <w:textAlignment w:val="center"/>
              <w:rPr>
                <w:color w:val="000000"/>
                <w:kern w:val="0"/>
                <w:sz w:val="15"/>
                <w:szCs w:val="15"/>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2B69E">
            <w:pPr>
              <w:widowControl/>
              <w:spacing w:line="300" w:lineRule="exact"/>
              <w:jc w:val="left"/>
              <w:rPr>
                <w:color w:val="000000"/>
                <w:sz w:val="15"/>
                <w:szCs w:val="15"/>
              </w:rPr>
            </w:pPr>
            <w:r>
              <w:rPr>
                <w:color w:val="000000"/>
                <w:sz w:val="15"/>
                <w:szCs w:val="15"/>
              </w:rPr>
              <w:t>林木种苗生产技术服务</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E5043">
            <w:pPr>
              <w:widowControl/>
              <w:spacing w:line="300" w:lineRule="exact"/>
              <w:jc w:val="center"/>
              <w:rPr>
                <w:color w:val="000000"/>
                <w:sz w:val="15"/>
                <w:szCs w:val="15"/>
              </w:rPr>
            </w:pPr>
            <w:r>
              <w:rPr>
                <w:rFonts w:hint="eastAsia" w:ascii="宋体" w:hAnsi="宋体" w:cs="宋体"/>
                <w:color w:val="000000"/>
                <w:kern w:val="0"/>
                <w:sz w:val="15"/>
                <w:szCs w:val="15"/>
              </w:rPr>
              <w:t>≤</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F6B3D">
            <w:pPr>
              <w:widowControl/>
              <w:spacing w:line="300" w:lineRule="exact"/>
              <w:jc w:val="center"/>
              <w:rPr>
                <w:color w:val="000000"/>
                <w:sz w:val="15"/>
                <w:szCs w:val="15"/>
              </w:rPr>
            </w:pPr>
            <w:r>
              <w:rPr>
                <w:rFonts w:hint="eastAsia"/>
                <w:color w:val="000000"/>
                <w:sz w:val="15"/>
                <w:szCs w:val="15"/>
              </w:rPr>
              <w:t>12</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85686">
            <w:pPr>
              <w:widowControl/>
              <w:spacing w:line="300" w:lineRule="exact"/>
              <w:jc w:val="center"/>
              <w:rPr>
                <w:color w:val="000000"/>
                <w:sz w:val="15"/>
                <w:szCs w:val="15"/>
              </w:rPr>
            </w:pPr>
            <w:r>
              <w:rPr>
                <w:rFonts w:hint="eastAsia"/>
                <w:color w:val="000000"/>
                <w:sz w:val="15"/>
                <w:szCs w:val="15"/>
              </w:rPr>
              <w:t>月</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AD826">
            <w:pPr>
              <w:widowControl/>
              <w:spacing w:line="300" w:lineRule="exact"/>
              <w:jc w:val="center"/>
              <w:rPr>
                <w:color w:val="000000"/>
                <w:sz w:val="15"/>
                <w:szCs w:val="15"/>
              </w:rPr>
            </w:pPr>
            <w:r>
              <w:rPr>
                <w:rFonts w:hint="eastAsia"/>
                <w:color w:val="000000"/>
                <w:sz w:val="15"/>
                <w:szCs w:val="15"/>
              </w:rPr>
              <w:t>5</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84B22">
            <w:pPr>
              <w:widowControl/>
              <w:spacing w:line="300" w:lineRule="exact"/>
              <w:jc w:val="center"/>
              <w:rPr>
                <w:color w:val="000000"/>
                <w:sz w:val="15"/>
                <w:szCs w:val="15"/>
              </w:rPr>
            </w:pPr>
            <w:r>
              <w:rPr>
                <w:rFonts w:hint="eastAsia"/>
                <w:color w:val="000000"/>
                <w:sz w:val="15"/>
                <w:szCs w:val="15"/>
              </w:rPr>
              <w:t>12月</w:t>
            </w:r>
          </w:p>
        </w:tc>
      </w:tr>
      <w:tr w14:paraId="5275C423">
        <w:tblPrEx>
          <w:tblCellMar>
            <w:top w:w="15" w:type="dxa"/>
            <w:left w:w="15" w:type="dxa"/>
            <w:bottom w:w="15" w:type="dxa"/>
            <w:right w:w="15" w:type="dxa"/>
          </w:tblCellMar>
        </w:tblPrEx>
        <w:trPr>
          <w:trHeight w:val="325" w:hRule="atLeast"/>
          <w:jc w:val="center"/>
        </w:trPr>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8D124F">
            <w:pPr>
              <w:widowControl/>
              <w:spacing w:line="300" w:lineRule="exact"/>
              <w:jc w:val="center"/>
              <w:rPr>
                <w:color w:val="000000"/>
                <w:sz w:val="15"/>
                <w:szCs w:val="15"/>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F55D0B">
            <w:pPr>
              <w:widowControl/>
              <w:spacing w:line="300" w:lineRule="exact"/>
              <w:jc w:val="center"/>
              <w:rPr>
                <w:color w:val="000000"/>
                <w:sz w:val="15"/>
                <w:szCs w:val="15"/>
              </w:rPr>
            </w:pPr>
          </w:p>
        </w:tc>
        <w:tc>
          <w:tcPr>
            <w:tcW w:w="1134" w:type="dxa"/>
            <w:vMerge w:val="continue"/>
            <w:tcBorders>
              <w:left w:val="single" w:color="000000" w:sz="4" w:space="0"/>
              <w:right w:val="single" w:color="000000" w:sz="4" w:space="0"/>
            </w:tcBorders>
            <w:shd w:val="clear" w:color="auto" w:fill="auto"/>
            <w:vAlign w:val="center"/>
          </w:tcPr>
          <w:p w14:paraId="652B7C00">
            <w:pPr>
              <w:widowControl/>
              <w:spacing w:line="300" w:lineRule="exact"/>
              <w:jc w:val="center"/>
              <w:textAlignment w:val="center"/>
              <w:rPr>
                <w:color w:val="000000"/>
                <w:kern w:val="0"/>
                <w:sz w:val="15"/>
                <w:szCs w:val="15"/>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4544D">
            <w:pPr>
              <w:widowControl/>
              <w:spacing w:line="300" w:lineRule="exact"/>
              <w:jc w:val="left"/>
              <w:rPr>
                <w:color w:val="000000"/>
                <w:sz w:val="15"/>
                <w:szCs w:val="15"/>
              </w:rPr>
            </w:pPr>
            <w:r>
              <w:rPr>
                <w:color w:val="000000"/>
                <w:sz w:val="15"/>
                <w:szCs w:val="15"/>
              </w:rPr>
              <w:t>林业科技推广</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1FB11">
            <w:pPr>
              <w:widowControl/>
              <w:spacing w:line="300" w:lineRule="exact"/>
              <w:jc w:val="center"/>
              <w:rPr>
                <w:color w:val="000000"/>
                <w:sz w:val="15"/>
                <w:szCs w:val="15"/>
              </w:rPr>
            </w:pPr>
            <w:r>
              <w:rPr>
                <w:rFonts w:hint="eastAsia" w:ascii="宋体" w:hAnsi="宋体" w:cs="宋体"/>
                <w:color w:val="000000"/>
                <w:kern w:val="0"/>
                <w:sz w:val="15"/>
                <w:szCs w:val="15"/>
              </w:rPr>
              <w:t>≤</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11EAC">
            <w:pPr>
              <w:widowControl/>
              <w:spacing w:line="300" w:lineRule="exact"/>
              <w:jc w:val="center"/>
              <w:rPr>
                <w:color w:val="000000"/>
                <w:sz w:val="15"/>
                <w:szCs w:val="15"/>
              </w:rPr>
            </w:pPr>
            <w:r>
              <w:rPr>
                <w:rFonts w:hint="eastAsia"/>
                <w:color w:val="000000"/>
                <w:sz w:val="15"/>
                <w:szCs w:val="15"/>
              </w:rPr>
              <w:t>12</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9D2D1">
            <w:pPr>
              <w:widowControl/>
              <w:spacing w:line="300" w:lineRule="exact"/>
              <w:jc w:val="center"/>
              <w:rPr>
                <w:color w:val="000000"/>
                <w:sz w:val="15"/>
                <w:szCs w:val="15"/>
              </w:rPr>
            </w:pPr>
            <w:r>
              <w:rPr>
                <w:rFonts w:hint="eastAsia"/>
                <w:color w:val="000000"/>
                <w:sz w:val="15"/>
                <w:szCs w:val="15"/>
              </w:rPr>
              <w:t>月</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979D7">
            <w:pPr>
              <w:widowControl/>
              <w:spacing w:line="300" w:lineRule="exact"/>
              <w:jc w:val="center"/>
              <w:rPr>
                <w:color w:val="000000"/>
                <w:sz w:val="15"/>
                <w:szCs w:val="15"/>
              </w:rPr>
            </w:pPr>
            <w:r>
              <w:rPr>
                <w:rFonts w:hint="eastAsia"/>
                <w:color w:val="000000"/>
                <w:sz w:val="15"/>
                <w:szCs w:val="15"/>
              </w:rPr>
              <w:t>2</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7DA78">
            <w:pPr>
              <w:widowControl/>
              <w:spacing w:line="300" w:lineRule="exact"/>
              <w:jc w:val="center"/>
              <w:rPr>
                <w:color w:val="000000"/>
                <w:sz w:val="15"/>
                <w:szCs w:val="15"/>
              </w:rPr>
            </w:pPr>
            <w:r>
              <w:rPr>
                <w:rFonts w:hint="eastAsia"/>
                <w:color w:val="000000"/>
                <w:sz w:val="15"/>
                <w:szCs w:val="15"/>
              </w:rPr>
              <w:t>12月</w:t>
            </w:r>
          </w:p>
        </w:tc>
      </w:tr>
      <w:tr w14:paraId="1F07A26A">
        <w:tblPrEx>
          <w:tblCellMar>
            <w:top w:w="15" w:type="dxa"/>
            <w:left w:w="15" w:type="dxa"/>
            <w:bottom w:w="15" w:type="dxa"/>
            <w:right w:w="15" w:type="dxa"/>
          </w:tblCellMar>
        </w:tblPrEx>
        <w:trPr>
          <w:trHeight w:val="325" w:hRule="atLeast"/>
          <w:jc w:val="center"/>
        </w:trPr>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E56650">
            <w:pPr>
              <w:widowControl/>
              <w:spacing w:line="300" w:lineRule="exact"/>
              <w:jc w:val="center"/>
              <w:rPr>
                <w:color w:val="000000"/>
                <w:sz w:val="15"/>
                <w:szCs w:val="15"/>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327415">
            <w:pPr>
              <w:widowControl/>
              <w:spacing w:line="300" w:lineRule="exact"/>
              <w:jc w:val="center"/>
              <w:rPr>
                <w:color w:val="000000"/>
                <w:sz w:val="15"/>
                <w:szCs w:val="15"/>
              </w:rPr>
            </w:pPr>
          </w:p>
        </w:tc>
        <w:tc>
          <w:tcPr>
            <w:tcW w:w="1134" w:type="dxa"/>
            <w:vMerge w:val="continue"/>
            <w:tcBorders>
              <w:left w:val="single" w:color="000000" w:sz="4" w:space="0"/>
              <w:right w:val="single" w:color="000000" w:sz="4" w:space="0"/>
            </w:tcBorders>
            <w:shd w:val="clear" w:color="auto" w:fill="auto"/>
            <w:vAlign w:val="center"/>
          </w:tcPr>
          <w:p w14:paraId="361F7E92">
            <w:pPr>
              <w:widowControl/>
              <w:spacing w:line="300" w:lineRule="exact"/>
              <w:jc w:val="center"/>
              <w:textAlignment w:val="center"/>
              <w:rPr>
                <w:color w:val="000000"/>
                <w:kern w:val="0"/>
                <w:sz w:val="15"/>
                <w:szCs w:val="15"/>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86B1C">
            <w:pPr>
              <w:widowControl/>
              <w:spacing w:line="300" w:lineRule="exact"/>
              <w:jc w:val="left"/>
              <w:rPr>
                <w:color w:val="000000"/>
                <w:sz w:val="15"/>
                <w:szCs w:val="15"/>
              </w:rPr>
            </w:pPr>
            <w:r>
              <w:rPr>
                <w:color w:val="000000"/>
                <w:sz w:val="15"/>
                <w:szCs w:val="15"/>
              </w:rPr>
              <w:t>人员经费按时发放率</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CEE65">
            <w:pPr>
              <w:widowControl/>
              <w:spacing w:line="300" w:lineRule="exact"/>
              <w:jc w:val="center"/>
              <w:rPr>
                <w:color w:val="000000"/>
                <w:sz w:val="15"/>
                <w:szCs w:val="15"/>
              </w:rPr>
            </w:pPr>
            <w:r>
              <w:rPr>
                <w:rFonts w:hint="eastAsia" w:ascii="宋体" w:hAnsi="宋体" w:cs="宋体"/>
                <w:color w:val="000000"/>
                <w:kern w:val="0"/>
                <w:sz w:val="15"/>
                <w:szCs w:val="15"/>
              </w:rPr>
              <w:t>=</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22FF3">
            <w:pPr>
              <w:widowControl/>
              <w:spacing w:line="300" w:lineRule="exact"/>
              <w:jc w:val="center"/>
              <w:rPr>
                <w:color w:val="000000"/>
                <w:sz w:val="15"/>
                <w:szCs w:val="15"/>
              </w:rPr>
            </w:pPr>
            <w:r>
              <w:rPr>
                <w:rFonts w:hint="eastAsia"/>
                <w:color w:val="000000"/>
                <w:sz w:val="15"/>
                <w:szCs w:val="15"/>
              </w:rPr>
              <w:t>100</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136EA">
            <w:pPr>
              <w:widowControl/>
              <w:spacing w:line="300" w:lineRule="exact"/>
              <w:jc w:val="center"/>
              <w:rPr>
                <w:color w:val="000000"/>
                <w:sz w:val="15"/>
                <w:szCs w:val="15"/>
              </w:rPr>
            </w:pPr>
            <w:r>
              <w:rPr>
                <w:rFonts w:hint="eastAsia"/>
                <w:color w:val="000000"/>
                <w:sz w:val="15"/>
                <w:szCs w:val="15"/>
              </w:rPr>
              <w:t>%</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5A07B">
            <w:pPr>
              <w:widowControl/>
              <w:spacing w:line="300" w:lineRule="exact"/>
              <w:jc w:val="center"/>
              <w:rPr>
                <w:color w:val="000000"/>
                <w:sz w:val="15"/>
                <w:szCs w:val="15"/>
              </w:rPr>
            </w:pPr>
            <w:r>
              <w:rPr>
                <w:rFonts w:hint="eastAsia"/>
                <w:color w:val="000000"/>
                <w:sz w:val="15"/>
                <w:szCs w:val="15"/>
              </w:rPr>
              <w:t>5</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EEB49">
            <w:pPr>
              <w:widowControl/>
              <w:spacing w:line="300" w:lineRule="exact"/>
              <w:jc w:val="center"/>
              <w:rPr>
                <w:color w:val="000000"/>
                <w:sz w:val="15"/>
                <w:szCs w:val="15"/>
              </w:rPr>
            </w:pPr>
            <w:r>
              <w:rPr>
                <w:rFonts w:hint="eastAsia"/>
                <w:color w:val="000000"/>
                <w:sz w:val="15"/>
                <w:szCs w:val="15"/>
              </w:rPr>
              <w:t>100%</w:t>
            </w:r>
          </w:p>
        </w:tc>
      </w:tr>
      <w:tr w14:paraId="44543BF2">
        <w:tblPrEx>
          <w:tblCellMar>
            <w:top w:w="15" w:type="dxa"/>
            <w:left w:w="15" w:type="dxa"/>
            <w:bottom w:w="15" w:type="dxa"/>
            <w:right w:w="15" w:type="dxa"/>
          </w:tblCellMar>
        </w:tblPrEx>
        <w:trPr>
          <w:trHeight w:val="325" w:hRule="atLeast"/>
          <w:jc w:val="center"/>
        </w:trPr>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0E78F0">
            <w:pPr>
              <w:widowControl/>
              <w:spacing w:line="300" w:lineRule="exact"/>
              <w:jc w:val="center"/>
              <w:rPr>
                <w:color w:val="000000"/>
                <w:sz w:val="15"/>
                <w:szCs w:val="15"/>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48DB33">
            <w:pPr>
              <w:widowControl/>
              <w:spacing w:line="300" w:lineRule="exact"/>
              <w:jc w:val="center"/>
              <w:rPr>
                <w:color w:val="000000"/>
                <w:sz w:val="15"/>
                <w:szCs w:val="15"/>
              </w:rPr>
            </w:pPr>
          </w:p>
        </w:tc>
        <w:tc>
          <w:tcPr>
            <w:tcW w:w="1134" w:type="dxa"/>
            <w:vMerge w:val="continue"/>
            <w:tcBorders>
              <w:left w:val="single" w:color="000000" w:sz="4" w:space="0"/>
              <w:bottom w:val="single" w:color="000000" w:sz="4" w:space="0"/>
              <w:right w:val="single" w:color="000000" w:sz="4" w:space="0"/>
            </w:tcBorders>
            <w:shd w:val="clear" w:color="auto" w:fill="auto"/>
            <w:vAlign w:val="center"/>
          </w:tcPr>
          <w:p w14:paraId="4A6A3CEB">
            <w:pPr>
              <w:widowControl/>
              <w:spacing w:line="300" w:lineRule="exact"/>
              <w:jc w:val="center"/>
              <w:textAlignment w:val="center"/>
              <w:rPr>
                <w:color w:val="000000"/>
                <w:sz w:val="15"/>
                <w:szCs w:val="15"/>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05659">
            <w:pPr>
              <w:widowControl/>
              <w:spacing w:line="300" w:lineRule="exact"/>
              <w:jc w:val="left"/>
              <w:rPr>
                <w:color w:val="000000"/>
                <w:sz w:val="15"/>
                <w:szCs w:val="15"/>
              </w:rPr>
            </w:pPr>
            <w:r>
              <w:rPr>
                <w:color w:val="000000"/>
                <w:sz w:val="15"/>
                <w:szCs w:val="15"/>
              </w:rPr>
              <w:t>双随机一公开监督检查</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27BB3">
            <w:pPr>
              <w:widowControl/>
              <w:spacing w:line="300" w:lineRule="exact"/>
              <w:jc w:val="center"/>
              <w:rPr>
                <w:color w:val="000000"/>
                <w:sz w:val="15"/>
                <w:szCs w:val="15"/>
              </w:rPr>
            </w:pPr>
            <w:r>
              <w:rPr>
                <w:rFonts w:hint="eastAsia" w:ascii="宋体" w:hAnsi="宋体" w:cs="宋体"/>
                <w:color w:val="000000"/>
                <w:kern w:val="0"/>
                <w:sz w:val="15"/>
                <w:szCs w:val="15"/>
              </w:rPr>
              <w:t>≤</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651DA">
            <w:pPr>
              <w:widowControl/>
              <w:spacing w:line="300" w:lineRule="exact"/>
              <w:jc w:val="center"/>
              <w:rPr>
                <w:color w:val="000000"/>
                <w:sz w:val="15"/>
                <w:szCs w:val="15"/>
              </w:rPr>
            </w:pPr>
            <w:r>
              <w:rPr>
                <w:rFonts w:hint="eastAsia"/>
                <w:color w:val="000000"/>
                <w:sz w:val="15"/>
                <w:szCs w:val="15"/>
              </w:rPr>
              <w:t>12</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620F4">
            <w:pPr>
              <w:widowControl/>
              <w:spacing w:line="300" w:lineRule="exact"/>
              <w:jc w:val="center"/>
              <w:rPr>
                <w:color w:val="000000"/>
                <w:sz w:val="15"/>
                <w:szCs w:val="15"/>
              </w:rPr>
            </w:pPr>
            <w:r>
              <w:rPr>
                <w:rFonts w:hint="eastAsia"/>
                <w:color w:val="000000"/>
                <w:sz w:val="15"/>
                <w:szCs w:val="15"/>
              </w:rPr>
              <w:t>月</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092E8">
            <w:pPr>
              <w:widowControl/>
              <w:spacing w:line="300" w:lineRule="exact"/>
              <w:jc w:val="center"/>
              <w:rPr>
                <w:color w:val="000000"/>
                <w:sz w:val="15"/>
                <w:szCs w:val="15"/>
              </w:rPr>
            </w:pPr>
            <w:r>
              <w:rPr>
                <w:rFonts w:hint="eastAsia"/>
                <w:color w:val="000000"/>
                <w:sz w:val="15"/>
                <w:szCs w:val="15"/>
              </w:rPr>
              <w:t>5</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CB5D0">
            <w:pPr>
              <w:widowControl/>
              <w:spacing w:line="300" w:lineRule="exact"/>
              <w:jc w:val="center"/>
              <w:rPr>
                <w:color w:val="000000"/>
                <w:sz w:val="15"/>
                <w:szCs w:val="15"/>
              </w:rPr>
            </w:pPr>
            <w:r>
              <w:rPr>
                <w:rFonts w:hint="eastAsia"/>
                <w:color w:val="000000"/>
                <w:sz w:val="15"/>
                <w:szCs w:val="15"/>
              </w:rPr>
              <w:t>12月</w:t>
            </w:r>
          </w:p>
        </w:tc>
      </w:tr>
      <w:tr w14:paraId="728D84CB">
        <w:tblPrEx>
          <w:tblCellMar>
            <w:top w:w="15" w:type="dxa"/>
            <w:left w:w="15" w:type="dxa"/>
            <w:bottom w:w="15" w:type="dxa"/>
            <w:right w:w="15" w:type="dxa"/>
          </w:tblCellMar>
        </w:tblPrEx>
        <w:trPr>
          <w:trHeight w:val="325" w:hRule="atLeast"/>
          <w:jc w:val="center"/>
        </w:trPr>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B8C7FC">
            <w:pPr>
              <w:widowControl/>
              <w:spacing w:line="300" w:lineRule="exact"/>
              <w:jc w:val="center"/>
              <w:rPr>
                <w:color w:val="000000"/>
                <w:sz w:val="15"/>
                <w:szCs w:val="15"/>
              </w:rPr>
            </w:pPr>
          </w:p>
        </w:tc>
        <w:tc>
          <w:tcPr>
            <w:tcW w:w="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3508FB">
            <w:pPr>
              <w:widowControl/>
              <w:spacing w:line="300" w:lineRule="exact"/>
              <w:jc w:val="center"/>
              <w:textAlignment w:val="center"/>
              <w:rPr>
                <w:color w:val="000000"/>
                <w:sz w:val="15"/>
                <w:szCs w:val="15"/>
              </w:rPr>
            </w:pPr>
            <w:r>
              <w:rPr>
                <w:color w:val="000000"/>
                <w:kern w:val="0"/>
                <w:sz w:val="15"/>
                <w:szCs w:val="15"/>
              </w:rPr>
              <w:t>效益指标</w:t>
            </w:r>
          </w:p>
        </w:tc>
        <w:tc>
          <w:tcPr>
            <w:tcW w:w="1134" w:type="dxa"/>
            <w:vMerge w:val="restart"/>
            <w:tcBorders>
              <w:top w:val="single" w:color="000000" w:sz="4" w:space="0"/>
              <w:left w:val="single" w:color="000000" w:sz="4" w:space="0"/>
              <w:right w:val="single" w:color="000000" w:sz="4" w:space="0"/>
            </w:tcBorders>
            <w:shd w:val="clear" w:color="auto" w:fill="auto"/>
            <w:vAlign w:val="center"/>
          </w:tcPr>
          <w:p w14:paraId="1E1ABCA8">
            <w:pPr>
              <w:widowControl/>
              <w:spacing w:line="300" w:lineRule="exact"/>
              <w:jc w:val="center"/>
              <w:textAlignment w:val="center"/>
              <w:rPr>
                <w:color w:val="000000"/>
                <w:kern w:val="0"/>
                <w:sz w:val="15"/>
                <w:szCs w:val="15"/>
              </w:rPr>
            </w:pPr>
          </w:p>
          <w:p w14:paraId="5FFB3564">
            <w:pPr>
              <w:widowControl/>
              <w:spacing w:line="300" w:lineRule="exact"/>
              <w:jc w:val="center"/>
              <w:textAlignment w:val="center"/>
              <w:rPr>
                <w:color w:val="000000"/>
                <w:kern w:val="0"/>
                <w:sz w:val="15"/>
                <w:szCs w:val="15"/>
              </w:rPr>
            </w:pPr>
            <w:r>
              <w:rPr>
                <w:rFonts w:hint="eastAsia"/>
                <w:color w:val="000000"/>
                <w:kern w:val="0"/>
                <w:sz w:val="15"/>
                <w:szCs w:val="15"/>
              </w:rPr>
              <w:t>经济</w:t>
            </w:r>
            <w:r>
              <w:rPr>
                <w:color w:val="000000"/>
                <w:kern w:val="0"/>
                <w:sz w:val="15"/>
                <w:szCs w:val="15"/>
              </w:rPr>
              <w:t>效益</w:t>
            </w:r>
            <w:r>
              <w:rPr>
                <w:rFonts w:hint="eastAsia"/>
                <w:color w:val="000000"/>
                <w:kern w:val="0"/>
                <w:sz w:val="15"/>
                <w:szCs w:val="15"/>
              </w:rPr>
              <w:t>指标</w:t>
            </w:r>
          </w:p>
          <w:p w14:paraId="613E5C81">
            <w:pPr>
              <w:widowControl/>
              <w:spacing w:line="300" w:lineRule="exact"/>
              <w:jc w:val="center"/>
              <w:textAlignment w:val="center"/>
              <w:rPr>
                <w:color w:val="000000"/>
                <w:sz w:val="15"/>
                <w:szCs w:val="15"/>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EBB9D">
            <w:pPr>
              <w:widowControl/>
              <w:spacing w:line="300" w:lineRule="exact"/>
              <w:jc w:val="left"/>
              <w:rPr>
                <w:color w:val="000000"/>
                <w:sz w:val="15"/>
                <w:szCs w:val="15"/>
              </w:rPr>
            </w:pPr>
            <w:r>
              <w:rPr>
                <w:color w:val="000000"/>
                <w:sz w:val="15"/>
                <w:szCs w:val="15"/>
              </w:rPr>
              <w:t>“三公经费”控制率</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3F156">
            <w:pPr>
              <w:widowControl/>
              <w:spacing w:line="300" w:lineRule="exact"/>
              <w:jc w:val="center"/>
              <w:rPr>
                <w:color w:val="000000"/>
                <w:sz w:val="15"/>
                <w:szCs w:val="15"/>
              </w:rPr>
            </w:pPr>
            <w:r>
              <w:rPr>
                <w:rFonts w:hint="eastAsia"/>
                <w:sz w:val="15"/>
                <w:szCs w:val="15"/>
              </w:rPr>
              <w:t>≥</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16534">
            <w:pPr>
              <w:widowControl/>
              <w:spacing w:line="300" w:lineRule="exact"/>
              <w:jc w:val="center"/>
              <w:rPr>
                <w:color w:val="000000"/>
                <w:sz w:val="15"/>
                <w:szCs w:val="15"/>
              </w:rPr>
            </w:pPr>
            <w:r>
              <w:rPr>
                <w:rFonts w:hint="eastAsia"/>
                <w:color w:val="000000"/>
                <w:sz w:val="15"/>
                <w:szCs w:val="15"/>
              </w:rPr>
              <w:t>95</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2B93F">
            <w:pPr>
              <w:widowControl/>
              <w:spacing w:line="300" w:lineRule="exact"/>
              <w:jc w:val="center"/>
              <w:rPr>
                <w:color w:val="000000"/>
                <w:sz w:val="15"/>
                <w:szCs w:val="15"/>
              </w:rPr>
            </w:pPr>
            <w:r>
              <w:rPr>
                <w:rFonts w:hint="eastAsia"/>
                <w:color w:val="000000"/>
                <w:sz w:val="15"/>
                <w:szCs w:val="15"/>
              </w:rPr>
              <w:t>%</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DFC08">
            <w:pPr>
              <w:widowControl/>
              <w:spacing w:line="300" w:lineRule="exact"/>
              <w:jc w:val="center"/>
              <w:rPr>
                <w:color w:val="000000"/>
                <w:sz w:val="15"/>
                <w:szCs w:val="15"/>
              </w:rPr>
            </w:pPr>
            <w:r>
              <w:rPr>
                <w:rFonts w:hint="eastAsia"/>
                <w:color w:val="000000"/>
                <w:sz w:val="15"/>
                <w:szCs w:val="15"/>
              </w:rPr>
              <w:t>5</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7B1FF">
            <w:pPr>
              <w:widowControl/>
              <w:spacing w:line="300" w:lineRule="exact"/>
              <w:jc w:val="center"/>
              <w:rPr>
                <w:color w:val="000000"/>
                <w:sz w:val="15"/>
                <w:szCs w:val="15"/>
              </w:rPr>
            </w:pPr>
            <w:r>
              <w:rPr>
                <w:rFonts w:hint="eastAsia"/>
                <w:sz w:val="15"/>
                <w:szCs w:val="15"/>
              </w:rPr>
              <w:t>≥95%</w:t>
            </w:r>
          </w:p>
        </w:tc>
      </w:tr>
      <w:tr w14:paraId="6FDEA38B">
        <w:tblPrEx>
          <w:tblCellMar>
            <w:top w:w="15" w:type="dxa"/>
            <w:left w:w="15" w:type="dxa"/>
            <w:bottom w:w="15" w:type="dxa"/>
            <w:right w:w="15" w:type="dxa"/>
          </w:tblCellMar>
        </w:tblPrEx>
        <w:trPr>
          <w:trHeight w:val="325" w:hRule="atLeast"/>
          <w:jc w:val="center"/>
        </w:trPr>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7E8345">
            <w:pPr>
              <w:widowControl/>
              <w:spacing w:line="300" w:lineRule="exact"/>
              <w:jc w:val="center"/>
              <w:rPr>
                <w:color w:val="000000"/>
                <w:sz w:val="15"/>
                <w:szCs w:val="15"/>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17A2AB">
            <w:pPr>
              <w:widowControl/>
              <w:spacing w:line="300" w:lineRule="exact"/>
              <w:jc w:val="center"/>
              <w:rPr>
                <w:color w:val="000000"/>
                <w:sz w:val="15"/>
                <w:szCs w:val="15"/>
              </w:rPr>
            </w:pPr>
          </w:p>
        </w:tc>
        <w:tc>
          <w:tcPr>
            <w:tcW w:w="1134" w:type="dxa"/>
            <w:vMerge w:val="continue"/>
            <w:tcBorders>
              <w:left w:val="single" w:color="000000" w:sz="4" w:space="0"/>
              <w:right w:val="single" w:color="000000" w:sz="4" w:space="0"/>
            </w:tcBorders>
            <w:shd w:val="clear" w:color="auto" w:fill="auto"/>
            <w:vAlign w:val="center"/>
          </w:tcPr>
          <w:p w14:paraId="37B72C71">
            <w:pPr>
              <w:widowControl/>
              <w:spacing w:line="300" w:lineRule="exact"/>
              <w:jc w:val="center"/>
              <w:rPr>
                <w:color w:val="000000"/>
                <w:sz w:val="15"/>
                <w:szCs w:val="15"/>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16D27">
            <w:pPr>
              <w:widowControl/>
              <w:spacing w:line="300" w:lineRule="exact"/>
              <w:jc w:val="left"/>
              <w:rPr>
                <w:color w:val="000000"/>
                <w:sz w:val="15"/>
                <w:szCs w:val="15"/>
              </w:rPr>
            </w:pPr>
            <w:r>
              <w:rPr>
                <w:color w:val="000000"/>
                <w:sz w:val="15"/>
                <w:szCs w:val="15"/>
              </w:rPr>
              <w:t>结余率</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DAEEF">
            <w:pPr>
              <w:widowControl/>
              <w:spacing w:line="300" w:lineRule="exact"/>
              <w:jc w:val="center"/>
              <w:rPr>
                <w:color w:val="000000"/>
                <w:sz w:val="15"/>
                <w:szCs w:val="15"/>
              </w:rPr>
            </w:pPr>
            <w:r>
              <w:rPr>
                <w:rFonts w:hint="eastAsia"/>
                <w:color w:val="000000"/>
                <w:sz w:val="15"/>
                <w:szCs w:val="15"/>
              </w:rPr>
              <w:t>=</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0D9A2">
            <w:pPr>
              <w:widowControl/>
              <w:spacing w:line="300" w:lineRule="exact"/>
              <w:jc w:val="center"/>
              <w:rPr>
                <w:color w:val="000000"/>
                <w:sz w:val="15"/>
                <w:szCs w:val="15"/>
              </w:rPr>
            </w:pPr>
            <w:r>
              <w:rPr>
                <w:rFonts w:hint="eastAsia"/>
                <w:color w:val="000000"/>
                <w:sz w:val="15"/>
                <w:szCs w:val="15"/>
              </w:rPr>
              <w:t>0</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A5C93">
            <w:pPr>
              <w:widowControl/>
              <w:spacing w:line="300" w:lineRule="exact"/>
              <w:jc w:val="center"/>
              <w:rPr>
                <w:color w:val="000000"/>
                <w:sz w:val="15"/>
                <w:szCs w:val="15"/>
              </w:rPr>
            </w:pPr>
            <w:r>
              <w:rPr>
                <w:rFonts w:hint="eastAsia"/>
                <w:color w:val="000000"/>
                <w:sz w:val="15"/>
                <w:szCs w:val="15"/>
              </w:rPr>
              <w:t>%</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778C6">
            <w:pPr>
              <w:widowControl/>
              <w:spacing w:line="300" w:lineRule="exact"/>
              <w:jc w:val="center"/>
              <w:rPr>
                <w:color w:val="000000"/>
                <w:sz w:val="15"/>
                <w:szCs w:val="15"/>
              </w:rPr>
            </w:pPr>
            <w:r>
              <w:rPr>
                <w:rFonts w:hint="eastAsia"/>
                <w:color w:val="000000"/>
                <w:sz w:val="15"/>
                <w:szCs w:val="15"/>
              </w:rPr>
              <w:t>5</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D78D3">
            <w:pPr>
              <w:widowControl/>
              <w:spacing w:line="300" w:lineRule="exact"/>
              <w:jc w:val="center"/>
              <w:rPr>
                <w:color w:val="000000"/>
                <w:sz w:val="15"/>
                <w:szCs w:val="15"/>
              </w:rPr>
            </w:pPr>
            <w:r>
              <w:rPr>
                <w:rFonts w:hint="eastAsia"/>
                <w:color w:val="000000"/>
                <w:sz w:val="15"/>
                <w:szCs w:val="15"/>
              </w:rPr>
              <w:t>0</w:t>
            </w:r>
          </w:p>
        </w:tc>
      </w:tr>
      <w:tr w14:paraId="5B426E5C">
        <w:tblPrEx>
          <w:tblCellMar>
            <w:top w:w="15" w:type="dxa"/>
            <w:left w:w="15" w:type="dxa"/>
            <w:bottom w:w="15" w:type="dxa"/>
            <w:right w:w="15" w:type="dxa"/>
          </w:tblCellMar>
        </w:tblPrEx>
        <w:trPr>
          <w:trHeight w:val="351" w:hRule="atLeast"/>
          <w:jc w:val="center"/>
        </w:trPr>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CD977B">
            <w:pPr>
              <w:widowControl/>
              <w:spacing w:line="300" w:lineRule="exact"/>
              <w:jc w:val="center"/>
              <w:rPr>
                <w:color w:val="000000"/>
                <w:sz w:val="15"/>
                <w:szCs w:val="15"/>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B0A258">
            <w:pPr>
              <w:widowControl/>
              <w:spacing w:line="300" w:lineRule="exact"/>
              <w:jc w:val="center"/>
              <w:rPr>
                <w:color w:val="000000"/>
                <w:sz w:val="15"/>
                <w:szCs w:val="15"/>
              </w:rPr>
            </w:pPr>
          </w:p>
        </w:tc>
        <w:tc>
          <w:tcPr>
            <w:tcW w:w="1134" w:type="dxa"/>
            <w:vMerge w:val="continue"/>
            <w:tcBorders>
              <w:left w:val="single" w:color="000000" w:sz="4" w:space="0"/>
              <w:right w:val="single" w:color="000000" w:sz="4" w:space="0"/>
            </w:tcBorders>
            <w:shd w:val="clear" w:color="auto" w:fill="auto"/>
            <w:vAlign w:val="center"/>
          </w:tcPr>
          <w:p w14:paraId="48115A7E">
            <w:pPr>
              <w:widowControl/>
              <w:spacing w:line="300" w:lineRule="exact"/>
              <w:jc w:val="center"/>
              <w:rPr>
                <w:color w:val="000000"/>
                <w:sz w:val="15"/>
                <w:szCs w:val="15"/>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633B9">
            <w:pPr>
              <w:widowControl/>
              <w:spacing w:line="300" w:lineRule="exact"/>
              <w:jc w:val="left"/>
              <w:rPr>
                <w:color w:val="000000"/>
                <w:sz w:val="15"/>
                <w:szCs w:val="15"/>
              </w:rPr>
            </w:pPr>
            <w:r>
              <w:rPr>
                <w:color w:val="000000"/>
                <w:sz w:val="15"/>
                <w:szCs w:val="15"/>
              </w:rPr>
              <w:t>运转保障率</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3897F">
            <w:pPr>
              <w:widowControl/>
              <w:spacing w:line="300" w:lineRule="exact"/>
              <w:jc w:val="center"/>
              <w:rPr>
                <w:color w:val="000000"/>
                <w:sz w:val="15"/>
                <w:szCs w:val="15"/>
              </w:rPr>
            </w:pPr>
            <w:r>
              <w:rPr>
                <w:rFonts w:hint="eastAsia"/>
                <w:color w:val="000000"/>
                <w:sz w:val="15"/>
                <w:szCs w:val="15"/>
              </w:rPr>
              <w:t>=</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1562A">
            <w:pPr>
              <w:widowControl/>
              <w:spacing w:line="300" w:lineRule="exact"/>
              <w:jc w:val="center"/>
              <w:rPr>
                <w:color w:val="000000"/>
                <w:sz w:val="15"/>
                <w:szCs w:val="15"/>
              </w:rPr>
            </w:pPr>
            <w:r>
              <w:rPr>
                <w:rFonts w:hint="eastAsia"/>
                <w:color w:val="000000"/>
                <w:sz w:val="15"/>
                <w:szCs w:val="15"/>
              </w:rPr>
              <w:t>100</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C8D58">
            <w:pPr>
              <w:widowControl/>
              <w:spacing w:line="300" w:lineRule="exact"/>
              <w:jc w:val="center"/>
              <w:rPr>
                <w:color w:val="000000"/>
                <w:sz w:val="15"/>
                <w:szCs w:val="15"/>
              </w:rPr>
            </w:pPr>
            <w:r>
              <w:rPr>
                <w:rFonts w:hint="eastAsia"/>
                <w:color w:val="000000"/>
                <w:sz w:val="15"/>
                <w:szCs w:val="15"/>
              </w:rPr>
              <w:t>%</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D8D18">
            <w:pPr>
              <w:widowControl/>
              <w:spacing w:line="300" w:lineRule="exact"/>
              <w:jc w:val="center"/>
              <w:rPr>
                <w:color w:val="000000"/>
                <w:sz w:val="15"/>
                <w:szCs w:val="15"/>
              </w:rPr>
            </w:pPr>
            <w:r>
              <w:rPr>
                <w:rFonts w:hint="eastAsia"/>
                <w:color w:val="000000"/>
                <w:sz w:val="15"/>
                <w:szCs w:val="15"/>
              </w:rPr>
              <w:t>5</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53600">
            <w:pPr>
              <w:widowControl/>
              <w:spacing w:line="300" w:lineRule="exact"/>
              <w:jc w:val="center"/>
              <w:rPr>
                <w:color w:val="000000"/>
                <w:sz w:val="15"/>
                <w:szCs w:val="15"/>
              </w:rPr>
            </w:pPr>
            <w:r>
              <w:rPr>
                <w:rFonts w:hint="eastAsia"/>
                <w:color w:val="000000"/>
                <w:sz w:val="15"/>
                <w:szCs w:val="15"/>
              </w:rPr>
              <w:t>97.16%</w:t>
            </w:r>
          </w:p>
        </w:tc>
      </w:tr>
      <w:tr w14:paraId="6EC63C8D">
        <w:tblPrEx>
          <w:tblCellMar>
            <w:top w:w="15" w:type="dxa"/>
            <w:left w:w="15" w:type="dxa"/>
            <w:bottom w:w="15" w:type="dxa"/>
            <w:right w:w="15" w:type="dxa"/>
          </w:tblCellMar>
        </w:tblPrEx>
        <w:trPr>
          <w:trHeight w:val="325" w:hRule="atLeast"/>
          <w:jc w:val="center"/>
        </w:trPr>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290B2C">
            <w:pPr>
              <w:widowControl/>
              <w:spacing w:line="300" w:lineRule="exact"/>
              <w:jc w:val="center"/>
              <w:rPr>
                <w:color w:val="000000"/>
                <w:sz w:val="15"/>
                <w:szCs w:val="15"/>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04175B">
            <w:pPr>
              <w:widowControl/>
              <w:spacing w:line="300" w:lineRule="exact"/>
              <w:jc w:val="center"/>
              <w:rPr>
                <w:color w:val="000000"/>
                <w:sz w:val="15"/>
                <w:szCs w:val="15"/>
              </w:rPr>
            </w:pPr>
          </w:p>
        </w:tc>
        <w:tc>
          <w:tcPr>
            <w:tcW w:w="1134" w:type="dxa"/>
            <w:tcBorders>
              <w:top w:val="single" w:color="000000" w:sz="4" w:space="0"/>
              <w:left w:val="single" w:color="000000" w:sz="4" w:space="0"/>
              <w:right w:val="single" w:color="000000" w:sz="4" w:space="0"/>
            </w:tcBorders>
            <w:shd w:val="clear" w:color="auto" w:fill="auto"/>
            <w:vAlign w:val="center"/>
          </w:tcPr>
          <w:p w14:paraId="54DB1EAD">
            <w:pPr>
              <w:widowControl/>
              <w:spacing w:line="300" w:lineRule="exact"/>
              <w:jc w:val="center"/>
              <w:rPr>
                <w:color w:val="000000"/>
                <w:sz w:val="15"/>
                <w:szCs w:val="15"/>
              </w:rPr>
            </w:pPr>
            <w:r>
              <w:rPr>
                <w:rFonts w:hint="eastAsia"/>
                <w:color w:val="000000"/>
                <w:sz w:val="15"/>
                <w:szCs w:val="15"/>
              </w:rPr>
              <w:t>社会效益指标</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AD15D">
            <w:pPr>
              <w:widowControl/>
              <w:spacing w:line="300" w:lineRule="exact"/>
              <w:jc w:val="left"/>
              <w:rPr>
                <w:color w:val="000000"/>
                <w:sz w:val="15"/>
                <w:szCs w:val="15"/>
              </w:rPr>
            </w:pPr>
            <w:r>
              <w:rPr>
                <w:rFonts w:hint="eastAsia"/>
                <w:color w:val="000000"/>
                <w:sz w:val="15"/>
                <w:szCs w:val="15"/>
                <w:lang w:eastAsia="zh-CN"/>
              </w:rPr>
              <w:t>产业</w:t>
            </w:r>
            <w:r>
              <w:rPr>
                <w:color w:val="000000"/>
                <w:sz w:val="15"/>
                <w:szCs w:val="15"/>
              </w:rPr>
              <w:t>发展</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7ED81">
            <w:pPr>
              <w:widowControl/>
              <w:spacing w:line="300" w:lineRule="exact"/>
              <w:jc w:val="center"/>
              <w:rPr>
                <w:color w:val="000000"/>
                <w:sz w:val="15"/>
                <w:szCs w:val="15"/>
              </w:rPr>
            </w:pPr>
            <w:r>
              <w:rPr>
                <w:rFonts w:hint="eastAsia"/>
                <w:sz w:val="15"/>
                <w:szCs w:val="15"/>
              </w:rPr>
              <w:t>定性</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3C550">
            <w:pPr>
              <w:widowControl/>
              <w:spacing w:line="300" w:lineRule="exact"/>
              <w:jc w:val="center"/>
              <w:rPr>
                <w:color w:val="000000"/>
                <w:sz w:val="15"/>
                <w:szCs w:val="15"/>
              </w:rPr>
            </w:pPr>
            <w:r>
              <w:rPr>
                <w:color w:val="000000"/>
                <w:sz w:val="15"/>
                <w:szCs w:val="15"/>
              </w:rPr>
              <w:t>优良中低差</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1DC97">
            <w:pPr>
              <w:widowControl/>
              <w:spacing w:line="300" w:lineRule="exact"/>
              <w:jc w:val="center"/>
              <w:rPr>
                <w:color w:val="000000"/>
                <w:sz w:val="15"/>
                <w:szCs w:val="15"/>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B2ED6">
            <w:pPr>
              <w:widowControl/>
              <w:spacing w:line="300" w:lineRule="exact"/>
              <w:jc w:val="center"/>
              <w:rPr>
                <w:color w:val="000000"/>
                <w:sz w:val="15"/>
                <w:szCs w:val="15"/>
              </w:rPr>
            </w:pPr>
            <w:r>
              <w:rPr>
                <w:rFonts w:hint="eastAsia"/>
                <w:color w:val="000000"/>
                <w:sz w:val="15"/>
                <w:szCs w:val="15"/>
              </w:rPr>
              <w:t>2</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C97B0">
            <w:pPr>
              <w:widowControl/>
              <w:spacing w:line="300" w:lineRule="exact"/>
              <w:jc w:val="center"/>
              <w:rPr>
                <w:color w:val="000000"/>
                <w:sz w:val="15"/>
                <w:szCs w:val="15"/>
              </w:rPr>
            </w:pPr>
            <w:r>
              <w:rPr>
                <w:rFonts w:hint="eastAsia"/>
                <w:color w:val="000000"/>
                <w:sz w:val="15"/>
                <w:szCs w:val="15"/>
              </w:rPr>
              <w:t>良</w:t>
            </w:r>
          </w:p>
        </w:tc>
      </w:tr>
      <w:tr w14:paraId="624717C0">
        <w:tblPrEx>
          <w:tblCellMar>
            <w:top w:w="15" w:type="dxa"/>
            <w:left w:w="15" w:type="dxa"/>
            <w:bottom w:w="15" w:type="dxa"/>
            <w:right w:w="15" w:type="dxa"/>
          </w:tblCellMar>
        </w:tblPrEx>
        <w:trPr>
          <w:trHeight w:val="325" w:hRule="atLeast"/>
          <w:jc w:val="center"/>
        </w:trPr>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488B1D">
            <w:pPr>
              <w:widowControl/>
              <w:spacing w:line="300" w:lineRule="exact"/>
              <w:jc w:val="center"/>
              <w:rPr>
                <w:color w:val="000000"/>
                <w:sz w:val="15"/>
                <w:szCs w:val="15"/>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EF46B">
            <w:pPr>
              <w:widowControl/>
              <w:spacing w:line="300" w:lineRule="exact"/>
              <w:jc w:val="center"/>
              <w:rPr>
                <w:color w:val="000000"/>
                <w:sz w:val="15"/>
                <w:szCs w:val="15"/>
              </w:rPr>
            </w:pPr>
          </w:p>
        </w:tc>
        <w:tc>
          <w:tcPr>
            <w:tcW w:w="1134" w:type="dxa"/>
            <w:tcBorders>
              <w:top w:val="single" w:color="000000" w:sz="4" w:space="0"/>
              <w:left w:val="single" w:color="000000" w:sz="4" w:space="0"/>
              <w:right w:val="single" w:color="000000" w:sz="4" w:space="0"/>
            </w:tcBorders>
            <w:shd w:val="clear" w:color="auto" w:fill="auto"/>
            <w:vAlign w:val="center"/>
          </w:tcPr>
          <w:p w14:paraId="499AB484">
            <w:pPr>
              <w:widowControl/>
              <w:spacing w:line="300" w:lineRule="exact"/>
              <w:jc w:val="center"/>
              <w:rPr>
                <w:color w:val="000000"/>
                <w:sz w:val="15"/>
                <w:szCs w:val="15"/>
              </w:rPr>
            </w:pPr>
            <w:r>
              <w:rPr>
                <w:color w:val="000000"/>
                <w:sz w:val="15"/>
                <w:szCs w:val="15"/>
              </w:rPr>
              <w:t>生态效益指标</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B17B9">
            <w:pPr>
              <w:widowControl/>
              <w:spacing w:line="300" w:lineRule="exact"/>
              <w:jc w:val="left"/>
              <w:rPr>
                <w:color w:val="000000"/>
                <w:sz w:val="15"/>
                <w:szCs w:val="15"/>
              </w:rPr>
            </w:pPr>
            <w:r>
              <w:rPr>
                <w:color w:val="000000"/>
                <w:sz w:val="15"/>
                <w:szCs w:val="15"/>
              </w:rPr>
              <w:t>生态建设</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2CC0B">
            <w:pPr>
              <w:widowControl/>
              <w:spacing w:line="300" w:lineRule="exact"/>
              <w:jc w:val="center"/>
              <w:rPr>
                <w:color w:val="000000"/>
                <w:sz w:val="15"/>
                <w:szCs w:val="15"/>
              </w:rPr>
            </w:pPr>
            <w:r>
              <w:rPr>
                <w:rFonts w:hint="eastAsia"/>
                <w:sz w:val="15"/>
                <w:szCs w:val="15"/>
              </w:rPr>
              <w:t>定性</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9BF7E">
            <w:pPr>
              <w:widowControl/>
              <w:spacing w:line="300" w:lineRule="exact"/>
              <w:jc w:val="center"/>
              <w:rPr>
                <w:color w:val="000000"/>
                <w:sz w:val="15"/>
                <w:szCs w:val="15"/>
              </w:rPr>
            </w:pPr>
            <w:r>
              <w:rPr>
                <w:color w:val="000000"/>
                <w:sz w:val="15"/>
                <w:szCs w:val="15"/>
              </w:rPr>
              <w:t>优良中低差</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0F183">
            <w:pPr>
              <w:widowControl/>
              <w:spacing w:line="300" w:lineRule="exact"/>
              <w:jc w:val="center"/>
              <w:rPr>
                <w:color w:val="000000"/>
                <w:sz w:val="15"/>
                <w:szCs w:val="15"/>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8BB63">
            <w:pPr>
              <w:widowControl/>
              <w:spacing w:line="300" w:lineRule="exact"/>
              <w:jc w:val="center"/>
              <w:rPr>
                <w:color w:val="000000"/>
                <w:sz w:val="15"/>
                <w:szCs w:val="15"/>
              </w:rPr>
            </w:pPr>
            <w:r>
              <w:rPr>
                <w:rFonts w:hint="eastAsia"/>
                <w:color w:val="000000"/>
                <w:sz w:val="15"/>
                <w:szCs w:val="15"/>
              </w:rPr>
              <w:t>2</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A8F9C">
            <w:pPr>
              <w:widowControl/>
              <w:spacing w:line="300" w:lineRule="exact"/>
              <w:jc w:val="center"/>
              <w:rPr>
                <w:color w:val="000000"/>
                <w:sz w:val="15"/>
                <w:szCs w:val="15"/>
              </w:rPr>
            </w:pPr>
            <w:r>
              <w:rPr>
                <w:rFonts w:hint="eastAsia"/>
                <w:color w:val="000000"/>
                <w:sz w:val="15"/>
                <w:szCs w:val="15"/>
              </w:rPr>
              <w:t>优</w:t>
            </w:r>
          </w:p>
        </w:tc>
      </w:tr>
      <w:tr w14:paraId="7D789897">
        <w:tblPrEx>
          <w:tblCellMar>
            <w:top w:w="15" w:type="dxa"/>
            <w:left w:w="15" w:type="dxa"/>
            <w:bottom w:w="15" w:type="dxa"/>
            <w:right w:w="15" w:type="dxa"/>
          </w:tblCellMar>
        </w:tblPrEx>
        <w:trPr>
          <w:trHeight w:val="325" w:hRule="atLeast"/>
          <w:jc w:val="center"/>
        </w:trPr>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71A329">
            <w:pPr>
              <w:widowControl/>
              <w:spacing w:line="300" w:lineRule="exact"/>
              <w:jc w:val="center"/>
              <w:rPr>
                <w:color w:val="000000"/>
                <w:sz w:val="15"/>
                <w:szCs w:val="15"/>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DB7C0F">
            <w:pPr>
              <w:widowControl/>
              <w:spacing w:line="300" w:lineRule="exact"/>
              <w:jc w:val="center"/>
              <w:rPr>
                <w:color w:val="000000"/>
                <w:sz w:val="15"/>
                <w:szCs w:val="15"/>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15968">
            <w:pPr>
              <w:widowControl/>
              <w:spacing w:line="300" w:lineRule="exact"/>
              <w:jc w:val="center"/>
              <w:textAlignment w:val="center"/>
              <w:rPr>
                <w:color w:val="000000"/>
                <w:sz w:val="15"/>
                <w:szCs w:val="15"/>
              </w:rPr>
            </w:pPr>
            <w:r>
              <w:rPr>
                <w:color w:val="000000"/>
                <w:kern w:val="0"/>
                <w:sz w:val="15"/>
                <w:szCs w:val="15"/>
              </w:rPr>
              <w:t>可持续影响指标</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ADBA6">
            <w:pPr>
              <w:widowControl/>
              <w:spacing w:line="300" w:lineRule="exact"/>
              <w:jc w:val="left"/>
              <w:rPr>
                <w:color w:val="000000"/>
                <w:sz w:val="15"/>
                <w:szCs w:val="15"/>
              </w:rPr>
            </w:pPr>
            <w:r>
              <w:rPr>
                <w:color w:val="000000"/>
                <w:sz w:val="15"/>
                <w:szCs w:val="15"/>
              </w:rPr>
              <w:t>生态环境优劣</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55860">
            <w:pPr>
              <w:widowControl/>
              <w:spacing w:line="300" w:lineRule="exact"/>
              <w:jc w:val="center"/>
              <w:rPr>
                <w:color w:val="000000"/>
                <w:sz w:val="15"/>
                <w:szCs w:val="15"/>
              </w:rPr>
            </w:pPr>
            <w:r>
              <w:rPr>
                <w:rFonts w:hint="eastAsia"/>
                <w:sz w:val="15"/>
                <w:szCs w:val="15"/>
              </w:rPr>
              <w:t>定性</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ABC7B">
            <w:pPr>
              <w:widowControl/>
              <w:spacing w:line="300" w:lineRule="exact"/>
              <w:jc w:val="center"/>
              <w:rPr>
                <w:color w:val="000000"/>
                <w:sz w:val="15"/>
                <w:szCs w:val="15"/>
              </w:rPr>
            </w:pPr>
            <w:r>
              <w:rPr>
                <w:color w:val="000000"/>
                <w:sz w:val="15"/>
                <w:szCs w:val="15"/>
              </w:rPr>
              <w:t>优良中低差</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33C55">
            <w:pPr>
              <w:widowControl/>
              <w:spacing w:line="300" w:lineRule="exact"/>
              <w:jc w:val="center"/>
              <w:rPr>
                <w:color w:val="000000"/>
                <w:sz w:val="15"/>
                <w:szCs w:val="15"/>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A6572">
            <w:pPr>
              <w:widowControl/>
              <w:spacing w:line="300" w:lineRule="exact"/>
              <w:jc w:val="center"/>
              <w:rPr>
                <w:color w:val="000000"/>
                <w:sz w:val="15"/>
                <w:szCs w:val="15"/>
              </w:rPr>
            </w:pPr>
            <w:r>
              <w:rPr>
                <w:rFonts w:hint="eastAsia"/>
                <w:color w:val="000000"/>
                <w:sz w:val="15"/>
                <w:szCs w:val="15"/>
              </w:rPr>
              <w:t>2</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CD766">
            <w:pPr>
              <w:widowControl/>
              <w:spacing w:line="300" w:lineRule="exact"/>
              <w:jc w:val="center"/>
              <w:rPr>
                <w:color w:val="000000"/>
                <w:sz w:val="15"/>
                <w:szCs w:val="15"/>
              </w:rPr>
            </w:pPr>
            <w:r>
              <w:rPr>
                <w:rFonts w:hint="eastAsia"/>
                <w:color w:val="000000"/>
                <w:sz w:val="15"/>
                <w:szCs w:val="15"/>
              </w:rPr>
              <w:t>优</w:t>
            </w:r>
          </w:p>
        </w:tc>
      </w:tr>
      <w:tr w14:paraId="0926C466">
        <w:tblPrEx>
          <w:tblCellMar>
            <w:top w:w="15" w:type="dxa"/>
            <w:left w:w="15" w:type="dxa"/>
            <w:bottom w:w="15" w:type="dxa"/>
            <w:right w:w="15" w:type="dxa"/>
          </w:tblCellMar>
        </w:tblPrEx>
        <w:trPr>
          <w:trHeight w:val="332" w:hRule="atLeast"/>
          <w:jc w:val="center"/>
        </w:trPr>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38528A">
            <w:pPr>
              <w:widowControl/>
              <w:spacing w:line="300" w:lineRule="exact"/>
              <w:jc w:val="center"/>
              <w:rPr>
                <w:color w:val="000000"/>
                <w:sz w:val="15"/>
                <w:szCs w:val="15"/>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F6F36">
            <w:pPr>
              <w:widowControl/>
              <w:spacing w:line="300" w:lineRule="exact"/>
              <w:jc w:val="center"/>
              <w:textAlignment w:val="center"/>
              <w:rPr>
                <w:color w:val="000000"/>
                <w:sz w:val="15"/>
                <w:szCs w:val="15"/>
              </w:rPr>
            </w:pPr>
            <w:r>
              <w:rPr>
                <w:color w:val="000000"/>
                <w:kern w:val="0"/>
                <w:sz w:val="15"/>
                <w:szCs w:val="15"/>
              </w:rPr>
              <w:t>满意度指标</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F3100">
            <w:pPr>
              <w:widowControl/>
              <w:spacing w:line="300" w:lineRule="exact"/>
              <w:jc w:val="center"/>
              <w:textAlignment w:val="center"/>
              <w:rPr>
                <w:color w:val="000000"/>
                <w:sz w:val="15"/>
                <w:szCs w:val="15"/>
              </w:rPr>
            </w:pPr>
            <w:r>
              <w:rPr>
                <w:color w:val="000000"/>
                <w:kern w:val="0"/>
                <w:sz w:val="15"/>
                <w:szCs w:val="15"/>
              </w:rPr>
              <w:t>服务对象满意度指标</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3D13E">
            <w:pPr>
              <w:widowControl/>
              <w:spacing w:line="300" w:lineRule="exact"/>
              <w:jc w:val="left"/>
              <w:rPr>
                <w:color w:val="000000"/>
                <w:sz w:val="15"/>
                <w:szCs w:val="15"/>
              </w:rPr>
            </w:pPr>
            <w:r>
              <w:rPr>
                <w:color w:val="000000"/>
                <w:sz w:val="15"/>
                <w:szCs w:val="15"/>
              </w:rPr>
              <w:t>苗圃业主及周边群众</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41FDB">
            <w:pPr>
              <w:widowControl/>
              <w:spacing w:line="300" w:lineRule="exact"/>
              <w:jc w:val="center"/>
              <w:rPr>
                <w:color w:val="000000"/>
                <w:sz w:val="15"/>
                <w:szCs w:val="15"/>
              </w:rPr>
            </w:pPr>
            <w:r>
              <w:rPr>
                <w:rFonts w:hint="eastAsia"/>
                <w:sz w:val="15"/>
                <w:szCs w:val="15"/>
              </w:rPr>
              <w:t>≥</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1B31E">
            <w:pPr>
              <w:widowControl/>
              <w:spacing w:line="300" w:lineRule="exact"/>
              <w:jc w:val="center"/>
              <w:rPr>
                <w:color w:val="000000"/>
                <w:sz w:val="15"/>
                <w:szCs w:val="15"/>
              </w:rPr>
            </w:pPr>
            <w:r>
              <w:rPr>
                <w:rFonts w:hint="eastAsia"/>
                <w:color w:val="000000"/>
                <w:sz w:val="15"/>
                <w:szCs w:val="15"/>
              </w:rPr>
              <w:t>95</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9C8F1">
            <w:pPr>
              <w:widowControl/>
              <w:spacing w:line="300" w:lineRule="exact"/>
              <w:jc w:val="center"/>
              <w:rPr>
                <w:color w:val="000000"/>
                <w:sz w:val="15"/>
                <w:szCs w:val="15"/>
              </w:rPr>
            </w:pPr>
            <w:r>
              <w:rPr>
                <w:rFonts w:hint="eastAsia"/>
                <w:color w:val="000000"/>
                <w:sz w:val="15"/>
                <w:szCs w:val="15"/>
              </w:rPr>
              <w:t>%</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9E593">
            <w:pPr>
              <w:widowControl/>
              <w:spacing w:line="300" w:lineRule="exact"/>
              <w:jc w:val="center"/>
              <w:rPr>
                <w:color w:val="000000"/>
                <w:sz w:val="15"/>
                <w:szCs w:val="15"/>
              </w:rPr>
            </w:pPr>
            <w:r>
              <w:rPr>
                <w:rFonts w:hint="eastAsia"/>
                <w:color w:val="000000"/>
                <w:sz w:val="15"/>
                <w:szCs w:val="15"/>
              </w:rPr>
              <w:t>3</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06187">
            <w:pPr>
              <w:widowControl/>
              <w:spacing w:line="300" w:lineRule="exact"/>
              <w:jc w:val="center"/>
              <w:rPr>
                <w:color w:val="000000"/>
                <w:sz w:val="15"/>
                <w:szCs w:val="15"/>
              </w:rPr>
            </w:pPr>
            <w:r>
              <w:rPr>
                <w:rFonts w:hint="eastAsia"/>
                <w:sz w:val="15"/>
                <w:szCs w:val="15"/>
              </w:rPr>
              <w:t>≥95%</w:t>
            </w:r>
          </w:p>
        </w:tc>
      </w:tr>
      <w:tr w14:paraId="5D9EB3CC">
        <w:tblPrEx>
          <w:tblCellMar>
            <w:top w:w="15" w:type="dxa"/>
            <w:left w:w="15" w:type="dxa"/>
            <w:bottom w:w="15" w:type="dxa"/>
            <w:right w:w="15" w:type="dxa"/>
          </w:tblCellMar>
        </w:tblPrEx>
        <w:trPr>
          <w:trHeight w:val="332" w:hRule="atLeast"/>
          <w:jc w:val="center"/>
        </w:trPr>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B023E">
            <w:pPr>
              <w:widowControl/>
              <w:spacing w:line="300" w:lineRule="exact"/>
              <w:jc w:val="center"/>
              <w:rPr>
                <w:color w:val="000000"/>
                <w:sz w:val="15"/>
                <w:szCs w:val="15"/>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195AF">
            <w:pPr>
              <w:widowControl/>
              <w:spacing w:line="300" w:lineRule="exact"/>
              <w:jc w:val="center"/>
              <w:textAlignment w:val="center"/>
              <w:rPr>
                <w:color w:val="000000"/>
                <w:kern w:val="0"/>
                <w:sz w:val="15"/>
                <w:szCs w:val="15"/>
              </w:rPr>
            </w:pPr>
            <w:r>
              <w:rPr>
                <w:color w:val="000000"/>
                <w:kern w:val="0"/>
                <w:sz w:val="15"/>
                <w:szCs w:val="15"/>
              </w:rPr>
              <w:t>成本指标</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F6BF3">
            <w:pPr>
              <w:widowControl/>
              <w:spacing w:line="300" w:lineRule="exact"/>
              <w:jc w:val="center"/>
              <w:textAlignment w:val="center"/>
              <w:rPr>
                <w:color w:val="000000"/>
                <w:kern w:val="0"/>
                <w:sz w:val="15"/>
                <w:szCs w:val="15"/>
              </w:rPr>
            </w:pPr>
            <w:r>
              <w:rPr>
                <w:color w:val="000000"/>
                <w:kern w:val="0"/>
                <w:sz w:val="15"/>
                <w:szCs w:val="15"/>
              </w:rPr>
              <w:t>社会成本指标</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E4F26">
            <w:pPr>
              <w:widowControl/>
              <w:spacing w:line="300" w:lineRule="exact"/>
              <w:jc w:val="left"/>
              <w:rPr>
                <w:color w:val="000000"/>
                <w:sz w:val="15"/>
                <w:szCs w:val="15"/>
              </w:rPr>
            </w:pPr>
            <w:r>
              <w:rPr>
                <w:color w:val="000000"/>
                <w:sz w:val="15"/>
                <w:szCs w:val="15"/>
              </w:rPr>
              <w:t>机构运转</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629AD">
            <w:pPr>
              <w:widowControl/>
              <w:spacing w:line="300" w:lineRule="exact"/>
              <w:jc w:val="center"/>
              <w:rPr>
                <w:color w:val="000000"/>
                <w:sz w:val="15"/>
                <w:szCs w:val="15"/>
              </w:rPr>
            </w:pPr>
            <w:r>
              <w:rPr>
                <w:rFonts w:hint="eastAsia"/>
                <w:sz w:val="15"/>
                <w:szCs w:val="15"/>
              </w:rPr>
              <w:t>定性</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6F635">
            <w:pPr>
              <w:widowControl/>
              <w:spacing w:line="300" w:lineRule="exact"/>
              <w:jc w:val="center"/>
              <w:rPr>
                <w:color w:val="000000"/>
                <w:sz w:val="15"/>
                <w:szCs w:val="15"/>
              </w:rPr>
            </w:pPr>
            <w:r>
              <w:rPr>
                <w:rFonts w:hint="eastAsia"/>
                <w:color w:val="000000"/>
                <w:sz w:val="15"/>
                <w:szCs w:val="15"/>
              </w:rPr>
              <w:t>高中低</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F5163">
            <w:pPr>
              <w:widowControl/>
              <w:spacing w:line="300" w:lineRule="exact"/>
              <w:jc w:val="center"/>
              <w:rPr>
                <w:color w:val="000000"/>
                <w:sz w:val="15"/>
                <w:szCs w:val="15"/>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FD55E">
            <w:pPr>
              <w:widowControl/>
              <w:spacing w:line="300" w:lineRule="exact"/>
              <w:jc w:val="center"/>
              <w:rPr>
                <w:color w:val="000000"/>
                <w:sz w:val="15"/>
                <w:szCs w:val="15"/>
              </w:rPr>
            </w:pPr>
            <w:r>
              <w:rPr>
                <w:rFonts w:hint="eastAsia"/>
                <w:color w:val="000000"/>
                <w:sz w:val="15"/>
                <w:szCs w:val="15"/>
              </w:rPr>
              <w:t>2</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AAB38">
            <w:pPr>
              <w:widowControl/>
              <w:spacing w:line="300" w:lineRule="exact"/>
              <w:jc w:val="center"/>
              <w:rPr>
                <w:color w:val="000000"/>
                <w:sz w:val="15"/>
                <w:szCs w:val="15"/>
              </w:rPr>
            </w:pPr>
            <w:r>
              <w:rPr>
                <w:rFonts w:hint="eastAsia"/>
                <w:color w:val="000000"/>
                <w:sz w:val="15"/>
                <w:szCs w:val="15"/>
              </w:rPr>
              <w:t>中</w:t>
            </w:r>
          </w:p>
        </w:tc>
      </w:tr>
    </w:tbl>
    <w:p w14:paraId="2729D7C8">
      <w:pPr>
        <w:pStyle w:val="14"/>
        <w:ind w:left="0" w:leftChars="0" w:firstLine="0" w:firstLineChars="0"/>
        <w:rPr>
          <w:rFonts w:ascii="Times New Roman" w:eastAsia="黑体"/>
          <w:sz w:val="15"/>
          <w:szCs w:val="15"/>
        </w:rPr>
      </w:pPr>
    </w:p>
    <w:p w14:paraId="489FCC3B">
      <w:pPr>
        <w:snapToGrid w:val="0"/>
        <w:rPr>
          <w:rFonts w:hAnsi="Calibri" w:cs="仿宋"/>
          <w:sz w:val="32"/>
          <w:szCs w:val="32"/>
        </w:rPr>
      </w:pPr>
    </w:p>
    <w:p w14:paraId="42517311">
      <w:pPr>
        <w:spacing w:line="600" w:lineRule="exact"/>
        <w:jc w:val="center"/>
        <w:outlineLvl w:val="0"/>
        <w:rPr>
          <w:rFonts w:ascii="黑体" w:hAnsi="黑体" w:eastAsia="黑体"/>
          <w:sz w:val="44"/>
          <w:szCs w:val="44"/>
        </w:rPr>
      </w:pPr>
    </w:p>
    <w:p w14:paraId="22C25D71">
      <w:pPr>
        <w:spacing w:line="600" w:lineRule="exact"/>
        <w:jc w:val="center"/>
        <w:outlineLvl w:val="0"/>
        <w:rPr>
          <w:rFonts w:hint="eastAsia" w:ascii="黑体" w:hAnsi="黑体" w:eastAsia="黑体"/>
          <w:sz w:val="44"/>
          <w:szCs w:val="44"/>
        </w:rPr>
      </w:pPr>
    </w:p>
    <w:p w14:paraId="4A53AF90">
      <w:pPr>
        <w:spacing w:line="600" w:lineRule="exact"/>
        <w:jc w:val="center"/>
        <w:outlineLvl w:val="0"/>
        <w:rPr>
          <w:rFonts w:ascii="仿宋" w:hAnsi="仿宋" w:eastAsia="仿宋"/>
        </w:rPr>
      </w:pPr>
      <w:r>
        <w:rPr>
          <w:rFonts w:hint="eastAsia" w:ascii="黑体" w:hAnsi="黑体" w:eastAsia="黑体"/>
          <w:sz w:val="44"/>
          <w:szCs w:val="44"/>
        </w:rPr>
        <w:t>第</w:t>
      </w:r>
      <w:r>
        <w:rPr>
          <w:rStyle w:val="28"/>
          <w:rFonts w:hint="eastAsia" w:ascii="黑体" w:hAnsi="黑体" w:eastAsia="黑体"/>
          <w:b w:val="0"/>
        </w:rPr>
        <w:t>五部分 附表</w:t>
      </w:r>
      <w:bookmarkEnd w:id="51"/>
      <w:bookmarkEnd w:id="53"/>
      <w:bookmarkStart w:id="55" w:name="_Toc15396619"/>
    </w:p>
    <w:p w14:paraId="6E7E1BAE">
      <w:pPr>
        <w:pStyle w:val="4"/>
        <w:rPr>
          <w:rFonts w:ascii="仿宋" w:hAnsi="仿宋" w:eastAsia="仿宋"/>
        </w:rPr>
      </w:pPr>
      <w:r>
        <w:rPr>
          <w:rFonts w:hint="eastAsia" w:ascii="仿宋" w:hAnsi="仿宋" w:eastAsia="仿宋"/>
          <w:b w:val="0"/>
        </w:rPr>
        <w:t>一、收</w:t>
      </w:r>
      <w:r>
        <w:rPr>
          <w:rStyle w:val="29"/>
          <w:rFonts w:hint="eastAsia" w:ascii="仿宋" w:hAnsi="仿宋" w:eastAsia="仿宋"/>
          <w:b w:val="0"/>
          <w:bCs w:val="0"/>
        </w:rPr>
        <w:t>入支出决算总表</w:t>
      </w:r>
      <w:bookmarkEnd w:id="55"/>
    </w:p>
    <w:p w14:paraId="7B1AD151">
      <w:pPr>
        <w:pStyle w:val="4"/>
        <w:rPr>
          <w:rFonts w:ascii="仿宋" w:hAnsi="仿宋" w:eastAsia="仿宋"/>
        </w:rPr>
      </w:pPr>
      <w:bookmarkStart w:id="56" w:name="_Toc15396620"/>
      <w:r>
        <w:rPr>
          <w:rFonts w:hint="eastAsia" w:ascii="仿宋" w:hAnsi="仿宋" w:eastAsia="仿宋"/>
          <w:b w:val="0"/>
        </w:rPr>
        <w:t>二、收</w:t>
      </w:r>
      <w:r>
        <w:rPr>
          <w:rStyle w:val="29"/>
          <w:rFonts w:hint="eastAsia" w:ascii="仿宋" w:hAnsi="仿宋" w:eastAsia="仿宋"/>
          <w:b w:val="0"/>
          <w:bCs w:val="0"/>
        </w:rPr>
        <w:t>入决算表</w:t>
      </w:r>
      <w:bookmarkEnd w:id="56"/>
    </w:p>
    <w:p w14:paraId="330B15FC">
      <w:pPr>
        <w:pStyle w:val="4"/>
        <w:rPr>
          <w:rFonts w:ascii="仿宋" w:hAnsi="仿宋" w:eastAsia="仿宋"/>
        </w:rPr>
      </w:pPr>
      <w:bookmarkStart w:id="57" w:name="_Toc15396621"/>
      <w:r>
        <w:rPr>
          <w:rStyle w:val="29"/>
          <w:rFonts w:hint="eastAsia" w:ascii="仿宋" w:hAnsi="仿宋" w:eastAsia="仿宋"/>
          <w:b w:val="0"/>
          <w:bCs w:val="0"/>
        </w:rPr>
        <w:t>三、</w:t>
      </w:r>
      <w:r>
        <w:rPr>
          <w:rFonts w:hint="eastAsia" w:ascii="仿宋" w:hAnsi="仿宋" w:eastAsia="仿宋"/>
          <w:b w:val="0"/>
        </w:rPr>
        <w:t>支</w:t>
      </w:r>
      <w:r>
        <w:rPr>
          <w:rStyle w:val="29"/>
          <w:rFonts w:hint="eastAsia" w:ascii="仿宋" w:hAnsi="仿宋" w:eastAsia="仿宋"/>
          <w:b w:val="0"/>
          <w:bCs w:val="0"/>
        </w:rPr>
        <w:t>出决算表</w:t>
      </w:r>
      <w:bookmarkEnd w:id="57"/>
    </w:p>
    <w:p w14:paraId="3EAA3586">
      <w:pPr>
        <w:pStyle w:val="4"/>
        <w:rPr>
          <w:rFonts w:ascii="仿宋" w:hAnsi="仿宋" w:eastAsia="仿宋"/>
          <w:b w:val="0"/>
        </w:rPr>
      </w:pPr>
      <w:bookmarkStart w:id="58" w:name="_Toc15396622"/>
      <w:r>
        <w:rPr>
          <w:rStyle w:val="29"/>
          <w:rFonts w:hint="eastAsia" w:ascii="仿宋" w:hAnsi="仿宋" w:eastAsia="仿宋"/>
          <w:b w:val="0"/>
          <w:bCs w:val="0"/>
        </w:rPr>
        <w:t>四、</w:t>
      </w:r>
      <w:r>
        <w:rPr>
          <w:rFonts w:hint="eastAsia" w:ascii="仿宋" w:hAnsi="仿宋" w:eastAsia="仿宋"/>
          <w:b w:val="0"/>
        </w:rPr>
        <w:t>财</w:t>
      </w:r>
      <w:r>
        <w:rPr>
          <w:rStyle w:val="29"/>
          <w:rFonts w:hint="eastAsia" w:ascii="仿宋" w:hAnsi="仿宋" w:eastAsia="仿宋"/>
          <w:b w:val="0"/>
          <w:bCs w:val="0"/>
        </w:rPr>
        <w:t>政拨款收入支出决算总表</w:t>
      </w:r>
      <w:bookmarkEnd w:id="58"/>
    </w:p>
    <w:p w14:paraId="7F64A12F">
      <w:pPr>
        <w:pStyle w:val="4"/>
        <w:rPr>
          <w:rStyle w:val="29"/>
          <w:rFonts w:ascii="仿宋" w:hAnsi="仿宋" w:eastAsia="仿宋"/>
          <w:b w:val="0"/>
          <w:bCs w:val="0"/>
        </w:rPr>
      </w:pPr>
      <w:bookmarkStart w:id="59" w:name="_Toc15396623"/>
      <w:r>
        <w:rPr>
          <w:rStyle w:val="29"/>
          <w:rFonts w:hint="eastAsia" w:ascii="仿宋" w:hAnsi="仿宋" w:eastAsia="仿宋"/>
          <w:b w:val="0"/>
          <w:bCs w:val="0"/>
        </w:rPr>
        <w:t>五、</w:t>
      </w:r>
      <w:r>
        <w:rPr>
          <w:rFonts w:hint="eastAsia" w:ascii="仿宋" w:hAnsi="仿宋" w:eastAsia="仿宋"/>
          <w:b w:val="0"/>
        </w:rPr>
        <w:t>财</w:t>
      </w:r>
      <w:r>
        <w:rPr>
          <w:rStyle w:val="29"/>
          <w:rFonts w:hint="eastAsia" w:ascii="仿宋" w:hAnsi="仿宋" w:eastAsia="仿宋"/>
          <w:b w:val="0"/>
          <w:bCs w:val="0"/>
        </w:rPr>
        <w:t>政拨款支出决算明细表</w:t>
      </w:r>
      <w:bookmarkEnd w:id="59"/>
      <w:bookmarkStart w:id="60" w:name="_Toc15396624"/>
    </w:p>
    <w:p w14:paraId="508E7FF6">
      <w:pPr>
        <w:pStyle w:val="4"/>
        <w:rPr>
          <w:rFonts w:ascii="仿宋" w:hAnsi="仿宋" w:eastAsia="仿宋"/>
        </w:rPr>
      </w:pPr>
      <w:r>
        <w:rPr>
          <w:rStyle w:val="29"/>
          <w:rFonts w:hint="eastAsia" w:ascii="仿宋" w:hAnsi="仿宋" w:eastAsia="仿宋"/>
          <w:b w:val="0"/>
          <w:bCs w:val="0"/>
        </w:rPr>
        <w:t>六、</w:t>
      </w:r>
      <w:r>
        <w:rPr>
          <w:rFonts w:hint="eastAsia" w:ascii="仿宋" w:hAnsi="仿宋" w:eastAsia="仿宋"/>
          <w:b w:val="0"/>
        </w:rPr>
        <w:t>一</w:t>
      </w:r>
      <w:r>
        <w:rPr>
          <w:rStyle w:val="29"/>
          <w:rFonts w:hint="eastAsia" w:ascii="仿宋" w:hAnsi="仿宋" w:eastAsia="仿宋"/>
          <w:b w:val="0"/>
          <w:bCs w:val="0"/>
        </w:rPr>
        <w:t>般公共预算财政拨款支出决算表</w:t>
      </w:r>
      <w:bookmarkEnd w:id="60"/>
    </w:p>
    <w:p w14:paraId="6ED808FA">
      <w:pPr>
        <w:pStyle w:val="4"/>
        <w:rPr>
          <w:rFonts w:ascii="仿宋" w:hAnsi="仿宋" w:eastAsia="仿宋"/>
        </w:rPr>
      </w:pPr>
      <w:bookmarkStart w:id="61" w:name="_Toc15396625"/>
      <w:r>
        <w:rPr>
          <w:rStyle w:val="29"/>
          <w:rFonts w:hint="eastAsia" w:ascii="仿宋" w:hAnsi="仿宋" w:eastAsia="仿宋"/>
          <w:b w:val="0"/>
          <w:bCs w:val="0"/>
        </w:rPr>
        <w:t>七、</w:t>
      </w:r>
      <w:r>
        <w:rPr>
          <w:rFonts w:hint="eastAsia" w:ascii="仿宋" w:hAnsi="仿宋" w:eastAsia="仿宋"/>
          <w:b w:val="0"/>
        </w:rPr>
        <w:t>一</w:t>
      </w:r>
      <w:r>
        <w:rPr>
          <w:rStyle w:val="29"/>
          <w:rFonts w:hint="eastAsia" w:ascii="仿宋" w:hAnsi="仿宋" w:eastAsia="仿宋"/>
          <w:b w:val="0"/>
          <w:bCs w:val="0"/>
        </w:rPr>
        <w:t>般公共预算财政拨款支出决算明细表</w:t>
      </w:r>
      <w:bookmarkEnd w:id="61"/>
    </w:p>
    <w:p w14:paraId="3C8AC7BC">
      <w:pPr>
        <w:pStyle w:val="4"/>
        <w:rPr>
          <w:rFonts w:ascii="仿宋" w:hAnsi="仿宋" w:eastAsia="仿宋"/>
        </w:rPr>
      </w:pPr>
      <w:bookmarkStart w:id="62" w:name="_Toc15396626"/>
      <w:r>
        <w:rPr>
          <w:rStyle w:val="29"/>
          <w:rFonts w:hint="eastAsia" w:ascii="仿宋" w:hAnsi="仿宋" w:eastAsia="仿宋"/>
          <w:b w:val="0"/>
          <w:bCs w:val="0"/>
        </w:rPr>
        <w:t>八、</w:t>
      </w:r>
      <w:r>
        <w:rPr>
          <w:rFonts w:hint="eastAsia" w:ascii="仿宋" w:hAnsi="仿宋" w:eastAsia="仿宋"/>
          <w:b w:val="0"/>
        </w:rPr>
        <w:t>一</w:t>
      </w:r>
      <w:r>
        <w:rPr>
          <w:rStyle w:val="29"/>
          <w:rFonts w:hint="eastAsia" w:ascii="仿宋" w:hAnsi="仿宋" w:eastAsia="仿宋"/>
          <w:b w:val="0"/>
          <w:bCs w:val="0"/>
        </w:rPr>
        <w:t>般公共预算财政拨款基本支出决算表</w:t>
      </w:r>
      <w:bookmarkEnd w:id="62"/>
    </w:p>
    <w:p w14:paraId="328B3DC6">
      <w:pPr>
        <w:pStyle w:val="4"/>
        <w:rPr>
          <w:rFonts w:ascii="仿宋" w:hAnsi="仿宋" w:eastAsia="仿宋"/>
        </w:rPr>
      </w:pPr>
      <w:bookmarkStart w:id="63" w:name="_Toc15396627"/>
      <w:r>
        <w:rPr>
          <w:rStyle w:val="29"/>
          <w:rFonts w:hint="eastAsia" w:ascii="仿宋" w:hAnsi="仿宋" w:eastAsia="仿宋"/>
          <w:b w:val="0"/>
          <w:bCs w:val="0"/>
        </w:rPr>
        <w:t>九、</w:t>
      </w:r>
      <w:r>
        <w:rPr>
          <w:rFonts w:hint="eastAsia" w:ascii="仿宋" w:hAnsi="仿宋" w:eastAsia="仿宋"/>
          <w:b w:val="0"/>
        </w:rPr>
        <w:t>一</w:t>
      </w:r>
      <w:r>
        <w:rPr>
          <w:rStyle w:val="29"/>
          <w:rFonts w:hint="eastAsia" w:ascii="仿宋" w:hAnsi="仿宋" w:eastAsia="仿宋"/>
          <w:b w:val="0"/>
          <w:bCs w:val="0"/>
        </w:rPr>
        <w:t>般公共预算财政拨款项目支出决算表</w:t>
      </w:r>
      <w:bookmarkEnd w:id="63"/>
    </w:p>
    <w:p w14:paraId="7E0912D3">
      <w:pPr>
        <w:pStyle w:val="4"/>
        <w:rPr>
          <w:rFonts w:ascii="仿宋" w:hAnsi="仿宋" w:eastAsia="仿宋"/>
        </w:rPr>
      </w:pPr>
      <w:bookmarkStart w:id="64" w:name="_Toc15396628"/>
      <w:r>
        <w:rPr>
          <w:rStyle w:val="29"/>
          <w:rFonts w:hint="eastAsia" w:ascii="仿宋" w:hAnsi="仿宋" w:eastAsia="仿宋"/>
          <w:b w:val="0"/>
          <w:bCs w:val="0"/>
        </w:rPr>
        <w:t>十、</w:t>
      </w:r>
      <w:bookmarkEnd w:id="64"/>
      <w:r>
        <w:rPr>
          <w:rFonts w:hint="eastAsia" w:ascii="仿宋" w:hAnsi="仿宋" w:eastAsia="仿宋"/>
          <w:b w:val="0"/>
        </w:rPr>
        <w:t>政</w:t>
      </w:r>
      <w:r>
        <w:rPr>
          <w:rStyle w:val="29"/>
          <w:rFonts w:hint="eastAsia" w:ascii="仿宋" w:hAnsi="仿宋" w:eastAsia="仿宋"/>
          <w:b w:val="0"/>
          <w:bCs w:val="0"/>
        </w:rPr>
        <w:t>府性基金预算财政拨款收入支出决算表</w:t>
      </w:r>
    </w:p>
    <w:p w14:paraId="76606707">
      <w:pPr>
        <w:pStyle w:val="4"/>
        <w:rPr>
          <w:rFonts w:ascii="仿宋" w:hAnsi="仿宋" w:eastAsia="仿宋"/>
        </w:rPr>
      </w:pPr>
      <w:bookmarkStart w:id="65" w:name="_Toc15396629"/>
      <w:r>
        <w:rPr>
          <w:rStyle w:val="29"/>
          <w:rFonts w:hint="eastAsia" w:ascii="仿宋" w:hAnsi="仿宋" w:eastAsia="仿宋"/>
          <w:b w:val="0"/>
          <w:bCs w:val="0"/>
        </w:rPr>
        <w:t>十一、</w:t>
      </w:r>
      <w:bookmarkEnd w:id="65"/>
      <w:r>
        <w:rPr>
          <w:rFonts w:hint="eastAsia" w:ascii="仿宋" w:hAnsi="仿宋" w:eastAsia="仿宋"/>
          <w:b w:val="0"/>
        </w:rPr>
        <w:t>国</w:t>
      </w:r>
      <w:r>
        <w:rPr>
          <w:rStyle w:val="29"/>
          <w:rFonts w:hint="eastAsia" w:ascii="仿宋" w:hAnsi="仿宋" w:eastAsia="仿宋"/>
          <w:b w:val="0"/>
          <w:bCs w:val="0"/>
        </w:rPr>
        <w:t>有资本经营预算财政拨款收入支出决算表</w:t>
      </w:r>
    </w:p>
    <w:p w14:paraId="3955D14A">
      <w:pPr>
        <w:pStyle w:val="4"/>
        <w:rPr>
          <w:rFonts w:ascii="仿宋" w:hAnsi="仿宋" w:eastAsia="仿宋"/>
        </w:rPr>
      </w:pPr>
      <w:bookmarkStart w:id="66" w:name="_Toc15396630"/>
      <w:r>
        <w:rPr>
          <w:rStyle w:val="29"/>
          <w:rFonts w:hint="eastAsia" w:ascii="仿宋" w:hAnsi="仿宋" w:eastAsia="仿宋"/>
          <w:b w:val="0"/>
          <w:bCs w:val="0"/>
        </w:rPr>
        <w:t>十二、</w:t>
      </w:r>
      <w:bookmarkEnd w:id="66"/>
      <w:r>
        <w:rPr>
          <w:rStyle w:val="29"/>
          <w:rFonts w:hint="eastAsia" w:ascii="仿宋" w:hAnsi="仿宋" w:eastAsia="仿宋"/>
          <w:b w:val="0"/>
          <w:bCs w:val="0"/>
        </w:rPr>
        <w:t>国有资本经营预算财政拨款支出决算表</w:t>
      </w:r>
    </w:p>
    <w:p w14:paraId="4FEAA279">
      <w:pPr>
        <w:pStyle w:val="4"/>
        <w:rPr>
          <w:rFonts w:ascii="仿宋" w:hAnsi="仿宋" w:eastAsia="仿宋"/>
          <w:b w:val="0"/>
          <w:bCs w:val="0"/>
        </w:rPr>
      </w:pPr>
      <w:bookmarkStart w:id="67" w:name="_Toc15396631"/>
      <w:r>
        <w:rPr>
          <w:rStyle w:val="29"/>
          <w:rFonts w:hint="eastAsia" w:ascii="仿宋" w:hAnsi="仿宋" w:eastAsia="仿宋"/>
          <w:b w:val="0"/>
          <w:bCs w:val="0"/>
        </w:rPr>
        <w:t>十三、</w:t>
      </w:r>
      <w:bookmarkEnd w:id="67"/>
      <w:r>
        <w:rPr>
          <w:rStyle w:val="29"/>
          <w:rFonts w:hint="eastAsia" w:ascii="仿宋" w:hAnsi="仿宋" w:eastAsia="仿宋"/>
          <w:b w:val="0"/>
          <w:bCs w:val="0"/>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692A35E1">
        <w:pPr>
          <w:pStyle w:val="10"/>
          <w:jc w:val="center"/>
        </w:pPr>
        <w:r>
          <w:fldChar w:fldCharType="begin"/>
        </w:r>
        <w:r>
          <w:instrText xml:space="preserve">PAGE   \* MERGEFORMAT</w:instrText>
        </w:r>
        <w:r>
          <w:fldChar w:fldCharType="separate"/>
        </w:r>
        <w:r>
          <w:rPr>
            <w:lang w:val="zh-CN"/>
          </w:rPr>
          <w:t>26</w:t>
        </w:r>
        <w:r>
          <w:rPr>
            <w:lang w:val="zh-CN"/>
          </w:rPr>
          <w:fldChar w:fldCharType="end"/>
        </w:r>
      </w:p>
    </w:sdtContent>
  </w:sdt>
  <w:p w14:paraId="317AC48A">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16663">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ECF69C"/>
    <w:multiLevelType w:val="singleLevel"/>
    <w:tmpl w:val="90ECF69C"/>
    <w:lvl w:ilvl="0" w:tentative="0">
      <w:start w:val="1"/>
      <w:numFmt w:val="decimal"/>
      <w:suff w:val="nothing"/>
      <w:lvlText w:val="%1）"/>
      <w:lvlJc w:val="left"/>
    </w:lvl>
  </w:abstractNum>
  <w:abstractNum w:abstractNumId="1">
    <w:nsid w:val="B6E3D89E"/>
    <w:multiLevelType w:val="singleLevel"/>
    <w:tmpl w:val="B6E3D89E"/>
    <w:lvl w:ilvl="0" w:tentative="0">
      <w:start w:val="1"/>
      <w:numFmt w:val="decimal"/>
      <w:suff w:val="nothing"/>
      <w:lvlText w:val="%1）"/>
      <w:lvlJc w:val="left"/>
    </w:lvl>
  </w:abstractNum>
  <w:abstractNum w:abstractNumId="2">
    <w:nsid w:val="C6662918"/>
    <w:multiLevelType w:val="singleLevel"/>
    <w:tmpl w:val="C6662918"/>
    <w:lvl w:ilvl="0" w:tentative="0">
      <w:start w:val="1"/>
      <w:numFmt w:val="decimal"/>
      <w:suff w:val="nothing"/>
      <w:lvlText w:val="%1）"/>
      <w:lvlJc w:val="left"/>
    </w:lvl>
  </w:abstractNum>
  <w:abstractNum w:abstractNumId="3">
    <w:nsid w:val="CF652CEC"/>
    <w:multiLevelType w:val="singleLevel"/>
    <w:tmpl w:val="CF652CEC"/>
    <w:lvl w:ilvl="0" w:tentative="0">
      <w:start w:val="9"/>
      <w:numFmt w:val="chineseCounting"/>
      <w:suff w:val="nothing"/>
      <w:lvlText w:val="%1、"/>
      <w:lvlJc w:val="left"/>
      <w:rPr>
        <w:rFonts w:hint="eastAsia"/>
      </w:rPr>
    </w:lvl>
  </w:abstractNum>
  <w:abstractNum w:abstractNumId="4">
    <w:nsid w:val="DEB9EAC8"/>
    <w:multiLevelType w:val="singleLevel"/>
    <w:tmpl w:val="DEB9EAC8"/>
    <w:lvl w:ilvl="0" w:tentative="0">
      <w:start w:val="1"/>
      <w:numFmt w:val="decimal"/>
      <w:lvlText w:val="%1."/>
      <w:lvlJc w:val="left"/>
      <w:pPr>
        <w:tabs>
          <w:tab w:val="left" w:pos="312"/>
        </w:tabs>
      </w:pPr>
    </w:lvl>
  </w:abstractNum>
  <w:abstractNum w:abstractNumId="5">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6">
    <w:nsid w:val="E3F46770"/>
    <w:multiLevelType w:val="singleLevel"/>
    <w:tmpl w:val="E3F46770"/>
    <w:lvl w:ilvl="0" w:tentative="0">
      <w:start w:val="2"/>
      <w:numFmt w:val="chineseCounting"/>
      <w:suff w:val="nothing"/>
      <w:lvlText w:val="（%1）"/>
      <w:lvlJc w:val="left"/>
      <w:rPr>
        <w:rFonts w:hint="eastAsia"/>
      </w:rPr>
    </w:lvl>
  </w:abstractNum>
  <w:abstractNum w:abstractNumId="7">
    <w:nsid w:val="F2B496AF"/>
    <w:multiLevelType w:val="singleLevel"/>
    <w:tmpl w:val="F2B496AF"/>
    <w:lvl w:ilvl="0" w:tentative="0">
      <w:start w:val="2"/>
      <w:numFmt w:val="chineseCounting"/>
      <w:suff w:val="nothing"/>
      <w:lvlText w:val="（%1）"/>
      <w:lvlJc w:val="left"/>
      <w:rPr>
        <w:rFonts w:hint="eastAsia"/>
      </w:rPr>
    </w:lvl>
  </w:abstractNum>
  <w:abstractNum w:abstractNumId="8">
    <w:nsid w:val="FB6BDFAF"/>
    <w:multiLevelType w:val="singleLevel"/>
    <w:tmpl w:val="FB6BDFAF"/>
    <w:lvl w:ilvl="0" w:tentative="0">
      <w:start w:val="1"/>
      <w:numFmt w:val="decimal"/>
      <w:suff w:val="nothing"/>
      <w:lvlText w:val="%1）"/>
      <w:lvlJc w:val="left"/>
    </w:lvl>
  </w:abstractNum>
  <w:abstractNum w:abstractNumId="9">
    <w:nsid w:val="FBCD5011"/>
    <w:multiLevelType w:val="singleLevel"/>
    <w:tmpl w:val="FBCD5011"/>
    <w:lvl w:ilvl="0" w:tentative="0">
      <w:start w:val="1"/>
      <w:numFmt w:val="decimal"/>
      <w:suff w:val="nothing"/>
      <w:lvlText w:val="%1）"/>
      <w:lvlJc w:val="left"/>
    </w:lvl>
  </w:abstractNum>
  <w:abstractNum w:abstractNumId="10">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1">
    <w:nsid w:val="2F24C1E1"/>
    <w:multiLevelType w:val="singleLevel"/>
    <w:tmpl w:val="2F24C1E1"/>
    <w:lvl w:ilvl="0" w:tentative="0">
      <w:start w:val="2"/>
      <w:numFmt w:val="chineseCounting"/>
      <w:suff w:val="nothing"/>
      <w:lvlText w:val="（%1）"/>
      <w:lvlJc w:val="left"/>
      <w:rPr>
        <w:rFonts w:hint="eastAsia"/>
      </w:rPr>
    </w:lvl>
  </w:abstractNum>
  <w:abstractNum w:abstractNumId="12">
    <w:nsid w:val="3818A09A"/>
    <w:multiLevelType w:val="singleLevel"/>
    <w:tmpl w:val="3818A09A"/>
    <w:lvl w:ilvl="0" w:tentative="0">
      <w:start w:val="1"/>
      <w:numFmt w:val="chineseCounting"/>
      <w:suff w:val="nothing"/>
      <w:lvlText w:val="%1、"/>
      <w:lvlJc w:val="left"/>
      <w:rPr>
        <w:rFonts w:hint="eastAsia"/>
      </w:rPr>
    </w:lvl>
  </w:abstractNum>
  <w:abstractNum w:abstractNumId="13">
    <w:nsid w:val="4B6B6379"/>
    <w:multiLevelType w:val="singleLevel"/>
    <w:tmpl w:val="4B6B6379"/>
    <w:lvl w:ilvl="0" w:tentative="0">
      <w:start w:val="1"/>
      <w:numFmt w:val="decimal"/>
      <w:suff w:val="nothing"/>
      <w:lvlText w:val="%1）"/>
      <w:lvlJc w:val="left"/>
    </w:lvl>
  </w:abstractNum>
  <w:num w:numId="1">
    <w:abstractNumId w:val="12"/>
  </w:num>
  <w:num w:numId="2">
    <w:abstractNumId w:val="10"/>
  </w:num>
  <w:num w:numId="3">
    <w:abstractNumId w:val="3"/>
  </w:num>
  <w:num w:numId="4">
    <w:abstractNumId w:val="5"/>
  </w:num>
  <w:num w:numId="5">
    <w:abstractNumId w:val="7"/>
  </w:num>
  <w:num w:numId="6">
    <w:abstractNumId w:val="6"/>
  </w:num>
  <w:num w:numId="7">
    <w:abstractNumId w:val="0"/>
  </w:num>
  <w:num w:numId="8">
    <w:abstractNumId w:val="8"/>
  </w:num>
  <w:num w:numId="9">
    <w:abstractNumId w:val="13"/>
  </w:num>
  <w:num w:numId="10">
    <w:abstractNumId w:val="4"/>
  </w:num>
  <w:num w:numId="11">
    <w:abstractNumId w:val="1"/>
  </w:num>
  <w:num w:numId="12">
    <w:abstractNumId w:val="9"/>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2ZDQ1YTY5NGYzYmE5Nzc4ZWQyYjQ2ZDdhNWJmMTMifQ=="/>
  </w:docVars>
  <w:rsids>
    <w:rsidRoot w:val="00F1361C"/>
    <w:rsid w:val="000150ED"/>
    <w:rsid w:val="000222C6"/>
    <w:rsid w:val="0002549F"/>
    <w:rsid w:val="00032A21"/>
    <w:rsid w:val="00036F74"/>
    <w:rsid w:val="000468DB"/>
    <w:rsid w:val="0006487A"/>
    <w:rsid w:val="00065F8F"/>
    <w:rsid w:val="00070A43"/>
    <w:rsid w:val="00074DB3"/>
    <w:rsid w:val="000768F2"/>
    <w:rsid w:val="0009184B"/>
    <w:rsid w:val="00094236"/>
    <w:rsid w:val="0009593C"/>
    <w:rsid w:val="00097322"/>
    <w:rsid w:val="000A6A92"/>
    <w:rsid w:val="000B047F"/>
    <w:rsid w:val="000B5923"/>
    <w:rsid w:val="000B5A48"/>
    <w:rsid w:val="000B6FF3"/>
    <w:rsid w:val="000C3467"/>
    <w:rsid w:val="000C39F7"/>
    <w:rsid w:val="000C3CA6"/>
    <w:rsid w:val="000D1267"/>
    <w:rsid w:val="000D1D50"/>
    <w:rsid w:val="000D5782"/>
    <w:rsid w:val="000E6613"/>
    <w:rsid w:val="000E7119"/>
    <w:rsid w:val="001004E1"/>
    <w:rsid w:val="00114E9B"/>
    <w:rsid w:val="00115DCF"/>
    <w:rsid w:val="00117C2E"/>
    <w:rsid w:val="00124DAC"/>
    <w:rsid w:val="00142216"/>
    <w:rsid w:val="00144D6A"/>
    <w:rsid w:val="0014729F"/>
    <w:rsid w:val="00157BAB"/>
    <w:rsid w:val="001654D1"/>
    <w:rsid w:val="00166CED"/>
    <w:rsid w:val="00174518"/>
    <w:rsid w:val="0018106D"/>
    <w:rsid w:val="001877A7"/>
    <w:rsid w:val="00191536"/>
    <w:rsid w:val="00196687"/>
    <w:rsid w:val="001A1DAD"/>
    <w:rsid w:val="001A64C4"/>
    <w:rsid w:val="001A7C73"/>
    <w:rsid w:val="001B01D0"/>
    <w:rsid w:val="001C0962"/>
    <w:rsid w:val="001D7531"/>
    <w:rsid w:val="001E737D"/>
    <w:rsid w:val="001F0592"/>
    <w:rsid w:val="001F7506"/>
    <w:rsid w:val="002006CD"/>
    <w:rsid w:val="00202B36"/>
    <w:rsid w:val="00204B7A"/>
    <w:rsid w:val="00204CDE"/>
    <w:rsid w:val="00205648"/>
    <w:rsid w:val="00206907"/>
    <w:rsid w:val="00210D1D"/>
    <w:rsid w:val="0021101A"/>
    <w:rsid w:val="00212B4A"/>
    <w:rsid w:val="00216F21"/>
    <w:rsid w:val="00220536"/>
    <w:rsid w:val="00235629"/>
    <w:rsid w:val="00260C38"/>
    <w:rsid w:val="002616C0"/>
    <w:rsid w:val="00264FB0"/>
    <w:rsid w:val="00265372"/>
    <w:rsid w:val="002662AA"/>
    <w:rsid w:val="00280496"/>
    <w:rsid w:val="00294037"/>
    <w:rsid w:val="00294DC9"/>
    <w:rsid w:val="00295495"/>
    <w:rsid w:val="002A31DE"/>
    <w:rsid w:val="002A47B3"/>
    <w:rsid w:val="002A4E4C"/>
    <w:rsid w:val="002B2613"/>
    <w:rsid w:val="002C5004"/>
    <w:rsid w:val="002D6D05"/>
    <w:rsid w:val="002E070E"/>
    <w:rsid w:val="002E2C71"/>
    <w:rsid w:val="002F1818"/>
    <w:rsid w:val="002F567B"/>
    <w:rsid w:val="00303085"/>
    <w:rsid w:val="0030661B"/>
    <w:rsid w:val="00316161"/>
    <w:rsid w:val="003216A9"/>
    <w:rsid w:val="00335A74"/>
    <w:rsid w:val="003420BE"/>
    <w:rsid w:val="0036561B"/>
    <w:rsid w:val="0037013F"/>
    <w:rsid w:val="00380C92"/>
    <w:rsid w:val="003A484F"/>
    <w:rsid w:val="003A4883"/>
    <w:rsid w:val="003A621C"/>
    <w:rsid w:val="003B0BE0"/>
    <w:rsid w:val="003B0C1B"/>
    <w:rsid w:val="003B688C"/>
    <w:rsid w:val="003C0291"/>
    <w:rsid w:val="003C0711"/>
    <w:rsid w:val="003C35A7"/>
    <w:rsid w:val="003C39AE"/>
    <w:rsid w:val="003C4BD5"/>
    <w:rsid w:val="003C7B60"/>
    <w:rsid w:val="003D0C0F"/>
    <w:rsid w:val="003D1FB2"/>
    <w:rsid w:val="003D66DA"/>
    <w:rsid w:val="003E1310"/>
    <w:rsid w:val="003E3F03"/>
    <w:rsid w:val="003E6F55"/>
    <w:rsid w:val="003F58CC"/>
    <w:rsid w:val="00406254"/>
    <w:rsid w:val="004077C7"/>
    <w:rsid w:val="004133AE"/>
    <w:rsid w:val="004223DE"/>
    <w:rsid w:val="00425C50"/>
    <w:rsid w:val="0043177C"/>
    <w:rsid w:val="00434489"/>
    <w:rsid w:val="00437085"/>
    <w:rsid w:val="00443880"/>
    <w:rsid w:val="00444080"/>
    <w:rsid w:val="004464F4"/>
    <w:rsid w:val="00452AB9"/>
    <w:rsid w:val="0046049C"/>
    <w:rsid w:val="004614F2"/>
    <w:rsid w:val="004642F2"/>
    <w:rsid w:val="00471401"/>
    <w:rsid w:val="00473F31"/>
    <w:rsid w:val="004752BB"/>
    <w:rsid w:val="0048263A"/>
    <w:rsid w:val="00487E5D"/>
    <w:rsid w:val="004A711F"/>
    <w:rsid w:val="004B199D"/>
    <w:rsid w:val="004B4690"/>
    <w:rsid w:val="004E0A2D"/>
    <w:rsid w:val="004E206B"/>
    <w:rsid w:val="004E6DF7"/>
    <w:rsid w:val="004F0FBD"/>
    <w:rsid w:val="00505A47"/>
    <w:rsid w:val="00510A6B"/>
    <w:rsid w:val="00512FDA"/>
    <w:rsid w:val="00520DA0"/>
    <w:rsid w:val="005307A0"/>
    <w:rsid w:val="005533CF"/>
    <w:rsid w:val="00554E4D"/>
    <w:rsid w:val="005664BB"/>
    <w:rsid w:val="00566FFA"/>
    <w:rsid w:val="005713A8"/>
    <w:rsid w:val="0057481D"/>
    <w:rsid w:val="0058486E"/>
    <w:rsid w:val="00585B33"/>
    <w:rsid w:val="0059014D"/>
    <w:rsid w:val="005A4DD9"/>
    <w:rsid w:val="005B5C64"/>
    <w:rsid w:val="005B6E8A"/>
    <w:rsid w:val="005C5337"/>
    <w:rsid w:val="005C6BD0"/>
    <w:rsid w:val="005D0618"/>
    <w:rsid w:val="005D1C8B"/>
    <w:rsid w:val="005D468D"/>
    <w:rsid w:val="005D5CED"/>
    <w:rsid w:val="005F0000"/>
    <w:rsid w:val="005F10BC"/>
    <w:rsid w:val="005F1A4C"/>
    <w:rsid w:val="00604A0A"/>
    <w:rsid w:val="00605688"/>
    <w:rsid w:val="006070AF"/>
    <w:rsid w:val="00607E6C"/>
    <w:rsid w:val="006101B1"/>
    <w:rsid w:val="00613476"/>
    <w:rsid w:val="00614E44"/>
    <w:rsid w:val="0062270A"/>
    <w:rsid w:val="00622830"/>
    <w:rsid w:val="00623DA0"/>
    <w:rsid w:val="00630AEF"/>
    <w:rsid w:val="006325F8"/>
    <w:rsid w:val="00633463"/>
    <w:rsid w:val="00634C9A"/>
    <w:rsid w:val="006440E4"/>
    <w:rsid w:val="006447FB"/>
    <w:rsid w:val="00645451"/>
    <w:rsid w:val="00646F2C"/>
    <w:rsid w:val="00655FC5"/>
    <w:rsid w:val="0066343B"/>
    <w:rsid w:val="00664777"/>
    <w:rsid w:val="00665508"/>
    <w:rsid w:val="006748A4"/>
    <w:rsid w:val="00674F18"/>
    <w:rsid w:val="00681A31"/>
    <w:rsid w:val="00683E73"/>
    <w:rsid w:val="006A3141"/>
    <w:rsid w:val="006A5E34"/>
    <w:rsid w:val="006A6098"/>
    <w:rsid w:val="006B193E"/>
    <w:rsid w:val="006B2422"/>
    <w:rsid w:val="006B2B9A"/>
    <w:rsid w:val="006C1937"/>
    <w:rsid w:val="006E24D3"/>
    <w:rsid w:val="006F020C"/>
    <w:rsid w:val="006F634F"/>
    <w:rsid w:val="007018FF"/>
    <w:rsid w:val="0071021A"/>
    <w:rsid w:val="007127B7"/>
    <w:rsid w:val="0071798E"/>
    <w:rsid w:val="007416B6"/>
    <w:rsid w:val="007434E2"/>
    <w:rsid w:val="00744CFB"/>
    <w:rsid w:val="00746F48"/>
    <w:rsid w:val="00753063"/>
    <w:rsid w:val="0075404D"/>
    <w:rsid w:val="007561E3"/>
    <w:rsid w:val="0076182A"/>
    <w:rsid w:val="00764E56"/>
    <w:rsid w:val="00767B7E"/>
    <w:rsid w:val="007770C3"/>
    <w:rsid w:val="00784D24"/>
    <w:rsid w:val="00785FBA"/>
    <w:rsid w:val="00786E4A"/>
    <w:rsid w:val="007875EB"/>
    <w:rsid w:val="0079206D"/>
    <w:rsid w:val="0079426B"/>
    <w:rsid w:val="00797149"/>
    <w:rsid w:val="007A48C2"/>
    <w:rsid w:val="007B5FD5"/>
    <w:rsid w:val="007D1682"/>
    <w:rsid w:val="007D312A"/>
    <w:rsid w:val="007D3F19"/>
    <w:rsid w:val="007E23B0"/>
    <w:rsid w:val="007E23E5"/>
    <w:rsid w:val="007E493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271"/>
    <w:rsid w:val="00885AF4"/>
    <w:rsid w:val="008939CD"/>
    <w:rsid w:val="008B2B93"/>
    <w:rsid w:val="008B768C"/>
    <w:rsid w:val="008C261B"/>
    <w:rsid w:val="008C4DB1"/>
    <w:rsid w:val="008C4EAF"/>
    <w:rsid w:val="008C5176"/>
    <w:rsid w:val="008C7FD0"/>
    <w:rsid w:val="008C7FD8"/>
    <w:rsid w:val="008D2473"/>
    <w:rsid w:val="008E1DE7"/>
    <w:rsid w:val="008E5A9D"/>
    <w:rsid w:val="008E707C"/>
    <w:rsid w:val="008F090D"/>
    <w:rsid w:val="008F713F"/>
    <w:rsid w:val="00900B08"/>
    <w:rsid w:val="0090134C"/>
    <w:rsid w:val="00902155"/>
    <w:rsid w:val="00902FA3"/>
    <w:rsid w:val="009100CC"/>
    <w:rsid w:val="00913D77"/>
    <w:rsid w:val="009218CC"/>
    <w:rsid w:val="00923564"/>
    <w:rsid w:val="0092392E"/>
    <w:rsid w:val="009315F9"/>
    <w:rsid w:val="00933499"/>
    <w:rsid w:val="00935C98"/>
    <w:rsid w:val="00944103"/>
    <w:rsid w:val="00946945"/>
    <w:rsid w:val="00951248"/>
    <w:rsid w:val="0095152F"/>
    <w:rsid w:val="00954C49"/>
    <w:rsid w:val="00955E37"/>
    <w:rsid w:val="0097099F"/>
    <w:rsid w:val="00971997"/>
    <w:rsid w:val="00971FFC"/>
    <w:rsid w:val="0098660A"/>
    <w:rsid w:val="009931C3"/>
    <w:rsid w:val="009A052E"/>
    <w:rsid w:val="009A5E33"/>
    <w:rsid w:val="009B2868"/>
    <w:rsid w:val="009B2C43"/>
    <w:rsid w:val="009B4EAE"/>
    <w:rsid w:val="009B7573"/>
    <w:rsid w:val="009C22F4"/>
    <w:rsid w:val="009C2A4B"/>
    <w:rsid w:val="009C2B1B"/>
    <w:rsid w:val="009C2E98"/>
    <w:rsid w:val="009D3447"/>
    <w:rsid w:val="009D4711"/>
    <w:rsid w:val="009F1185"/>
    <w:rsid w:val="009F18CD"/>
    <w:rsid w:val="009F2A13"/>
    <w:rsid w:val="009F7527"/>
    <w:rsid w:val="00A04EB0"/>
    <w:rsid w:val="00A07820"/>
    <w:rsid w:val="00A117CE"/>
    <w:rsid w:val="00A13CC1"/>
    <w:rsid w:val="00A16847"/>
    <w:rsid w:val="00A237D8"/>
    <w:rsid w:val="00A23E41"/>
    <w:rsid w:val="00A268C4"/>
    <w:rsid w:val="00A307CD"/>
    <w:rsid w:val="00A331C8"/>
    <w:rsid w:val="00A40A00"/>
    <w:rsid w:val="00A4142F"/>
    <w:rsid w:val="00A422EB"/>
    <w:rsid w:val="00A45BB7"/>
    <w:rsid w:val="00A5414F"/>
    <w:rsid w:val="00A56DF2"/>
    <w:rsid w:val="00A56E6E"/>
    <w:rsid w:val="00A67AB5"/>
    <w:rsid w:val="00A733B2"/>
    <w:rsid w:val="00A741C2"/>
    <w:rsid w:val="00A81C99"/>
    <w:rsid w:val="00A81F48"/>
    <w:rsid w:val="00A91760"/>
    <w:rsid w:val="00A93B00"/>
    <w:rsid w:val="00A93C21"/>
    <w:rsid w:val="00A9698A"/>
    <w:rsid w:val="00AB64C9"/>
    <w:rsid w:val="00AC3C6A"/>
    <w:rsid w:val="00AD03D4"/>
    <w:rsid w:val="00AD5620"/>
    <w:rsid w:val="00AD656B"/>
    <w:rsid w:val="00AD7C1B"/>
    <w:rsid w:val="00AE16BA"/>
    <w:rsid w:val="00AE1EBE"/>
    <w:rsid w:val="00AE24D9"/>
    <w:rsid w:val="00B00990"/>
    <w:rsid w:val="00B03C9D"/>
    <w:rsid w:val="00B060AE"/>
    <w:rsid w:val="00B10517"/>
    <w:rsid w:val="00B14E76"/>
    <w:rsid w:val="00B161B8"/>
    <w:rsid w:val="00B2048C"/>
    <w:rsid w:val="00B310B9"/>
    <w:rsid w:val="00B35F3F"/>
    <w:rsid w:val="00B36CBB"/>
    <w:rsid w:val="00B425E0"/>
    <w:rsid w:val="00B440AA"/>
    <w:rsid w:val="00B4429E"/>
    <w:rsid w:val="00B44B70"/>
    <w:rsid w:val="00B52A36"/>
    <w:rsid w:val="00B53C56"/>
    <w:rsid w:val="00B57DAF"/>
    <w:rsid w:val="00B76779"/>
    <w:rsid w:val="00B77EA6"/>
    <w:rsid w:val="00B81598"/>
    <w:rsid w:val="00B841F1"/>
    <w:rsid w:val="00B944D6"/>
    <w:rsid w:val="00BA2560"/>
    <w:rsid w:val="00BB4DF0"/>
    <w:rsid w:val="00BC289F"/>
    <w:rsid w:val="00BC2D50"/>
    <w:rsid w:val="00BC5361"/>
    <w:rsid w:val="00BC5460"/>
    <w:rsid w:val="00BC6B50"/>
    <w:rsid w:val="00BD0E25"/>
    <w:rsid w:val="00BD6920"/>
    <w:rsid w:val="00BF5BD6"/>
    <w:rsid w:val="00BF78F3"/>
    <w:rsid w:val="00C03E31"/>
    <w:rsid w:val="00C33E72"/>
    <w:rsid w:val="00C354B2"/>
    <w:rsid w:val="00C35554"/>
    <w:rsid w:val="00C42709"/>
    <w:rsid w:val="00C451F2"/>
    <w:rsid w:val="00C4678A"/>
    <w:rsid w:val="00C533CC"/>
    <w:rsid w:val="00C5751C"/>
    <w:rsid w:val="00C61BFC"/>
    <w:rsid w:val="00C62B85"/>
    <w:rsid w:val="00C65438"/>
    <w:rsid w:val="00C672BC"/>
    <w:rsid w:val="00C87FD8"/>
    <w:rsid w:val="00C91381"/>
    <w:rsid w:val="00C91CBB"/>
    <w:rsid w:val="00CA649A"/>
    <w:rsid w:val="00CB4E70"/>
    <w:rsid w:val="00CC09B6"/>
    <w:rsid w:val="00CC666F"/>
    <w:rsid w:val="00CD1E3F"/>
    <w:rsid w:val="00CE44F6"/>
    <w:rsid w:val="00CE49DA"/>
    <w:rsid w:val="00CE7B61"/>
    <w:rsid w:val="00CF3BDB"/>
    <w:rsid w:val="00CF5055"/>
    <w:rsid w:val="00CF6B02"/>
    <w:rsid w:val="00D00095"/>
    <w:rsid w:val="00D06473"/>
    <w:rsid w:val="00D114F0"/>
    <w:rsid w:val="00D20620"/>
    <w:rsid w:val="00D254F7"/>
    <w:rsid w:val="00D26091"/>
    <w:rsid w:val="00D2685C"/>
    <w:rsid w:val="00D31E6F"/>
    <w:rsid w:val="00D34E7C"/>
    <w:rsid w:val="00D35489"/>
    <w:rsid w:val="00D36AFE"/>
    <w:rsid w:val="00D51276"/>
    <w:rsid w:val="00D5667E"/>
    <w:rsid w:val="00D7035F"/>
    <w:rsid w:val="00D7364F"/>
    <w:rsid w:val="00DA634F"/>
    <w:rsid w:val="00DA65AC"/>
    <w:rsid w:val="00DB1913"/>
    <w:rsid w:val="00DC32EC"/>
    <w:rsid w:val="00DC410D"/>
    <w:rsid w:val="00DC5A81"/>
    <w:rsid w:val="00DC68CA"/>
    <w:rsid w:val="00DC7CBA"/>
    <w:rsid w:val="00DD041F"/>
    <w:rsid w:val="00DD73B7"/>
    <w:rsid w:val="00DE37FE"/>
    <w:rsid w:val="00DE6F54"/>
    <w:rsid w:val="00DF28BC"/>
    <w:rsid w:val="00DF34B9"/>
    <w:rsid w:val="00DF6AC3"/>
    <w:rsid w:val="00E01053"/>
    <w:rsid w:val="00E058F7"/>
    <w:rsid w:val="00E07ACF"/>
    <w:rsid w:val="00E331A1"/>
    <w:rsid w:val="00E33202"/>
    <w:rsid w:val="00E336A9"/>
    <w:rsid w:val="00E472B1"/>
    <w:rsid w:val="00E50624"/>
    <w:rsid w:val="00E568DF"/>
    <w:rsid w:val="00E64269"/>
    <w:rsid w:val="00E82267"/>
    <w:rsid w:val="00E84E11"/>
    <w:rsid w:val="00E853CE"/>
    <w:rsid w:val="00E8607F"/>
    <w:rsid w:val="00E867B6"/>
    <w:rsid w:val="00EA010F"/>
    <w:rsid w:val="00EB2A84"/>
    <w:rsid w:val="00EC602D"/>
    <w:rsid w:val="00EC753D"/>
    <w:rsid w:val="00ED1B63"/>
    <w:rsid w:val="00ED3C1F"/>
    <w:rsid w:val="00ED3C2C"/>
    <w:rsid w:val="00ED4085"/>
    <w:rsid w:val="00ED420E"/>
    <w:rsid w:val="00ED6FBE"/>
    <w:rsid w:val="00ED741F"/>
    <w:rsid w:val="00EE0405"/>
    <w:rsid w:val="00EE2F57"/>
    <w:rsid w:val="00EF4C34"/>
    <w:rsid w:val="00EF5279"/>
    <w:rsid w:val="00EF77C6"/>
    <w:rsid w:val="00F05438"/>
    <w:rsid w:val="00F1361C"/>
    <w:rsid w:val="00F156F0"/>
    <w:rsid w:val="00F160C7"/>
    <w:rsid w:val="00F2408F"/>
    <w:rsid w:val="00F240E9"/>
    <w:rsid w:val="00F36D8F"/>
    <w:rsid w:val="00F417B1"/>
    <w:rsid w:val="00F43AF1"/>
    <w:rsid w:val="00F45853"/>
    <w:rsid w:val="00F602DF"/>
    <w:rsid w:val="00F754A1"/>
    <w:rsid w:val="00F75CB9"/>
    <w:rsid w:val="00F81FD9"/>
    <w:rsid w:val="00F841AA"/>
    <w:rsid w:val="00F84A94"/>
    <w:rsid w:val="00F87E96"/>
    <w:rsid w:val="00FA23E8"/>
    <w:rsid w:val="00FA791D"/>
    <w:rsid w:val="00FB017F"/>
    <w:rsid w:val="00FC0340"/>
    <w:rsid w:val="00FD3CC1"/>
    <w:rsid w:val="00FF1E02"/>
    <w:rsid w:val="00FF30B4"/>
    <w:rsid w:val="010A6538"/>
    <w:rsid w:val="01B85F94"/>
    <w:rsid w:val="01FB40D3"/>
    <w:rsid w:val="03DC2831"/>
    <w:rsid w:val="07520C39"/>
    <w:rsid w:val="081B5E94"/>
    <w:rsid w:val="099F15D7"/>
    <w:rsid w:val="0A2032A3"/>
    <w:rsid w:val="0B8A37D8"/>
    <w:rsid w:val="0E4137B5"/>
    <w:rsid w:val="0F5FFB2F"/>
    <w:rsid w:val="0FFFCF60"/>
    <w:rsid w:val="10C055FF"/>
    <w:rsid w:val="118107EC"/>
    <w:rsid w:val="11DD6519"/>
    <w:rsid w:val="16BB723D"/>
    <w:rsid w:val="18015F3F"/>
    <w:rsid w:val="182906A5"/>
    <w:rsid w:val="19BB441C"/>
    <w:rsid w:val="1A4E34E2"/>
    <w:rsid w:val="1BE8440E"/>
    <w:rsid w:val="1CE123EB"/>
    <w:rsid w:val="1D155CEE"/>
    <w:rsid w:val="1ECE2873"/>
    <w:rsid w:val="1F422EEA"/>
    <w:rsid w:val="1FDBBF84"/>
    <w:rsid w:val="20F57F95"/>
    <w:rsid w:val="21115269"/>
    <w:rsid w:val="22CA1B74"/>
    <w:rsid w:val="2335523F"/>
    <w:rsid w:val="240371BF"/>
    <w:rsid w:val="25711CC6"/>
    <w:rsid w:val="25C741E6"/>
    <w:rsid w:val="27201D62"/>
    <w:rsid w:val="276F80C0"/>
    <w:rsid w:val="27842671"/>
    <w:rsid w:val="29FD04D3"/>
    <w:rsid w:val="2A297E40"/>
    <w:rsid w:val="2ABE7A3E"/>
    <w:rsid w:val="2AFF09B6"/>
    <w:rsid w:val="2CA234A8"/>
    <w:rsid w:val="2D611067"/>
    <w:rsid w:val="2DB94CBF"/>
    <w:rsid w:val="2EFA178C"/>
    <w:rsid w:val="2EFDF86C"/>
    <w:rsid w:val="2F9D17E1"/>
    <w:rsid w:val="30B46D73"/>
    <w:rsid w:val="319F7F4E"/>
    <w:rsid w:val="32317519"/>
    <w:rsid w:val="356A28F1"/>
    <w:rsid w:val="357C035A"/>
    <w:rsid w:val="360A255B"/>
    <w:rsid w:val="368E000D"/>
    <w:rsid w:val="376161AB"/>
    <w:rsid w:val="383D272C"/>
    <w:rsid w:val="39AE70AB"/>
    <w:rsid w:val="39C649EB"/>
    <w:rsid w:val="3A4DCE41"/>
    <w:rsid w:val="3A6164C2"/>
    <w:rsid w:val="3BCB56FA"/>
    <w:rsid w:val="3C0C0783"/>
    <w:rsid w:val="3EE7C2F4"/>
    <w:rsid w:val="3F371B56"/>
    <w:rsid w:val="3F792ED8"/>
    <w:rsid w:val="3F9F3A96"/>
    <w:rsid w:val="3FECA4B2"/>
    <w:rsid w:val="3FF58C48"/>
    <w:rsid w:val="4163248D"/>
    <w:rsid w:val="42042CD7"/>
    <w:rsid w:val="427D5E63"/>
    <w:rsid w:val="427D61B0"/>
    <w:rsid w:val="42975177"/>
    <w:rsid w:val="42C10446"/>
    <w:rsid w:val="42FF6694"/>
    <w:rsid w:val="435E7A42"/>
    <w:rsid w:val="43D47D05"/>
    <w:rsid w:val="449D27EC"/>
    <w:rsid w:val="46357180"/>
    <w:rsid w:val="477161D4"/>
    <w:rsid w:val="47A65E5C"/>
    <w:rsid w:val="48BF60AB"/>
    <w:rsid w:val="493C27E9"/>
    <w:rsid w:val="496F39ED"/>
    <w:rsid w:val="49CF169A"/>
    <w:rsid w:val="49FF41D3"/>
    <w:rsid w:val="4BC6087B"/>
    <w:rsid w:val="4BE068DB"/>
    <w:rsid w:val="4BF6002B"/>
    <w:rsid w:val="4BFFC6BE"/>
    <w:rsid w:val="4CE1714D"/>
    <w:rsid w:val="4ECE2238"/>
    <w:rsid w:val="4F675ED1"/>
    <w:rsid w:val="51DB4B86"/>
    <w:rsid w:val="51F64DB0"/>
    <w:rsid w:val="54BC0A6D"/>
    <w:rsid w:val="54F4210F"/>
    <w:rsid w:val="55333C3E"/>
    <w:rsid w:val="57360DCD"/>
    <w:rsid w:val="589A7317"/>
    <w:rsid w:val="5AEE394A"/>
    <w:rsid w:val="5D9A7FA7"/>
    <w:rsid w:val="5F67802D"/>
    <w:rsid w:val="5F7DC4F2"/>
    <w:rsid w:val="5FA40A7B"/>
    <w:rsid w:val="5FB36814"/>
    <w:rsid w:val="5FBB8E56"/>
    <w:rsid w:val="5FFB5535"/>
    <w:rsid w:val="64485E79"/>
    <w:rsid w:val="64CA39A1"/>
    <w:rsid w:val="65197815"/>
    <w:rsid w:val="69630ADE"/>
    <w:rsid w:val="69BD5F13"/>
    <w:rsid w:val="69FB0B4B"/>
    <w:rsid w:val="6B64707D"/>
    <w:rsid w:val="6BFFE1FB"/>
    <w:rsid w:val="6C4A05C8"/>
    <w:rsid w:val="6CD209D6"/>
    <w:rsid w:val="6D390A55"/>
    <w:rsid w:val="6D3B1A89"/>
    <w:rsid w:val="6DB7D8A3"/>
    <w:rsid w:val="6E791F84"/>
    <w:rsid w:val="6EC78701"/>
    <w:rsid w:val="6EDC5B3C"/>
    <w:rsid w:val="6F2F1DA8"/>
    <w:rsid w:val="6F7A5481"/>
    <w:rsid w:val="6FFE07A9"/>
    <w:rsid w:val="705B0CE2"/>
    <w:rsid w:val="71BF4EC2"/>
    <w:rsid w:val="72734D90"/>
    <w:rsid w:val="72E254FD"/>
    <w:rsid w:val="73E75B71"/>
    <w:rsid w:val="7412278C"/>
    <w:rsid w:val="75DDCDA9"/>
    <w:rsid w:val="75FF44B1"/>
    <w:rsid w:val="77670518"/>
    <w:rsid w:val="777FA627"/>
    <w:rsid w:val="77933457"/>
    <w:rsid w:val="77DF1B5F"/>
    <w:rsid w:val="77EF2D9D"/>
    <w:rsid w:val="79E7B28D"/>
    <w:rsid w:val="7ACFF0C2"/>
    <w:rsid w:val="7AFB9108"/>
    <w:rsid w:val="7BA9149B"/>
    <w:rsid w:val="7BD5340C"/>
    <w:rsid w:val="7BFB19D2"/>
    <w:rsid w:val="7BFD1750"/>
    <w:rsid w:val="7BFDAA1B"/>
    <w:rsid w:val="7CDF9A82"/>
    <w:rsid w:val="7CFFA1BD"/>
    <w:rsid w:val="7D2E3F7A"/>
    <w:rsid w:val="7DED9490"/>
    <w:rsid w:val="7DFF4872"/>
    <w:rsid w:val="7E1075B0"/>
    <w:rsid w:val="7E7487E6"/>
    <w:rsid w:val="7E7C2A54"/>
    <w:rsid w:val="7EEEFD72"/>
    <w:rsid w:val="7F1D517C"/>
    <w:rsid w:val="7F5DA057"/>
    <w:rsid w:val="7F6C2237"/>
    <w:rsid w:val="7F7F319B"/>
    <w:rsid w:val="7F9F20EE"/>
    <w:rsid w:val="7FB36445"/>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paragraph" w:styleId="6">
    <w:name w:val="Body Text"/>
    <w:basedOn w:val="1"/>
    <w:link w:val="25"/>
    <w:qFormat/>
    <w:uiPriority w:val="99"/>
    <w:pPr>
      <w:spacing w:beforeLines="30"/>
    </w:pPr>
    <w:rPr>
      <w:rFonts w:ascii="仿宋_GB2312" w:eastAsia="仿宋_GB2312"/>
      <w:kern w:val="0"/>
      <w:sz w:val="30"/>
    </w:rPr>
  </w:style>
  <w:style w:type="paragraph" w:styleId="7">
    <w:name w:val="Body Text Indent"/>
    <w:basedOn w:val="1"/>
    <w:qFormat/>
    <w:uiPriority w:val="0"/>
    <w:pPr>
      <w:spacing w:after="120"/>
      <w:ind w:left="200"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1"/>
    <w:semiHidden/>
    <w:unhideWhenUsed/>
    <w:qFormat/>
    <w:uiPriority w:val="99"/>
    <w:rPr>
      <w:sz w:val="18"/>
      <w:szCs w:val="18"/>
    </w:rPr>
  </w:style>
  <w:style w:type="paragraph" w:styleId="10">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Body Text First Indent 2"/>
    <w:basedOn w:val="7"/>
    <w:unhideWhenUsed/>
    <w:qFormat/>
    <w:uiPriority w:val="99"/>
    <w:pPr>
      <w:ind w:firstLine="420" w:firstLineChars="200"/>
    </w:pPr>
  </w:style>
  <w:style w:type="table" w:styleId="16">
    <w:name w:val="Table Grid"/>
    <w:basedOn w:val="15"/>
    <w:unhideWhenUsed/>
    <w:qFormat/>
    <w:uiPriority w:val="9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character" w:customStyle="1" w:styleId="20">
    <w:name w:val="Header Char"/>
    <w:basedOn w:val="17"/>
    <w:semiHidden/>
    <w:qFormat/>
    <w:uiPriority w:val="99"/>
    <w:rPr>
      <w:rFonts w:ascii="Times New Roman" w:hAnsi="Times New Roman"/>
      <w:sz w:val="18"/>
      <w:szCs w:val="18"/>
    </w:rPr>
  </w:style>
  <w:style w:type="character" w:customStyle="1" w:styleId="21">
    <w:name w:val="页眉 Char"/>
    <w:link w:val="11"/>
    <w:semiHidden/>
    <w:qFormat/>
    <w:locked/>
    <w:uiPriority w:val="99"/>
    <w:rPr>
      <w:sz w:val="18"/>
    </w:rPr>
  </w:style>
  <w:style w:type="character" w:customStyle="1" w:styleId="22">
    <w:name w:val="Footer Char"/>
    <w:basedOn w:val="17"/>
    <w:semiHidden/>
    <w:qFormat/>
    <w:uiPriority w:val="99"/>
    <w:rPr>
      <w:rFonts w:ascii="Times New Roman" w:hAnsi="Times New Roman"/>
      <w:sz w:val="18"/>
      <w:szCs w:val="18"/>
    </w:rPr>
  </w:style>
  <w:style w:type="character" w:customStyle="1" w:styleId="23">
    <w:name w:val="页脚 Char"/>
    <w:link w:val="10"/>
    <w:qFormat/>
    <w:locked/>
    <w:uiPriority w:val="99"/>
    <w:rPr>
      <w:sz w:val="18"/>
    </w:rPr>
  </w:style>
  <w:style w:type="character" w:customStyle="1" w:styleId="24">
    <w:name w:val="Body Text Char"/>
    <w:basedOn w:val="17"/>
    <w:semiHidden/>
    <w:qFormat/>
    <w:uiPriority w:val="99"/>
    <w:rPr>
      <w:rFonts w:ascii="Times New Roman" w:hAnsi="Times New Roman"/>
      <w:szCs w:val="24"/>
    </w:rPr>
  </w:style>
  <w:style w:type="character" w:customStyle="1" w:styleId="25">
    <w:name w:val="正文文本 Char"/>
    <w:link w:val="6"/>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7"/>
    <w:link w:val="3"/>
    <w:qFormat/>
    <w:uiPriority w:val="9"/>
    <w:rPr>
      <w:rFonts w:ascii="Times New Roman" w:hAnsi="Times New Roman"/>
      <w:b/>
      <w:bCs/>
      <w:kern w:val="44"/>
      <w:sz w:val="44"/>
      <w:szCs w:val="44"/>
    </w:rPr>
  </w:style>
  <w:style w:type="character" w:customStyle="1" w:styleId="29">
    <w:name w:val="标题 2 Char"/>
    <w:basedOn w:val="17"/>
    <w:link w:val="4"/>
    <w:qFormat/>
    <w:uiPriority w:val="9"/>
    <w:rPr>
      <w:rFonts w:asciiTheme="majorHAnsi" w:hAnsiTheme="majorHAnsi" w:eastAsiaTheme="majorEastAsia" w:cstheme="majorBidi"/>
      <w:b/>
      <w:bCs/>
      <w:kern w:val="2"/>
      <w:sz w:val="32"/>
      <w:szCs w:val="32"/>
    </w:r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7"/>
    <w:link w:val="9"/>
    <w:semiHidden/>
    <w:qFormat/>
    <w:uiPriority w:val="99"/>
    <w:rPr>
      <w:rFonts w:ascii="Times New Roman" w:hAnsi="Times New Roman"/>
      <w:kern w:val="2"/>
      <w:sz w:val="18"/>
      <w:szCs w:val="18"/>
    </w:rPr>
  </w:style>
  <w:style w:type="character" w:customStyle="1" w:styleId="32">
    <w:name w:val="标题 3 Char"/>
    <w:basedOn w:val="17"/>
    <w:link w:val="5"/>
    <w:qFormat/>
    <w:uiPriority w:val="9"/>
    <w:rPr>
      <w:rFonts w:ascii="Times New Roman" w:hAnsi="Times New Roman"/>
      <w:b/>
      <w:bCs/>
      <w:kern w:val="2"/>
      <w:sz w:val="32"/>
      <w:szCs w:val="32"/>
    </w:rPr>
  </w:style>
  <w:style w:type="paragraph" w:customStyle="1" w:styleId="33">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1"/>
    <c:plotArea>
      <c:layout>
        <c:manualLayout>
          <c:layoutTarget val="inner"/>
          <c:xMode val="edge"/>
          <c:yMode val="edge"/>
          <c:x val="0.0740206275837296"/>
          <c:y val="0.0624191090302068"/>
          <c:w val="0.663789350642351"/>
          <c:h val="0.816583132892412"/>
        </c:manualLayout>
      </c:layout>
      <c:barChart>
        <c:barDir val="col"/>
        <c:grouping val="clustered"/>
        <c:varyColors val="0"/>
        <c:ser>
          <c:idx val="0"/>
          <c:order val="0"/>
          <c:tx>
            <c:strRef>
              <c:f>Sheet1!$B$4</c:f>
              <c:strCache>
                <c:ptCount val="1"/>
                <c:pt idx="0">
                  <c:v>2023年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Sheet1!$A$5:$A$6</c:f>
              <c:strCache>
                <c:ptCount val="2"/>
                <c:pt idx="0">
                  <c:v>收入总计（万元）</c:v>
                </c:pt>
                <c:pt idx="1">
                  <c:v>支出总计（万元）</c:v>
                </c:pt>
              </c:strCache>
            </c:strRef>
          </c:cat>
          <c:val>
            <c:numRef>
              <c:f>Sheet1!$B$5:$B$6</c:f>
              <c:numCache>
                <c:formatCode>General</c:formatCode>
                <c:ptCount val="2"/>
                <c:pt idx="0">
                  <c:v>349.89</c:v>
                </c:pt>
                <c:pt idx="1">
                  <c:v>349.89</c:v>
                </c:pt>
              </c:numCache>
            </c:numRef>
          </c:val>
        </c:ser>
        <c:ser>
          <c:idx val="1"/>
          <c:order val="1"/>
          <c:tx>
            <c:strRef>
              <c:f>Sheet1!$C$4</c:f>
              <c:strCache>
                <c:ptCount val="1"/>
                <c:pt idx="0">
                  <c:v>2022年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Sheet1!$A$5:$A$6</c:f>
              <c:strCache>
                <c:ptCount val="2"/>
                <c:pt idx="0">
                  <c:v>收入总计（万元）</c:v>
                </c:pt>
                <c:pt idx="1">
                  <c:v>支出总计（万元）</c:v>
                </c:pt>
              </c:strCache>
            </c:strRef>
          </c:cat>
          <c:val>
            <c:numRef>
              <c:f>Sheet1!$C$5:$C$6</c:f>
              <c:numCache>
                <c:formatCode>General</c:formatCode>
                <c:ptCount val="2"/>
                <c:pt idx="0">
                  <c:v>290.86</c:v>
                </c:pt>
                <c:pt idx="1">
                  <c:v>290.86</c:v>
                </c:pt>
              </c:numCache>
            </c:numRef>
          </c:val>
        </c:ser>
        <c:dLbls>
          <c:showLegendKey val="0"/>
          <c:showVal val="1"/>
          <c:showCatName val="0"/>
          <c:showSerName val="0"/>
          <c:showPercent val="0"/>
          <c:showBubbleSize val="0"/>
        </c:dLbls>
        <c:gapWidth val="150"/>
        <c:axId val="125482880"/>
        <c:axId val="125484416"/>
      </c:barChart>
      <c:catAx>
        <c:axId val="125482880"/>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25484416"/>
        <c:crosses val="autoZero"/>
        <c:auto val="1"/>
        <c:lblAlgn val="ctr"/>
        <c:lblOffset val="100"/>
        <c:noMultiLvlLbl val="0"/>
      </c:catAx>
      <c:valAx>
        <c:axId val="125484416"/>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25482880"/>
        <c:crosses val="autoZero"/>
        <c:crossBetween val="between"/>
      </c:valAx>
    </c:plotArea>
    <c:legend>
      <c:legendPos val="r"/>
      <c:layout>
        <c:manualLayout>
          <c:xMode val="edge"/>
          <c:yMode val="edge"/>
          <c:x val="0.762090319427963"/>
          <c:y val="0.487258075591421"/>
          <c:w val="0.235481646451849"/>
          <c:h val="0.149474308360852"/>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693957299304389"/>
          <c:y val="0.100473651520238"/>
          <c:w val="0.505066260460379"/>
          <c:h val="0.778339786863612"/>
        </c:manualLayout>
      </c:layout>
      <c:pieChart>
        <c:varyColors val="1"/>
        <c:ser>
          <c:idx val="0"/>
          <c:order val="0"/>
          <c:tx>
            <c:strRef>
              <c:f>Sheet1!$B$1</c:f>
              <c:strCache>
                <c:ptCount val="1"/>
                <c:pt idx="0">
                  <c:v>收入决算结构图</c:v>
                </c:pt>
              </c:strCache>
            </c:strRef>
          </c:tx>
          <c:explosion val="0"/>
          <c:dPt>
            <c:idx val="0"/>
            <c:bubble3D val="0"/>
            <c:explosion val="2"/>
          </c:dPt>
          <c:dPt>
            <c:idx val="1"/>
            <c:bubble3D val="0"/>
          </c:dPt>
          <c:dPt>
            <c:idx val="2"/>
            <c:bubble3D val="0"/>
          </c:dPt>
          <c:dPt>
            <c:idx val="3"/>
            <c:bubble3D val="0"/>
          </c:dPt>
          <c:dPt>
            <c:idx val="4"/>
            <c:bubble3D val="0"/>
          </c:dPt>
          <c:dPt>
            <c:idx val="5"/>
            <c:bubble3D val="0"/>
          </c:dPt>
          <c:dPt>
            <c:idx val="6"/>
            <c:bubble3D val="0"/>
          </c:dPt>
          <c:dPt>
            <c:idx val="7"/>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Sheet1!$A$2:$A$9</c:f>
              <c:strCache>
                <c:ptCount val="8"/>
                <c:pt idx="0">
                  <c:v>一般公共预算财政拨款收入</c:v>
                </c:pt>
                <c:pt idx="1">
                  <c:v>政府性基金预算财政拨款收入</c:v>
                </c:pt>
                <c:pt idx="2">
                  <c:v>国有资本经营预算财政拨款收入</c:v>
                </c:pt>
                <c:pt idx="3">
                  <c:v>上级补助收入</c:v>
                </c:pt>
                <c:pt idx="4">
                  <c:v>事业收入</c:v>
                </c:pt>
                <c:pt idx="5">
                  <c:v>经营收入</c:v>
                </c:pt>
                <c:pt idx="6">
                  <c:v>附属单位上缴收入</c:v>
                </c:pt>
                <c:pt idx="7">
                  <c:v>其他收入</c:v>
                </c:pt>
              </c:strCache>
            </c:strRef>
          </c:cat>
          <c:val>
            <c:numRef>
              <c:f>Sheet1!$B$2:$B$9</c:f>
              <c:numCache>
                <c:formatCode>General</c:formatCode>
                <c:ptCount val="8"/>
                <c:pt idx="0">
                  <c:v>348.28</c:v>
                </c:pt>
                <c:pt idx="1">
                  <c:v>0</c:v>
                </c:pt>
                <c:pt idx="2">
                  <c:v>0</c:v>
                </c:pt>
                <c:pt idx="3">
                  <c:v>0</c:v>
                </c:pt>
                <c:pt idx="4">
                  <c:v>0</c:v>
                </c:pt>
                <c:pt idx="5">
                  <c:v>0</c:v>
                </c:pt>
                <c:pt idx="6">
                  <c:v>0</c:v>
                </c:pt>
                <c:pt idx="7">
                  <c:v>0</c:v>
                </c:pt>
              </c:numCache>
            </c:numRef>
          </c:val>
        </c:ser>
        <c:ser>
          <c:idx val="1"/>
          <c:order val="1"/>
          <c:explosion val="0"/>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Lbls>
            <c:delete val="1"/>
          </c:dLbls>
          <c:cat>
            <c:strRef>
              <c:f>Sheet1!$A$2:$A$9</c:f>
              <c:strCache>
                <c:ptCount val="8"/>
                <c:pt idx="0">
                  <c:v>一般公共预算财政拨款收入</c:v>
                </c:pt>
                <c:pt idx="1">
                  <c:v>政府性基金预算财政拨款收入</c:v>
                </c:pt>
                <c:pt idx="2">
                  <c:v>国有资本经营预算财政拨款收入</c:v>
                </c:pt>
                <c:pt idx="3">
                  <c:v>上级补助收入</c:v>
                </c:pt>
                <c:pt idx="4">
                  <c:v>事业收入</c:v>
                </c:pt>
                <c:pt idx="5">
                  <c:v>经营收入</c:v>
                </c:pt>
                <c:pt idx="6">
                  <c:v>附属单位上缴收入</c:v>
                </c:pt>
                <c:pt idx="7">
                  <c:v>其他收入</c:v>
                </c:pt>
              </c:strCache>
            </c:strRef>
          </c:cat>
          <c:val>
            <c:numRef>
              <c:f>Sheet1!$C$2:$C$9</c:f>
              <c:numCache>
                <c:formatCode>0%</c:formatCode>
                <c:ptCount val="8"/>
                <c:pt idx="0">
                  <c:v>1</c:v>
                </c:pt>
                <c:pt idx="1" c:formatCode="General">
                  <c:v>0</c:v>
                </c:pt>
                <c:pt idx="2" c:formatCode="General">
                  <c:v>0</c:v>
                </c:pt>
                <c:pt idx="3" c:formatCode="General">
                  <c:v>0</c:v>
                </c:pt>
                <c:pt idx="4" c:formatCode="General">
                  <c:v>0</c:v>
                </c:pt>
                <c:pt idx="5" c:formatCode="General">
                  <c:v>0</c:v>
                </c:pt>
                <c:pt idx="6" c:formatCode="General">
                  <c:v>0</c:v>
                </c:pt>
                <c:pt idx="7" c:formatCode="General">
                  <c:v>0</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pieChart>
        <c:varyColors val="1"/>
        <c:ser>
          <c:idx val="0"/>
          <c:order val="0"/>
          <c:tx>
            <c:strRef>
              <c:f>Sheet1!$B$1</c:f>
              <c:strCache>
                <c:ptCount val="1"/>
                <c:pt idx="0">
                  <c:v>支出决算结构图</c:v>
                </c:pt>
              </c:strCache>
            </c:strRef>
          </c:tx>
          <c:explosion val="0"/>
          <c:dPt>
            <c:idx val="0"/>
            <c:bubble3D val="0"/>
          </c:dPt>
          <c:dPt>
            <c:idx val="1"/>
            <c:bubble3D val="0"/>
          </c:dPt>
          <c:dPt>
            <c:idx val="2"/>
            <c:bubble3D val="0"/>
          </c:dPt>
          <c:dPt>
            <c:idx val="3"/>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dk1"/>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Sheet1!$A$2:$A$5</c:f>
              <c:strCache>
                <c:ptCount val="4"/>
                <c:pt idx="0">
                  <c:v>基本支出</c:v>
                </c:pt>
                <c:pt idx="1">
                  <c:v>项目支出</c:v>
                </c:pt>
                <c:pt idx="2">
                  <c:v>上缴上级支出</c:v>
                </c:pt>
                <c:pt idx="3">
                  <c:v>对附属单位补助支出</c:v>
                </c:pt>
              </c:strCache>
            </c:strRef>
          </c:cat>
          <c:val>
            <c:numRef>
              <c:f>Sheet1!$B$2:$B$5</c:f>
              <c:numCache>
                <c:formatCode>General</c:formatCode>
                <c:ptCount val="4"/>
                <c:pt idx="0">
                  <c:v>349.89</c:v>
                </c:pt>
                <c:pt idx="1">
                  <c:v>0</c:v>
                </c:pt>
                <c:pt idx="2">
                  <c:v>0</c:v>
                </c:pt>
                <c:pt idx="3">
                  <c:v>0</c:v>
                </c:pt>
              </c:numCache>
            </c:numRef>
          </c:val>
        </c:ser>
        <c:dLbls>
          <c:showLegendKey val="0"/>
          <c:showVal val="0"/>
          <c:showCatName val="0"/>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dk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1"/>
    <c:plotArea>
      <c:layout>
        <c:manualLayout>
          <c:layoutTarget val="inner"/>
          <c:xMode val="edge"/>
          <c:yMode val="edge"/>
          <c:x val="0.10558507114618"/>
          <c:y val="0.0624191090302068"/>
          <c:w val="0.663789350642351"/>
          <c:h val="0.816583132892412"/>
        </c:manualLayout>
      </c:layout>
      <c:barChart>
        <c:barDir val="col"/>
        <c:grouping val="clustered"/>
        <c:varyColors val="0"/>
        <c:ser>
          <c:idx val="0"/>
          <c:order val="0"/>
          <c:tx>
            <c:strRef>
              <c:f>Sheet1!$B$4</c:f>
              <c:strCache>
                <c:ptCount val="1"/>
                <c:pt idx="0">
                  <c:v>2023年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Sheet1!$A$5:$A$6</c:f>
              <c:strCache>
                <c:ptCount val="2"/>
                <c:pt idx="0">
                  <c:v>收入总计（万元）</c:v>
                </c:pt>
                <c:pt idx="1">
                  <c:v>支出总计（万元）</c:v>
                </c:pt>
              </c:strCache>
            </c:strRef>
          </c:cat>
          <c:val>
            <c:numRef>
              <c:f>Sheet1!$B$5:$B$6</c:f>
              <c:numCache>
                <c:formatCode>General</c:formatCode>
                <c:ptCount val="2"/>
                <c:pt idx="0">
                  <c:v>349.89</c:v>
                </c:pt>
                <c:pt idx="1">
                  <c:v>349.89</c:v>
                </c:pt>
              </c:numCache>
            </c:numRef>
          </c:val>
        </c:ser>
        <c:ser>
          <c:idx val="1"/>
          <c:order val="1"/>
          <c:tx>
            <c:strRef>
              <c:f>Sheet1!$C$4</c:f>
              <c:strCache>
                <c:ptCount val="1"/>
                <c:pt idx="0">
                  <c:v>2022年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Sheet1!$A$5:$A$6</c:f>
              <c:strCache>
                <c:ptCount val="2"/>
                <c:pt idx="0">
                  <c:v>收入总计（万元）</c:v>
                </c:pt>
                <c:pt idx="1">
                  <c:v>支出总计（万元）</c:v>
                </c:pt>
              </c:strCache>
            </c:strRef>
          </c:cat>
          <c:val>
            <c:numRef>
              <c:f>Sheet1!$C$5:$C$6</c:f>
              <c:numCache>
                <c:formatCode>General</c:formatCode>
                <c:ptCount val="2"/>
                <c:pt idx="0">
                  <c:v>290.86</c:v>
                </c:pt>
                <c:pt idx="1">
                  <c:v>290.86</c:v>
                </c:pt>
              </c:numCache>
            </c:numRef>
          </c:val>
        </c:ser>
        <c:dLbls>
          <c:showLegendKey val="0"/>
          <c:showVal val="1"/>
          <c:showCatName val="0"/>
          <c:showSerName val="0"/>
          <c:showPercent val="0"/>
          <c:showBubbleSize val="0"/>
        </c:dLbls>
        <c:gapWidth val="150"/>
        <c:axId val="126629376"/>
        <c:axId val="126630912"/>
      </c:barChart>
      <c:catAx>
        <c:axId val="126629376"/>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26630912"/>
        <c:crosses val="autoZero"/>
        <c:auto val="1"/>
        <c:lblAlgn val="ctr"/>
        <c:lblOffset val="100"/>
        <c:noMultiLvlLbl val="0"/>
      </c:catAx>
      <c:valAx>
        <c:axId val="12663091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26629376"/>
        <c:crosses val="autoZero"/>
        <c:crossBetween val="between"/>
      </c:valAx>
    </c:plotArea>
    <c:legend>
      <c:legendPos val="r"/>
      <c:layout>
        <c:manualLayout>
          <c:xMode val="edge"/>
          <c:yMode val="edge"/>
          <c:x val="0.762090319427963"/>
          <c:y val="0.487258075591421"/>
          <c:w val="0.235481646451849"/>
          <c:h val="0.149474308360852"/>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1"/>
    <c:plotArea>
      <c:layout/>
      <c:barChart>
        <c:barDir val="col"/>
        <c:grouping val="clustered"/>
        <c:varyColors val="0"/>
        <c:ser>
          <c:idx val="0"/>
          <c:order val="0"/>
          <c:tx>
            <c:strRef>
              <c:f>Sheet1!$B$1</c:f>
              <c:strCache>
                <c:ptCount val="1"/>
                <c:pt idx="0">
                  <c:v>2023年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c:f>
              <c:strCache>
                <c:ptCount val="1"/>
                <c:pt idx="0">
                  <c:v>支出决算（万元）</c:v>
                </c:pt>
              </c:strCache>
            </c:strRef>
          </c:cat>
          <c:val>
            <c:numRef>
              <c:f>Sheet1!$B$2</c:f>
              <c:numCache>
                <c:formatCode>General</c:formatCode>
                <c:ptCount val="1"/>
                <c:pt idx="0">
                  <c:v>349.89</c:v>
                </c:pt>
              </c:numCache>
            </c:numRef>
          </c:val>
        </c:ser>
        <c:ser>
          <c:idx val="1"/>
          <c:order val="1"/>
          <c:tx>
            <c:strRef>
              <c:f>Sheet1!$C$1</c:f>
              <c:strCache>
                <c:ptCount val="1"/>
                <c:pt idx="0">
                  <c:v>2022年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c:f>
              <c:strCache>
                <c:ptCount val="1"/>
                <c:pt idx="0">
                  <c:v>支出决算（万元）</c:v>
                </c:pt>
              </c:strCache>
            </c:strRef>
          </c:cat>
          <c:val>
            <c:numRef>
              <c:f>Sheet1!$C$2</c:f>
              <c:numCache>
                <c:formatCode>General</c:formatCode>
                <c:ptCount val="1"/>
                <c:pt idx="0">
                  <c:v>290.86</c:v>
                </c:pt>
              </c:numCache>
            </c:numRef>
          </c:val>
        </c:ser>
        <c:dLbls>
          <c:showLegendKey val="0"/>
          <c:showVal val="1"/>
          <c:showCatName val="0"/>
          <c:showSerName val="0"/>
          <c:showPercent val="0"/>
          <c:showBubbleSize val="0"/>
        </c:dLbls>
        <c:gapWidth val="150"/>
        <c:axId val="126828928"/>
        <c:axId val="126830464"/>
      </c:barChart>
      <c:catAx>
        <c:axId val="126828928"/>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26830464"/>
        <c:crosses val="autoZero"/>
        <c:auto val="1"/>
        <c:lblAlgn val="ctr"/>
        <c:lblOffset val="100"/>
        <c:noMultiLvlLbl val="0"/>
      </c:catAx>
      <c:valAx>
        <c:axId val="12683046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26828928"/>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11"/>
    </mc:Choice>
    <mc:Fallback>
      <c:style val="11"/>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一般公共预算财政拨款支出决算结构</c:v>
                </c:pt>
              </c:strCache>
            </c:strRef>
          </c:tx>
          <c:explosion val="0"/>
          <c:dPt>
            <c:idx val="0"/>
            <c:bubble3D val="0"/>
          </c:dPt>
          <c:dPt>
            <c:idx val="1"/>
            <c:bubble3D val="0"/>
          </c:dPt>
          <c:dPt>
            <c:idx val="2"/>
            <c:bubble3D val="0"/>
          </c:dPt>
          <c:dPt>
            <c:idx val="3"/>
            <c:bubble3D val="0"/>
          </c:dPt>
          <c:dLbls>
            <c:dLbl>
              <c:idx val="0"/>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en-US"/>
                      <a:t>22.13%</a:t>
                    </a:r>
                    <a:endParaRPr lang="en-US" altLang="en-US"/>
                  </a:p>
                </c:rich>
              </c:tx>
              <c:dLblPos val="bestFit"/>
              <c:showLegendKey val="0"/>
              <c:showVal val="1"/>
              <c:showCatName val="0"/>
              <c:showSerName val="0"/>
              <c:showPercent val="1"/>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en-US"/>
                      <a:t>2.99%</a:t>
                    </a:r>
                    <a:endParaRPr lang="en-US" altLang="en-US"/>
                  </a:p>
                </c:rich>
              </c:tx>
              <c:dLblPos val="bestFit"/>
              <c:showLegendKey val="0"/>
              <c:showVal val="1"/>
              <c:showCatName val="0"/>
              <c:showSerName val="0"/>
              <c:showPercent val="1"/>
              <c:showBubbleSize val="0"/>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en-US"/>
                      <a:t>68.38%</a:t>
                    </a:r>
                    <a:endParaRPr lang="en-US" altLang="en-US"/>
                  </a:p>
                </c:rich>
              </c:tx>
              <c:dLblPos val="bestFit"/>
              <c:showLegendKey val="0"/>
              <c:showVal val="1"/>
              <c:showCatName val="0"/>
              <c:showSerName val="0"/>
              <c:showPercent val="1"/>
              <c:showBubbleSize val="0"/>
              <c:extLst>
                <c:ext xmlns:c15="http://schemas.microsoft.com/office/drawing/2012/chart" uri="{CE6537A1-D6FC-4f65-9D91-7224C49458BB}"/>
              </c:extLst>
            </c:dLbl>
            <c:dLbl>
              <c:idx val="3"/>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en-US"/>
                      <a:t>6.5%</a:t>
                    </a:r>
                    <a:endParaRPr lang="en-US" altLang="en-US"/>
                  </a:p>
                </c:rich>
              </c:tx>
              <c:dLblPos val="bestFit"/>
              <c:showLegendKey val="0"/>
              <c:showVal val="1"/>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Sheet1!$A$2:$A$5</c:f>
              <c:strCache>
                <c:ptCount val="4"/>
                <c:pt idx="0">
                  <c:v>社会保障和就业支出</c:v>
                </c:pt>
                <c:pt idx="1">
                  <c:v>卫生健康支出</c:v>
                </c:pt>
                <c:pt idx="2">
                  <c:v>农林水支出</c:v>
                </c:pt>
                <c:pt idx="3">
                  <c:v>农林水支出</c:v>
                </c:pt>
              </c:strCache>
            </c:strRef>
          </c:cat>
          <c:val>
            <c:numRef>
              <c:f>Sheet1!$B$2:$B$5</c:f>
              <c:numCache>
                <c:formatCode>General</c:formatCode>
                <c:ptCount val="4"/>
                <c:pt idx="0">
                  <c:v>22.13</c:v>
                </c:pt>
                <c:pt idx="1">
                  <c:v>2.99</c:v>
                </c:pt>
                <c:pt idx="2">
                  <c:v>68.38</c:v>
                </c:pt>
                <c:pt idx="3">
                  <c:v>6.5</c:v>
                </c:pt>
              </c:numCache>
            </c:numRef>
          </c:val>
        </c:ser>
        <c:dLbls>
          <c:showLegendKey val="0"/>
          <c:showVal val="1"/>
          <c:showCatName val="0"/>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explosion val="0"/>
          <c:dPt>
            <c:idx val="0"/>
            <c:bubble3D val="0"/>
          </c:dPt>
          <c:dPt>
            <c:idx val="1"/>
            <c:bubble3D val="0"/>
          </c:dPt>
          <c:dPt>
            <c:idx val="2"/>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Sheet1!$A$2:$A$4</c:f>
              <c:strCache>
                <c:ptCount val="3"/>
                <c:pt idx="0">
                  <c:v>公务接待费支出决算</c:v>
                </c:pt>
                <c:pt idx="1">
                  <c:v>公务用车购置及运行维护费支出决算</c:v>
                </c:pt>
                <c:pt idx="2">
                  <c:v>因公出国（境）费支出决算</c:v>
                </c:pt>
              </c:strCache>
            </c:strRef>
          </c:cat>
          <c:val>
            <c:numRef>
              <c:f>Sheet1!$B$2:$B$4</c:f>
              <c:numCache>
                <c:formatCode>General</c:formatCode>
                <c:ptCount val="3"/>
                <c:pt idx="0">
                  <c:v>0.2</c:v>
                </c:pt>
                <c:pt idx="1">
                  <c:v>0</c:v>
                </c:pt>
                <c:pt idx="2">
                  <c:v>0</c:v>
                </c:pt>
              </c:numCache>
            </c:numRef>
          </c:val>
        </c:ser>
        <c:dLbls>
          <c:showLegendKey val="0"/>
          <c:showVal val="0"/>
          <c:showCatName val="0"/>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B4887-86FE-4D9D-8834-E20B74891406}">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27</Pages>
  <Words>9523</Words>
  <Characters>11104</Characters>
  <Lines>84</Lines>
  <Paragraphs>23</Paragraphs>
  <TotalTime>9</TotalTime>
  <ScaleCrop>false</ScaleCrop>
  <LinksUpToDate>false</LinksUpToDate>
  <CharactersWithSpaces>11219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2024-10-22T02:37:00Z</dcterms:created>
  <dc:creator>曹颖</dc:creator>
  <cp:lastModifiedBy>若愚</cp:lastModifiedBy>
  <cp:lastPrinted>2023-08-03T02:35:00Z</cp:lastPrinted>
  <dcterms:modified xsi:type="dcterms:W3CDTF">2024-10-22T09:04:04Z</dcterms:modified>
  <dc:title>四川省***</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9F4ACC5E07534479BC80A9BA3DCA4054_13</vt:lpwstr>
  </property>
</Properties>
</file>