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A8B20">
      <w:pPr>
        <w:spacing w:line="600" w:lineRule="exact"/>
        <w:jc w:val="left"/>
        <w:outlineLvl w:val="0"/>
        <w:rPr>
          <w:rFonts w:ascii="方正小标宋简体" w:hAnsi="宋体" w:eastAsia="方正小标宋简体"/>
          <w:szCs w:val="21"/>
        </w:rPr>
      </w:pPr>
      <w:bookmarkStart w:id="0" w:name="_Toc15306267"/>
    </w:p>
    <w:p w14:paraId="01080B2E">
      <w:pPr>
        <w:pStyle w:val="5"/>
        <w:spacing w:before="93"/>
      </w:pPr>
    </w:p>
    <w:p w14:paraId="360D2A9A">
      <w:pPr>
        <w:spacing w:line="600" w:lineRule="exact"/>
        <w:jc w:val="center"/>
        <w:outlineLvl w:val="0"/>
        <w:rPr>
          <w:rFonts w:ascii="方正小标宋简体" w:hAnsi="宋体" w:eastAsia="方正小标宋简体"/>
          <w:sz w:val="72"/>
          <w:szCs w:val="72"/>
        </w:rPr>
      </w:pPr>
    </w:p>
    <w:p w14:paraId="22B4E3A8">
      <w:pPr>
        <w:spacing w:line="600" w:lineRule="exact"/>
        <w:jc w:val="center"/>
        <w:outlineLvl w:val="0"/>
        <w:rPr>
          <w:rFonts w:ascii="方正小标宋简体" w:hAnsi="宋体" w:eastAsia="方正小标宋简体"/>
          <w:sz w:val="72"/>
          <w:szCs w:val="72"/>
        </w:rPr>
      </w:pPr>
    </w:p>
    <w:p w14:paraId="2256F7B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475"/>
      <w:bookmarkStart w:id="3" w:name="_Toc15377425"/>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1E50293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426"/>
      <w:bookmarkStart w:id="8" w:name="_Toc15378442"/>
      <w:bookmarkStart w:id="9" w:name="_Toc15377194"/>
      <w:bookmarkStart w:id="10" w:name="_Toc15306268"/>
      <w:bookmarkStart w:id="11" w:name="_Toc15396598"/>
      <w:r>
        <w:rPr>
          <w:rFonts w:hint="eastAsia" w:ascii="方正小标宋简体" w:hAnsi="方正小标宋简体" w:eastAsia="方正小标宋简体" w:cs="方正小标宋简体"/>
          <w:sz w:val="72"/>
          <w:szCs w:val="72"/>
          <w:lang w:val="en-US" w:eastAsia="zh-CN"/>
        </w:rPr>
        <w:t>大竹县救助管理站</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3C123EB6">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A4062F2">
      <w:pPr>
        <w:widowControl/>
        <w:jc w:val="center"/>
        <w:rPr>
          <w:rFonts w:ascii="黑体" w:hAnsi="黑体" w:eastAsia="黑体" w:cstheme="minorBidi"/>
          <w:sz w:val="28"/>
          <w:szCs w:val="28"/>
        </w:rPr>
      </w:pPr>
    </w:p>
    <w:p w14:paraId="7F5F1AF1">
      <w:pPr>
        <w:pStyle w:val="11"/>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p>
    <w:p w14:paraId="396C3C5F"/>
    <w:p w14:paraId="7691EDDF">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42E9191B">
      <w:pPr>
        <w:pStyle w:val="12"/>
        <w:adjustRightInd w:val="0"/>
        <w:snapToGrid w:val="0"/>
        <w:spacing w:line="440" w:lineRule="exact"/>
        <w:jc w:val="left"/>
        <w:rPr>
          <w:sz w:val="24"/>
        </w:rPr>
      </w:pPr>
      <w:r>
        <w:rPr>
          <w:rFonts w:hint="eastAsia"/>
          <w:sz w:val="24"/>
        </w:rPr>
        <w:t>一、主要职责</w:t>
      </w:r>
    </w:p>
    <w:p w14:paraId="17ED92DF">
      <w:pPr>
        <w:pStyle w:val="12"/>
        <w:adjustRightInd w:val="0"/>
        <w:snapToGrid w:val="0"/>
        <w:spacing w:line="440" w:lineRule="exact"/>
        <w:jc w:val="left"/>
      </w:pPr>
      <w:r>
        <w:rPr>
          <w:rFonts w:hint="eastAsia"/>
          <w:sz w:val="24"/>
        </w:rPr>
        <w:t>二、机构设置</w:t>
      </w:r>
    </w:p>
    <w:p w14:paraId="73CC36CA">
      <w:pPr>
        <w:pStyle w:val="11"/>
        <w:adjustRightInd w:val="0"/>
        <w:snapToGrid w:val="0"/>
        <w:spacing w:before="0" w:line="440" w:lineRule="exact"/>
        <w:jc w:val="left"/>
        <w:rPr>
          <w:sz w:val="24"/>
          <w:szCs w:val="24"/>
        </w:rPr>
      </w:pPr>
      <w:r>
        <w:rPr>
          <w:rFonts w:hint="eastAsia"/>
          <w:sz w:val="24"/>
        </w:rPr>
        <w:t>第二部分 2023年度单位决算情况说明</w:t>
      </w:r>
    </w:p>
    <w:p w14:paraId="1A2B95CB">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412A99FA">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4B7821E0">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297CF6B7">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35B88C79">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77FBFAFB">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738B0786">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0C9F03A0">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7BC79037">
      <w:pPr>
        <w:pStyle w:val="12"/>
        <w:adjustRightInd w:val="0"/>
        <w:snapToGrid w:val="0"/>
        <w:spacing w:line="440" w:lineRule="exact"/>
        <w:jc w:val="left"/>
        <w:rPr>
          <w:sz w:val="24"/>
        </w:rPr>
      </w:pPr>
      <w:r>
        <w:rPr>
          <w:rFonts w:hint="eastAsia"/>
          <w:sz w:val="24"/>
        </w:rPr>
        <w:t>九、国有资本经营预算支出决算情况说明</w:t>
      </w:r>
    </w:p>
    <w:p w14:paraId="1866B51A">
      <w:pPr>
        <w:pStyle w:val="12"/>
        <w:adjustRightInd w:val="0"/>
        <w:snapToGrid w:val="0"/>
        <w:spacing w:line="440" w:lineRule="exact"/>
        <w:jc w:val="left"/>
        <w:rPr>
          <w:sz w:val="24"/>
        </w:rPr>
      </w:pPr>
      <w:r>
        <w:rPr>
          <w:rFonts w:hint="eastAsia"/>
          <w:sz w:val="24"/>
        </w:rPr>
        <w:t>十、其他重要事项的情况说明</w:t>
      </w:r>
    </w:p>
    <w:p w14:paraId="6DBBA3A2">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3EE29D67">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34DD290B">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36F8CB48">
      <w:pPr>
        <w:pStyle w:val="12"/>
        <w:adjustRightInd w:val="0"/>
        <w:snapToGrid w:val="0"/>
        <w:spacing w:line="440" w:lineRule="exact"/>
        <w:jc w:val="left"/>
        <w:rPr>
          <w:sz w:val="24"/>
        </w:rPr>
      </w:pPr>
      <w:r>
        <w:rPr>
          <w:rFonts w:hint="eastAsia"/>
          <w:sz w:val="24"/>
        </w:rPr>
        <w:t>一、收入支出决算总表</w:t>
      </w:r>
    </w:p>
    <w:p w14:paraId="2CC952BE">
      <w:pPr>
        <w:pStyle w:val="12"/>
        <w:adjustRightInd w:val="0"/>
        <w:snapToGrid w:val="0"/>
        <w:spacing w:line="440" w:lineRule="exact"/>
        <w:jc w:val="left"/>
        <w:rPr>
          <w:sz w:val="24"/>
        </w:rPr>
      </w:pPr>
      <w:r>
        <w:rPr>
          <w:rFonts w:hint="eastAsia"/>
          <w:sz w:val="24"/>
        </w:rPr>
        <w:t>二、收入决算表</w:t>
      </w:r>
    </w:p>
    <w:p w14:paraId="321868BD">
      <w:pPr>
        <w:pStyle w:val="12"/>
        <w:adjustRightInd w:val="0"/>
        <w:snapToGrid w:val="0"/>
        <w:spacing w:line="440" w:lineRule="exact"/>
        <w:jc w:val="left"/>
        <w:rPr>
          <w:sz w:val="24"/>
        </w:rPr>
      </w:pPr>
      <w:r>
        <w:rPr>
          <w:rFonts w:hint="eastAsia"/>
          <w:sz w:val="24"/>
        </w:rPr>
        <w:t>三、支出决算表</w:t>
      </w:r>
    </w:p>
    <w:p w14:paraId="5B719089">
      <w:pPr>
        <w:pStyle w:val="12"/>
        <w:adjustRightInd w:val="0"/>
        <w:snapToGrid w:val="0"/>
        <w:spacing w:line="440" w:lineRule="exact"/>
        <w:jc w:val="left"/>
        <w:rPr>
          <w:sz w:val="24"/>
        </w:rPr>
      </w:pPr>
      <w:r>
        <w:rPr>
          <w:rFonts w:hint="eastAsia"/>
          <w:sz w:val="24"/>
        </w:rPr>
        <w:t>四、财政拨款收入支出决算总表</w:t>
      </w:r>
    </w:p>
    <w:p w14:paraId="56253F77">
      <w:pPr>
        <w:pStyle w:val="12"/>
        <w:adjustRightInd w:val="0"/>
        <w:snapToGrid w:val="0"/>
        <w:spacing w:line="440" w:lineRule="exact"/>
        <w:jc w:val="left"/>
        <w:rPr>
          <w:sz w:val="24"/>
        </w:rPr>
      </w:pPr>
      <w:r>
        <w:rPr>
          <w:rFonts w:hint="eastAsia"/>
          <w:sz w:val="24"/>
        </w:rPr>
        <w:t>五、财政拨款支出决算明细表</w:t>
      </w:r>
    </w:p>
    <w:p w14:paraId="644A08E0">
      <w:pPr>
        <w:pStyle w:val="12"/>
        <w:adjustRightInd w:val="0"/>
        <w:snapToGrid w:val="0"/>
        <w:spacing w:line="440" w:lineRule="exact"/>
        <w:jc w:val="left"/>
        <w:rPr>
          <w:sz w:val="24"/>
        </w:rPr>
      </w:pPr>
      <w:r>
        <w:rPr>
          <w:rFonts w:hint="eastAsia"/>
          <w:sz w:val="24"/>
        </w:rPr>
        <w:t>六、一般公共预算财政拨款支出决算表</w:t>
      </w:r>
    </w:p>
    <w:p w14:paraId="55CBB270">
      <w:pPr>
        <w:pStyle w:val="12"/>
        <w:adjustRightInd w:val="0"/>
        <w:snapToGrid w:val="0"/>
        <w:spacing w:line="440" w:lineRule="exact"/>
        <w:jc w:val="left"/>
        <w:rPr>
          <w:sz w:val="24"/>
        </w:rPr>
      </w:pPr>
      <w:r>
        <w:rPr>
          <w:rFonts w:hint="eastAsia"/>
          <w:sz w:val="24"/>
        </w:rPr>
        <w:t>七、一般公共预算财政拨款支出决算明细表</w:t>
      </w:r>
    </w:p>
    <w:p w14:paraId="3C92725B">
      <w:pPr>
        <w:pStyle w:val="12"/>
        <w:adjustRightInd w:val="0"/>
        <w:snapToGrid w:val="0"/>
        <w:spacing w:line="440" w:lineRule="exact"/>
        <w:jc w:val="left"/>
        <w:rPr>
          <w:sz w:val="24"/>
        </w:rPr>
      </w:pPr>
      <w:r>
        <w:rPr>
          <w:rFonts w:hint="eastAsia"/>
          <w:sz w:val="24"/>
        </w:rPr>
        <w:t>八、一般公共预算财政拨款基本支出决算明细表</w:t>
      </w:r>
    </w:p>
    <w:p w14:paraId="324F56B1">
      <w:pPr>
        <w:pStyle w:val="12"/>
        <w:adjustRightInd w:val="0"/>
        <w:snapToGrid w:val="0"/>
        <w:spacing w:line="440" w:lineRule="exact"/>
        <w:jc w:val="left"/>
        <w:rPr>
          <w:sz w:val="24"/>
        </w:rPr>
      </w:pPr>
      <w:r>
        <w:rPr>
          <w:rFonts w:hint="eastAsia"/>
          <w:sz w:val="24"/>
        </w:rPr>
        <w:t>九、一般公共预算财政拨款项目支出决算表</w:t>
      </w:r>
    </w:p>
    <w:p w14:paraId="33643EAA">
      <w:pPr>
        <w:pStyle w:val="12"/>
        <w:adjustRightInd w:val="0"/>
        <w:snapToGrid w:val="0"/>
        <w:spacing w:line="440" w:lineRule="exact"/>
        <w:jc w:val="left"/>
        <w:rPr>
          <w:sz w:val="24"/>
        </w:rPr>
      </w:pPr>
      <w:r>
        <w:rPr>
          <w:rFonts w:hint="eastAsia"/>
          <w:sz w:val="24"/>
        </w:rPr>
        <w:t>十、政府性基金预算财政拨款收入支出决算表</w:t>
      </w:r>
    </w:p>
    <w:p w14:paraId="23CB3D3D">
      <w:pPr>
        <w:pStyle w:val="12"/>
        <w:adjustRightInd w:val="0"/>
        <w:snapToGrid w:val="0"/>
        <w:spacing w:line="440" w:lineRule="exact"/>
        <w:jc w:val="left"/>
        <w:rPr>
          <w:sz w:val="24"/>
        </w:rPr>
      </w:pPr>
      <w:r>
        <w:rPr>
          <w:rFonts w:hint="eastAsia"/>
          <w:sz w:val="24"/>
        </w:rPr>
        <w:t>十一、国有资本经营预算财政拨款收入支出决算表</w:t>
      </w:r>
    </w:p>
    <w:p w14:paraId="1828DDAD">
      <w:pPr>
        <w:pStyle w:val="12"/>
        <w:adjustRightInd w:val="0"/>
        <w:snapToGrid w:val="0"/>
        <w:spacing w:line="440" w:lineRule="exact"/>
        <w:jc w:val="left"/>
        <w:rPr>
          <w:sz w:val="24"/>
        </w:rPr>
      </w:pPr>
      <w:r>
        <w:rPr>
          <w:rFonts w:hint="eastAsia"/>
          <w:sz w:val="24"/>
        </w:rPr>
        <w:t>十二、国有资本经营预算财政拨款支出决算表</w:t>
      </w:r>
    </w:p>
    <w:p w14:paraId="0F427981">
      <w:pPr>
        <w:pStyle w:val="12"/>
        <w:adjustRightInd w:val="0"/>
        <w:snapToGrid w:val="0"/>
        <w:spacing w:line="440" w:lineRule="exact"/>
        <w:jc w:val="left"/>
        <w:rPr>
          <w:sz w:val="24"/>
        </w:rPr>
      </w:pPr>
      <w:r>
        <w:rPr>
          <w:rFonts w:hint="eastAsia"/>
          <w:sz w:val="24"/>
        </w:rPr>
        <w:t>十三、财政拨款“三公”经费支出决算表</w:t>
      </w:r>
    </w:p>
    <w:p w14:paraId="07970CC7">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10099FAD">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0857D567">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750AF967">
      <w:pPr>
        <w:widowControl/>
        <w:jc w:val="left"/>
        <w:rPr>
          <w:rFonts w:ascii="黑体" w:eastAsia="黑体"/>
          <w:sz w:val="32"/>
          <w:szCs w:val="32"/>
        </w:rPr>
      </w:pPr>
    </w:p>
    <w:p w14:paraId="61ED1E09">
      <w:pPr>
        <w:pStyle w:val="3"/>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Style w:val="33"/>
          <w:rFonts w:hint="eastAsia" w:ascii="黑体" w:hAnsi="黑体" w:eastAsia="黑体"/>
          <w:b w:val="0"/>
          <w:bCs w:val="0"/>
          <w:color w:val="auto"/>
          <w:highlight w:val="none"/>
          <w:lang w:eastAsia="zh-CN"/>
        </w:rPr>
      </w:pPr>
      <w:bookmarkStart w:id="14" w:name="_Toc15396600"/>
      <w:bookmarkStart w:id="15" w:name="_Toc15377197"/>
      <w:r>
        <w:rPr>
          <w:rStyle w:val="33"/>
          <w:rFonts w:hint="eastAsia" w:ascii="黑体" w:hAnsi="黑体" w:eastAsia="黑体"/>
          <w:b w:val="0"/>
          <w:bCs w:val="0"/>
          <w:color w:val="auto"/>
          <w:highlight w:val="none"/>
          <w:lang w:val="en-US" w:eastAsia="zh-CN"/>
        </w:rPr>
        <w:t>一、</w:t>
      </w:r>
      <w:r>
        <w:rPr>
          <w:rStyle w:val="33"/>
          <w:rFonts w:hint="eastAsia" w:ascii="黑体" w:hAnsi="黑体" w:eastAsia="黑体"/>
          <w:b w:val="0"/>
          <w:bCs w:val="0"/>
          <w:color w:val="auto"/>
          <w:highlight w:val="none"/>
          <w:lang w:eastAsia="zh-CN"/>
        </w:rPr>
        <w:t>主要职责</w:t>
      </w:r>
    </w:p>
    <w:p w14:paraId="67A7FF93">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宋体" w:cs="Times New Roman"/>
          <w:lang w:eastAsia="zh-CN"/>
        </w:rPr>
      </w:pPr>
      <w:r>
        <w:rPr>
          <w:rFonts w:hint="eastAsia" w:ascii="仿宋_GB2312" w:hAnsi="仿宋_GB2312" w:eastAsia="仿宋_GB2312" w:cs="仿宋_GB2312"/>
          <w:sz w:val="32"/>
          <w:szCs w:val="32"/>
          <w:lang w:val="en-US" w:eastAsia="zh-CN"/>
        </w:rPr>
        <w:t>负责为生活无着流浪乞讨人员提供临时性救助服务及城区有监护人无监护能力的精神障碍患者、狂燥性精神障碍患者救治救助工作。主要包括实施主动救助、生活救助、医疗救治、教育矫治、返乡救助、临时安置、未成年人关爱保护等救助保护措施。</w:t>
      </w:r>
    </w:p>
    <w:p w14:paraId="41B69D72">
      <w:pPr>
        <w:pStyle w:val="3"/>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14:paraId="1FA2B424">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大竹县救助管理站系民政局下属单位，为全额拨款一级预算事业单位，无下属二级预算单位。</w:t>
      </w:r>
    </w:p>
    <w:bookmarkEnd w:id="14"/>
    <w:bookmarkEnd w:id="15"/>
    <w:p w14:paraId="340018CB">
      <w:pPr>
        <w:widowControl/>
        <w:jc w:val="left"/>
        <w:rPr>
          <w:rFonts w:ascii="仿宋" w:hAnsi="仿宋" w:eastAsia="仿宋"/>
          <w:kern w:val="0"/>
          <w:sz w:val="32"/>
          <w:szCs w:val="32"/>
        </w:rPr>
      </w:pPr>
      <w:r>
        <w:rPr>
          <w:rFonts w:ascii="仿宋" w:hAnsi="仿宋" w:eastAsia="仿宋"/>
          <w:sz w:val="32"/>
          <w:szCs w:val="32"/>
        </w:rPr>
        <w:br w:type="page"/>
      </w:r>
    </w:p>
    <w:p w14:paraId="20DE99EB">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621305F2"/>
    <w:p w14:paraId="1891C742">
      <w:pPr>
        <w:pStyle w:val="26"/>
        <w:numPr>
          <w:ilvl w:val="0"/>
          <w:numId w:val="0"/>
        </w:numPr>
        <w:spacing w:line="600" w:lineRule="exact"/>
        <w:ind w:left="640" w:left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lang w:val="en-US"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1BF7DAE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val="0"/>
          <w:bCs/>
          <w:sz w:val="32"/>
          <w:szCs w:val="32"/>
        </w:rPr>
        <w:t>241.24万</w:t>
      </w:r>
      <w:r>
        <w:rPr>
          <w:rFonts w:hint="eastAsia" w:ascii="仿宋" w:hAnsi="仿宋" w:eastAsia="仿宋"/>
          <w:sz w:val="32"/>
          <w:szCs w:val="32"/>
        </w:rPr>
        <w:t>元。与2022年度相比，收、支总计</w:t>
      </w:r>
      <w:r>
        <w:rPr>
          <w:rFonts w:hint="eastAsia" w:ascii="仿宋" w:hAnsi="仿宋" w:eastAsia="仿宋"/>
          <w:sz w:val="32"/>
          <w:szCs w:val="32"/>
          <w:lang w:val="en-US" w:eastAsia="zh-CN"/>
        </w:rPr>
        <w:t>各</w:t>
      </w:r>
      <w:r>
        <w:rPr>
          <w:rFonts w:hint="eastAsia" w:ascii="仿宋" w:hAnsi="仿宋" w:eastAsia="仿宋"/>
          <w:sz w:val="32"/>
          <w:szCs w:val="32"/>
        </w:rPr>
        <w:t>减少</w:t>
      </w:r>
      <w:r>
        <w:rPr>
          <w:rFonts w:hint="eastAsia" w:ascii="仿宋" w:hAnsi="仿宋" w:eastAsia="仿宋"/>
          <w:sz w:val="32"/>
          <w:szCs w:val="32"/>
          <w:lang w:val="en-US" w:eastAsia="zh-CN"/>
        </w:rPr>
        <w:t>67.58</w:t>
      </w:r>
      <w:r>
        <w:rPr>
          <w:rFonts w:hint="eastAsia" w:ascii="仿宋" w:hAnsi="仿宋" w:eastAsia="仿宋"/>
          <w:sz w:val="32"/>
          <w:szCs w:val="32"/>
        </w:rPr>
        <w:t>万元，下降</w:t>
      </w:r>
      <w:r>
        <w:rPr>
          <w:rFonts w:hint="eastAsia" w:ascii="仿宋" w:hAnsi="仿宋" w:eastAsia="仿宋"/>
          <w:sz w:val="32"/>
          <w:szCs w:val="32"/>
          <w:lang w:val="en-US" w:eastAsia="zh-CN"/>
        </w:rPr>
        <w:t>21.88</w:t>
      </w:r>
      <w:r>
        <w:rPr>
          <w:rFonts w:ascii="仿宋" w:hAnsi="仿宋" w:eastAsia="仿宋"/>
          <w:sz w:val="32"/>
          <w:szCs w:val="32"/>
        </w:rPr>
        <w:t>%</w:t>
      </w:r>
      <w:r>
        <w:rPr>
          <w:rFonts w:hint="eastAsia" w:ascii="仿宋" w:hAnsi="仿宋" w:eastAsia="仿宋"/>
          <w:sz w:val="32"/>
          <w:szCs w:val="32"/>
        </w:rPr>
        <w:t>。主要变动原因是节约财政资金，提高资金使用率。</w:t>
      </w:r>
    </w:p>
    <w:p w14:paraId="7FE0D08F">
      <w:pPr>
        <w:pStyle w:val="26"/>
        <w:numPr>
          <w:ilvl w:val="0"/>
          <w:numId w:val="0"/>
        </w:numPr>
        <w:spacing w:line="600" w:lineRule="exact"/>
        <w:ind w:left="640" w:leftChars="0"/>
        <w:outlineLvl w:val="1"/>
        <w:rPr>
          <w:rStyle w:val="28"/>
          <w:rFonts w:ascii="黑体" w:hAnsi="黑体" w:eastAsia="黑体"/>
          <w:b w:val="0"/>
        </w:rPr>
      </w:pPr>
      <w:bookmarkStart w:id="20" w:name="_Toc15396604"/>
      <w:bookmarkStart w:id="21" w:name="_Toc15377206"/>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700405</wp:posOffset>
            </wp:positionH>
            <wp:positionV relativeFrom="paragraph">
              <wp:posOffset>10160</wp:posOffset>
            </wp:positionV>
            <wp:extent cx="4286250" cy="2580640"/>
            <wp:effectExtent l="4445" t="4445" r="14605" b="571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63B26E0">
      <w:pPr>
        <w:pStyle w:val="26"/>
        <w:numPr>
          <w:ilvl w:val="0"/>
          <w:numId w:val="0"/>
        </w:numPr>
        <w:spacing w:line="600" w:lineRule="exact"/>
        <w:ind w:left="640" w:leftChars="0"/>
        <w:outlineLvl w:val="1"/>
        <w:rPr>
          <w:rFonts w:hint="eastAsia" w:ascii="黑体" w:hAnsi="黑体" w:eastAsia="黑体"/>
          <w:sz w:val="32"/>
          <w:szCs w:val="32"/>
        </w:rPr>
      </w:pPr>
    </w:p>
    <w:p w14:paraId="60453120">
      <w:pPr>
        <w:pStyle w:val="26"/>
        <w:numPr>
          <w:ilvl w:val="0"/>
          <w:numId w:val="0"/>
        </w:numPr>
        <w:spacing w:line="600" w:lineRule="exact"/>
        <w:ind w:left="640" w:leftChars="0"/>
        <w:outlineLvl w:val="1"/>
        <w:rPr>
          <w:rFonts w:hint="eastAsia" w:ascii="黑体" w:hAnsi="黑体" w:eastAsia="黑体"/>
          <w:sz w:val="32"/>
          <w:szCs w:val="32"/>
        </w:rPr>
      </w:pPr>
    </w:p>
    <w:p w14:paraId="0F663267">
      <w:pPr>
        <w:pStyle w:val="26"/>
        <w:numPr>
          <w:ilvl w:val="0"/>
          <w:numId w:val="0"/>
        </w:numPr>
        <w:spacing w:line="600" w:lineRule="exact"/>
        <w:ind w:left="640" w:leftChars="0"/>
        <w:outlineLvl w:val="1"/>
        <w:rPr>
          <w:rFonts w:hint="eastAsia" w:ascii="黑体" w:hAnsi="黑体" w:eastAsia="黑体"/>
          <w:sz w:val="32"/>
          <w:szCs w:val="32"/>
        </w:rPr>
      </w:pPr>
    </w:p>
    <w:p w14:paraId="797DE7A9">
      <w:pPr>
        <w:pStyle w:val="26"/>
        <w:numPr>
          <w:ilvl w:val="0"/>
          <w:numId w:val="0"/>
        </w:numPr>
        <w:spacing w:line="600" w:lineRule="exact"/>
        <w:ind w:left="640" w:leftChars="0"/>
        <w:outlineLvl w:val="1"/>
        <w:rPr>
          <w:rFonts w:hint="eastAsia" w:ascii="黑体" w:hAnsi="黑体" w:eastAsia="黑体"/>
          <w:sz w:val="32"/>
          <w:szCs w:val="32"/>
        </w:rPr>
      </w:pPr>
    </w:p>
    <w:p w14:paraId="22141A2F">
      <w:pPr>
        <w:pStyle w:val="26"/>
        <w:numPr>
          <w:ilvl w:val="0"/>
          <w:numId w:val="0"/>
        </w:numPr>
        <w:spacing w:line="600" w:lineRule="exact"/>
        <w:ind w:left="640" w:leftChars="0"/>
        <w:outlineLvl w:val="1"/>
        <w:rPr>
          <w:rFonts w:hint="eastAsia" w:ascii="黑体" w:hAnsi="黑体" w:eastAsia="黑体"/>
          <w:sz w:val="32"/>
          <w:szCs w:val="32"/>
        </w:rPr>
      </w:pPr>
    </w:p>
    <w:p w14:paraId="0CB4B9F4">
      <w:pPr>
        <w:spacing w:line="600" w:lineRule="exact"/>
        <w:ind w:firstLine="640" w:firstLineChars="200"/>
        <w:jc w:val="center"/>
        <w:rPr>
          <w:rFonts w:hint="eastAsia" w:ascii="仿宋" w:hAnsi="仿宋" w:eastAsia="仿宋"/>
          <w:sz w:val="32"/>
          <w:szCs w:val="32"/>
        </w:rPr>
      </w:pPr>
    </w:p>
    <w:p w14:paraId="5E413E50">
      <w:pPr>
        <w:spacing w:line="600" w:lineRule="exact"/>
        <w:ind w:firstLine="640" w:firstLineChars="200"/>
        <w:jc w:val="center"/>
        <w:rPr>
          <w:rFonts w:hint="eastAsia"/>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77881D4C">
      <w:pPr>
        <w:pStyle w:val="26"/>
        <w:numPr>
          <w:ilvl w:val="0"/>
          <w:numId w:val="0"/>
        </w:numPr>
        <w:spacing w:line="600" w:lineRule="exact"/>
        <w:ind w:firstLine="640" w:firstLineChars="200"/>
        <w:outlineLvl w:val="1"/>
        <w:rPr>
          <w:rStyle w:val="28"/>
          <w:rFonts w:ascii="黑体" w:hAnsi="黑体" w:eastAsia="黑体"/>
          <w:b w:val="0"/>
        </w:rPr>
      </w:pPr>
      <w:r>
        <w:rPr>
          <w:rFonts w:hint="eastAsia" w:ascii="黑体" w:hAnsi="黑体" w:eastAsia="黑体"/>
          <w:sz w:val="32"/>
          <w:szCs w:val="32"/>
          <w:lang w:val="en-US"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276B7197">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241.24</w:t>
      </w:r>
      <w:r>
        <w:rPr>
          <w:rFonts w:hint="eastAsia" w:ascii="仿宋" w:hAnsi="仿宋" w:eastAsia="仿宋"/>
          <w:sz w:val="32"/>
          <w:szCs w:val="32"/>
        </w:rPr>
        <w:t>万元，其中：一般公共预算财政拨款收入</w:t>
      </w:r>
      <w:r>
        <w:rPr>
          <w:rFonts w:ascii="仿宋" w:hAnsi="仿宋" w:eastAsia="仿宋"/>
          <w:b/>
          <w:sz w:val="32"/>
          <w:szCs w:val="32"/>
        </w:rPr>
        <w:t>241.24</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372ABCEF">
      <w:pPr>
        <w:spacing w:line="600" w:lineRule="exact"/>
        <w:ind w:firstLine="640" w:firstLineChars="200"/>
        <w:outlineLvl w:val="1"/>
        <w:rPr>
          <w:rFonts w:ascii="仿宋" w:hAnsi="仿宋" w:eastAsia="仿宋"/>
          <w:sz w:val="32"/>
          <w:szCs w:val="32"/>
        </w:rPr>
      </w:pPr>
    </w:p>
    <w:p w14:paraId="7F8DE9A4">
      <w:pPr>
        <w:spacing w:line="600" w:lineRule="exact"/>
        <w:ind w:firstLine="640" w:firstLineChars="200"/>
        <w:outlineLvl w:val="1"/>
        <w:rPr>
          <w:rFonts w:ascii="仿宋" w:hAnsi="仿宋" w:eastAsia="仿宋"/>
          <w:sz w:val="32"/>
          <w:szCs w:val="32"/>
        </w:rPr>
      </w:pPr>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551815</wp:posOffset>
            </wp:positionH>
            <wp:positionV relativeFrom="paragraph">
              <wp:posOffset>48260</wp:posOffset>
            </wp:positionV>
            <wp:extent cx="4285615" cy="2662555"/>
            <wp:effectExtent l="4445" t="4445" r="15240" b="1905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0466E24">
      <w:pPr>
        <w:spacing w:line="600" w:lineRule="exact"/>
        <w:ind w:firstLine="640" w:firstLineChars="200"/>
        <w:rPr>
          <w:rFonts w:hint="eastAsia" w:ascii="仿宋_GB2312" w:eastAsia="仿宋_GB2312"/>
          <w:sz w:val="32"/>
          <w:szCs w:val="32"/>
          <w:lang w:eastAsia="zh-CN"/>
        </w:rPr>
      </w:pPr>
    </w:p>
    <w:p w14:paraId="5F97828E">
      <w:pPr>
        <w:pStyle w:val="26"/>
        <w:numPr>
          <w:ilvl w:val="0"/>
          <w:numId w:val="0"/>
        </w:numPr>
        <w:spacing w:line="600" w:lineRule="exact"/>
        <w:ind w:left="640" w:leftChars="0"/>
        <w:outlineLvl w:val="1"/>
        <w:rPr>
          <w:rFonts w:hint="eastAsia" w:ascii="黑体" w:hAnsi="黑体" w:eastAsia="黑体"/>
          <w:sz w:val="32"/>
          <w:szCs w:val="32"/>
          <w:lang w:val="en-US" w:eastAsia="zh-CN"/>
        </w:rPr>
      </w:pPr>
      <w:bookmarkStart w:id="22" w:name="_Toc15377207"/>
      <w:bookmarkStart w:id="23" w:name="_Toc15396605"/>
    </w:p>
    <w:p w14:paraId="735A56CC">
      <w:pPr>
        <w:pStyle w:val="26"/>
        <w:numPr>
          <w:ilvl w:val="0"/>
          <w:numId w:val="0"/>
        </w:numPr>
        <w:spacing w:line="600" w:lineRule="exact"/>
        <w:ind w:left="640" w:leftChars="0"/>
        <w:outlineLvl w:val="1"/>
        <w:rPr>
          <w:rFonts w:hint="eastAsia" w:ascii="黑体" w:hAnsi="黑体" w:eastAsia="黑体"/>
          <w:sz w:val="32"/>
          <w:szCs w:val="32"/>
          <w:lang w:val="en-US" w:eastAsia="zh-CN"/>
        </w:rPr>
      </w:pPr>
    </w:p>
    <w:p w14:paraId="65B5D1A3">
      <w:pPr>
        <w:pStyle w:val="26"/>
        <w:numPr>
          <w:ilvl w:val="0"/>
          <w:numId w:val="0"/>
        </w:numPr>
        <w:spacing w:line="600" w:lineRule="exact"/>
        <w:ind w:left="640" w:leftChars="0"/>
        <w:outlineLvl w:val="1"/>
        <w:rPr>
          <w:rFonts w:hint="eastAsia" w:ascii="黑体" w:hAnsi="黑体" w:eastAsia="黑体"/>
          <w:sz w:val="32"/>
          <w:szCs w:val="32"/>
          <w:lang w:val="en-US" w:eastAsia="zh-CN"/>
        </w:rPr>
      </w:pPr>
    </w:p>
    <w:p w14:paraId="635947D7">
      <w:pPr>
        <w:spacing w:line="600" w:lineRule="exact"/>
        <w:ind w:firstLine="640" w:firstLineChars="200"/>
        <w:rPr>
          <w:rFonts w:hint="eastAsia" w:ascii="仿宋" w:hAnsi="仿宋" w:eastAsia="仿宋"/>
          <w:sz w:val="32"/>
          <w:szCs w:val="32"/>
        </w:rPr>
      </w:pPr>
    </w:p>
    <w:p w14:paraId="2ADC3A48">
      <w:pPr>
        <w:spacing w:line="600" w:lineRule="exact"/>
        <w:ind w:firstLine="640" w:firstLineChars="200"/>
        <w:rPr>
          <w:rFonts w:hint="eastAsia" w:ascii="仿宋" w:hAnsi="仿宋" w:eastAsia="仿宋"/>
          <w:sz w:val="32"/>
          <w:szCs w:val="32"/>
        </w:rPr>
      </w:pPr>
    </w:p>
    <w:p w14:paraId="641C4CE9">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14:paraId="047A8EC0">
      <w:pPr>
        <w:pStyle w:val="26"/>
        <w:numPr>
          <w:ilvl w:val="0"/>
          <w:numId w:val="0"/>
        </w:numPr>
        <w:spacing w:line="600" w:lineRule="exact"/>
        <w:ind w:firstLine="640" w:firstLineChars="200"/>
        <w:outlineLvl w:val="1"/>
        <w:rPr>
          <w:rStyle w:val="28"/>
          <w:rFonts w:ascii="黑体" w:hAnsi="黑体" w:eastAsia="黑体"/>
          <w:b w:val="0"/>
        </w:rPr>
      </w:pPr>
      <w:r>
        <w:rPr>
          <w:rFonts w:hint="eastAsia" w:ascii="黑体" w:hAnsi="黑体" w:eastAsia="黑体"/>
          <w:sz w:val="32"/>
          <w:szCs w:val="32"/>
          <w:lang w:val="en-US"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39DA7314">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241.24</w:t>
      </w:r>
      <w:r>
        <w:rPr>
          <w:rFonts w:hint="eastAsia" w:ascii="仿宋" w:hAnsi="仿宋" w:eastAsia="仿宋"/>
          <w:sz w:val="32"/>
          <w:szCs w:val="32"/>
        </w:rPr>
        <w:t>万元，其中：基本支出</w:t>
      </w:r>
      <w:r>
        <w:rPr>
          <w:rFonts w:ascii="仿宋" w:hAnsi="仿宋" w:eastAsia="仿宋"/>
          <w:b/>
          <w:sz w:val="32"/>
          <w:szCs w:val="32"/>
        </w:rPr>
        <w:t>91.01</w:t>
      </w:r>
      <w:r>
        <w:rPr>
          <w:rFonts w:hint="eastAsia" w:ascii="仿宋" w:hAnsi="仿宋" w:eastAsia="仿宋"/>
          <w:sz w:val="32"/>
          <w:szCs w:val="32"/>
        </w:rPr>
        <w:t>万元，占</w:t>
      </w:r>
      <w:r>
        <w:rPr>
          <w:rFonts w:ascii="仿宋" w:hAnsi="仿宋" w:eastAsia="仿宋"/>
          <w:b/>
          <w:sz w:val="32"/>
          <w:szCs w:val="32"/>
        </w:rPr>
        <w:t>37.72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150.23</w:t>
      </w:r>
      <w:r>
        <w:rPr>
          <w:rFonts w:hint="eastAsia" w:ascii="仿宋" w:hAnsi="仿宋" w:eastAsia="仿宋"/>
          <w:sz w:val="32"/>
          <w:szCs w:val="32"/>
        </w:rPr>
        <w:t>万元，占</w:t>
      </w:r>
      <w:r>
        <w:rPr>
          <w:rFonts w:ascii="仿宋" w:hAnsi="仿宋" w:eastAsia="仿宋"/>
          <w:b/>
          <w:sz w:val="32"/>
          <w:szCs w:val="32"/>
        </w:rPr>
        <w:t>62.27</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D716803">
      <w:pPr>
        <w:spacing w:line="600" w:lineRule="exact"/>
        <w:ind w:firstLine="640" w:firstLineChars="200"/>
        <w:outlineLvl w:val="1"/>
        <w:rPr>
          <w:rFonts w:hint="eastAsia" w:ascii="仿宋" w:hAnsi="仿宋" w:eastAsia="仿宋"/>
          <w:b/>
          <w:sz w:val="32"/>
          <w:szCs w:val="32"/>
        </w:rPr>
      </w:pPr>
      <w:r>
        <w:rPr>
          <w:rFonts w:hint="eastAsia" w:ascii="仿宋_GB2312" w:eastAsia="仿宋_GB2312"/>
          <w:sz w:val="32"/>
          <w:szCs w:val="32"/>
          <w:lang w:eastAsia="zh-CN"/>
        </w:rPr>
        <w:drawing>
          <wp:anchor distT="0" distB="0" distL="114300" distR="114300" simplePos="0" relativeHeight="251661312" behindDoc="0" locked="0" layoutInCell="1" allowOverlap="1">
            <wp:simplePos x="0" y="0"/>
            <wp:positionH relativeFrom="column">
              <wp:posOffset>509905</wp:posOffset>
            </wp:positionH>
            <wp:positionV relativeFrom="paragraph">
              <wp:posOffset>410210</wp:posOffset>
            </wp:positionV>
            <wp:extent cx="4285615" cy="2662555"/>
            <wp:effectExtent l="4445" t="4445" r="15240" b="190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C07F40C">
      <w:pPr>
        <w:spacing w:line="600" w:lineRule="exact"/>
        <w:ind w:firstLine="643" w:firstLineChars="200"/>
        <w:outlineLvl w:val="1"/>
        <w:rPr>
          <w:rFonts w:hint="eastAsia" w:ascii="仿宋" w:hAnsi="仿宋" w:eastAsia="仿宋"/>
          <w:b/>
          <w:sz w:val="32"/>
          <w:szCs w:val="32"/>
        </w:rPr>
      </w:pPr>
    </w:p>
    <w:p w14:paraId="7FD391F8">
      <w:pPr>
        <w:spacing w:line="600" w:lineRule="exact"/>
        <w:ind w:firstLine="640"/>
        <w:rPr>
          <w:rFonts w:ascii="仿宋" w:hAnsi="仿宋" w:eastAsia="仿宋"/>
          <w:sz w:val="32"/>
          <w:szCs w:val="32"/>
          <w:shd w:val="pct10" w:color="auto" w:fill="FFFFFF"/>
        </w:rPr>
      </w:pPr>
    </w:p>
    <w:p w14:paraId="0D14D52E">
      <w:pPr>
        <w:spacing w:line="600" w:lineRule="exact"/>
        <w:ind w:firstLine="640" w:firstLineChars="200"/>
        <w:rPr>
          <w:rFonts w:hint="eastAsia" w:ascii="仿宋" w:hAnsi="仿宋" w:eastAsia="仿宋"/>
          <w:sz w:val="32"/>
          <w:szCs w:val="32"/>
        </w:rPr>
      </w:pPr>
    </w:p>
    <w:p w14:paraId="55AD3F26">
      <w:pPr>
        <w:spacing w:line="600" w:lineRule="exact"/>
        <w:ind w:firstLine="640" w:firstLineChars="200"/>
        <w:rPr>
          <w:rFonts w:hint="eastAsia" w:ascii="仿宋" w:hAnsi="仿宋" w:eastAsia="仿宋"/>
          <w:sz w:val="32"/>
          <w:szCs w:val="32"/>
        </w:rPr>
      </w:pPr>
    </w:p>
    <w:p w14:paraId="5558B69E">
      <w:pPr>
        <w:spacing w:line="600" w:lineRule="exact"/>
        <w:ind w:firstLine="640" w:firstLineChars="200"/>
        <w:rPr>
          <w:rFonts w:hint="eastAsia" w:ascii="仿宋" w:hAnsi="仿宋" w:eastAsia="仿宋"/>
          <w:sz w:val="32"/>
          <w:szCs w:val="32"/>
        </w:rPr>
      </w:pPr>
    </w:p>
    <w:p w14:paraId="68E3496D">
      <w:pPr>
        <w:spacing w:line="600" w:lineRule="exact"/>
        <w:ind w:firstLine="640" w:firstLineChars="200"/>
        <w:rPr>
          <w:rFonts w:hint="eastAsia" w:ascii="仿宋" w:hAnsi="仿宋" w:eastAsia="仿宋"/>
          <w:sz w:val="32"/>
          <w:szCs w:val="32"/>
        </w:rPr>
      </w:pPr>
    </w:p>
    <w:p w14:paraId="12CBD7F2">
      <w:pPr>
        <w:spacing w:line="600" w:lineRule="exact"/>
        <w:ind w:firstLine="640" w:firstLineChars="200"/>
        <w:rPr>
          <w:rFonts w:hint="eastAsia" w:ascii="仿宋" w:hAnsi="仿宋" w:eastAsia="仿宋"/>
          <w:sz w:val="32"/>
          <w:szCs w:val="32"/>
        </w:rPr>
      </w:pPr>
    </w:p>
    <w:p w14:paraId="484EAC70">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14:paraId="212853DE">
      <w:pPr>
        <w:spacing w:line="600" w:lineRule="exact"/>
        <w:ind w:firstLine="640" w:firstLineChars="200"/>
        <w:outlineLvl w:val="1"/>
        <w:rPr>
          <w:rFonts w:hint="eastAsia" w:ascii="黑体" w:hAnsi="黑体" w:eastAsia="黑体"/>
          <w:sz w:val="32"/>
          <w:szCs w:val="32"/>
        </w:rPr>
      </w:pPr>
      <w:bookmarkStart w:id="24" w:name="_Toc15396606"/>
      <w:bookmarkStart w:id="25" w:name="_Toc15377208"/>
    </w:p>
    <w:p w14:paraId="1C3889E0">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4AF9D48">
      <w:pPr>
        <w:spacing w:line="600" w:lineRule="exact"/>
        <w:ind w:firstLine="640"/>
        <w:rPr>
          <w:rFonts w:ascii="仿宋" w:hAnsi="仿宋" w:eastAsia="仿宋"/>
          <w:b/>
          <w:sz w:val="32"/>
          <w:szCs w:val="32"/>
        </w:rPr>
      </w:pPr>
      <w:r>
        <w:rPr>
          <w:rFonts w:hint="eastAsia" w:ascii="仿宋_GB2312" w:eastAsia="仿宋_GB2312"/>
          <w:sz w:val="32"/>
          <w:szCs w:val="32"/>
          <w:lang w:eastAsia="zh-CN"/>
        </w:rPr>
        <w:drawing>
          <wp:anchor distT="0" distB="0" distL="114300" distR="114300" simplePos="0" relativeHeight="251662336" behindDoc="0" locked="0" layoutInCell="1" allowOverlap="1">
            <wp:simplePos x="0" y="0"/>
            <wp:positionH relativeFrom="column">
              <wp:posOffset>154305</wp:posOffset>
            </wp:positionH>
            <wp:positionV relativeFrom="paragraph">
              <wp:posOffset>1508125</wp:posOffset>
            </wp:positionV>
            <wp:extent cx="5083810" cy="3479800"/>
            <wp:effectExtent l="4445" t="4445" r="17145" b="2095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2023年度财政拨款收、支总计均为</w:t>
      </w:r>
      <w:r>
        <w:rPr>
          <w:rFonts w:ascii="仿宋" w:hAnsi="仿宋" w:eastAsia="仿宋"/>
          <w:b/>
          <w:sz w:val="32"/>
          <w:szCs w:val="32"/>
        </w:rPr>
        <w:t>241.24</w:t>
      </w:r>
      <w:r>
        <w:rPr>
          <w:rFonts w:hint="eastAsia" w:ascii="仿宋" w:hAnsi="仿宋" w:eastAsia="仿宋"/>
          <w:sz w:val="32"/>
          <w:szCs w:val="32"/>
        </w:rPr>
        <w:t>万元。与2022年度相比，财政拨款收、支总计</w:t>
      </w:r>
      <w:r>
        <w:rPr>
          <w:rFonts w:hint="eastAsia" w:ascii="仿宋" w:hAnsi="仿宋" w:eastAsia="仿宋"/>
          <w:sz w:val="32"/>
          <w:szCs w:val="32"/>
          <w:lang w:val="en-US" w:eastAsia="zh-CN"/>
        </w:rPr>
        <w:t>各</w:t>
      </w:r>
      <w:r>
        <w:rPr>
          <w:rFonts w:hint="eastAsia" w:ascii="仿宋" w:hAnsi="仿宋" w:eastAsia="仿宋"/>
          <w:sz w:val="32"/>
          <w:szCs w:val="32"/>
        </w:rPr>
        <w:t>减少</w:t>
      </w:r>
      <w:r>
        <w:rPr>
          <w:rFonts w:hint="eastAsia" w:ascii="仿宋" w:hAnsi="仿宋" w:eastAsia="仿宋"/>
          <w:sz w:val="32"/>
          <w:szCs w:val="32"/>
          <w:lang w:val="en-US" w:eastAsia="zh-CN"/>
        </w:rPr>
        <w:t>67.58</w:t>
      </w:r>
      <w:r>
        <w:rPr>
          <w:rFonts w:hint="eastAsia" w:ascii="仿宋" w:hAnsi="仿宋" w:eastAsia="仿宋"/>
          <w:sz w:val="32"/>
          <w:szCs w:val="32"/>
        </w:rPr>
        <w:t>万元，下降</w:t>
      </w:r>
      <w:r>
        <w:rPr>
          <w:rFonts w:hint="eastAsia" w:ascii="仿宋" w:hAnsi="仿宋" w:eastAsia="仿宋"/>
          <w:sz w:val="32"/>
          <w:szCs w:val="32"/>
          <w:lang w:val="en-US" w:eastAsia="zh-CN"/>
        </w:rPr>
        <w:t>21.88</w:t>
      </w:r>
      <w:r>
        <w:rPr>
          <w:rFonts w:ascii="仿宋" w:hAnsi="仿宋" w:eastAsia="仿宋"/>
          <w:sz w:val="32"/>
          <w:szCs w:val="32"/>
        </w:rPr>
        <w:t>%</w:t>
      </w:r>
      <w:r>
        <w:rPr>
          <w:rFonts w:hint="eastAsia" w:ascii="仿宋" w:hAnsi="仿宋" w:eastAsia="仿宋"/>
          <w:sz w:val="32"/>
          <w:szCs w:val="32"/>
        </w:rPr>
        <w:t>。主要变动原因是节约财政资金，提高资金使用率</w:t>
      </w:r>
      <w:r>
        <w:rPr>
          <w:rFonts w:hint="eastAsia" w:ascii="仿宋" w:hAnsi="仿宋" w:eastAsia="仿宋"/>
          <w:sz w:val="32"/>
          <w:szCs w:val="32"/>
          <w:lang w:eastAsia="zh-CN"/>
        </w:rPr>
        <w:t>。</w:t>
      </w:r>
    </w:p>
    <w:p w14:paraId="0ABD807E">
      <w:pPr>
        <w:spacing w:line="600" w:lineRule="exact"/>
        <w:ind w:firstLine="640"/>
        <w:rPr>
          <w:rFonts w:ascii="仿宋" w:hAnsi="仿宋" w:eastAsia="仿宋"/>
          <w:b/>
          <w:sz w:val="32"/>
          <w:szCs w:val="32"/>
        </w:rPr>
      </w:pPr>
    </w:p>
    <w:p w14:paraId="69A66A2F">
      <w:pPr>
        <w:spacing w:line="600" w:lineRule="exact"/>
        <w:ind w:firstLine="640"/>
        <w:rPr>
          <w:rFonts w:ascii="仿宋" w:hAnsi="仿宋" w:eastAsia="仿宋"/>
          <w:b/>
          <w:sz w:val="32"/>
          <w:szCs w:val="32"/>
        </w:rPr>
      </w:pPr>
    </w:p>
    <w:p w14:paraId="50A0CDC7">
      <w:pPr>
        <w:spacing w:line="600" w:lineRule="exact"/>
        <w:rPr>
          <w:rFonts w:ascii="仿宋" w:hAnsi="仿宋" w:eastAsia="仿宋"/>
          <w:sz w:val="32"/>
          <w:szCs w:val="32"/>
        </w:rPr>
      </w:pPr>
    </w:p>
    <w:p w14:paraId="3739571D">
      <w:pPr>
        <w:spacing w:line="600" w:lineRule="exact"/>
        <w:ind w:firstLine="640" w:firstLineChars="200"/>
        <w:rPr>
          <w:rFonts w:hint="eastAsia" w:ascii="仿宋" w:hAnsi="仿宋" w:eastAsia="仿宋"/>
          <w:sz w:val="32"/>
          <w:szCs w:val="32"/>
        </w:rPr>
      </w:pPr>
    </w:p>
    <w:p w14:paraId="1A6CB93D">
      <w:pPr>
        <w:spacing w:line="600" w:lineRule="exact"/>
        <w:ind w:firstLine="640" w:firstLineChars="200"/>
        <w:rPr>
          <w:rFonts w:hint="eastAsia" w:ascii="仿宋" w:hAnsi="仿宋" w:eastAsia="仿宋"/>
          <w:sz w:val="32"/>
          <w:szCs w:val="32"/>
        </w:rPr>
      </w:pPr>
    </w:p>
    <w:p w14:paraId="73087B6F">
      <w:pPr>
        <w:spacing w:line="600" w:lineRule="exact"/>
        <w:ind w:firstLine="640" w:firstLineChars="200"/>
        <w:rPr>
          <w:rFonts w:hint="eastAsia" w:ascii="仿宋" w:hAnsi="仿宋" w:eastAsia="仿宋"/>
          <w:sz w:val="32"/>
          <w:szCs w:val="32"/>
        </w:rPr>
      </w:pPr>
    </w:p>
    <w:p w14:paraId="36E240C5">
      <w:pPr>
        <w:spacing w:line="600" w:lineRule="exact"/>
        <w:ind w:firstLine="640" w:firstLineChars="200"/>
        <w:rPr>
          <w:rFonts w:hint="eastAsia" w:ascii="仿宋" w:hAnsi="仿宋" w:eastAsia="仿宋"/>
          <w:sz w:val="32"/>
          <w:szCs w:val="32"/>
        </w:rPr>
      </w:pPr>
    </w:p>
    <w:p w14:paraId="7F1A5CA9">
      <w:pPr>
        <w:spacing w:line="600" w:lineRule="exact"/>
        <w:jc w:val="both"/>
        <w:rPr>
          <w:rFonts w:hint="eastAsia" w:ascii="仿宋" w:hAnsi="仿宋" w:eastAsia="仿宋"/>
          <w:sz w:val="32"/>
          <w:szCs w:val="32"/>
        </w:rPr>
      </w:pPr>
    </w:p>
    <w:p w14:paraId="0C70896C">
      <w:pPr>
        <w:spacing w:line="600" w:lineRule="exact"/>
        <w:jc w:val="both"/>
        <w:rPr>
          <w:rFonts w:hint="eastAsia" w:ascii="仿宋" w:hAnsi="仿宋" w:eastAsia="仿宋"/>
          <w:sz w:val="32"/>
          <w:szCs w:val="32"/>
        </w:rPr>
      </w:pPr>
    </w:p>
    <w:p w14:paraId="099D70D2">
      <w:pPr>
        <w:spacing w:line="600" w:lineRule="exact"/>
        <w:jc w:val="both"/>
        <w:rPr>
          <w:rFonts w:hint="eastAsia" w:ascii="仿宋" w:hAnsi="仿宋" w:eastAsia="仿宋"/>
          <w:sz w:val="32"/>
          <w:szCs w:val="32"/>
        </w:rPr>
      </w:pPr>
    </w:p>
    <w:p w14:paraId="46AC2A3C">
      <w:pPr>
        <w:spacing w:line="600" w:lineRule="exact"/>
        <w:jc w:val="center"/>
        <w:rPr>
          <w:rFonts w:hint="eastAsia" w:ascii="黑体" w:hAnsi="黑体" w:eastAsia="黑体"/>
          <w:sz w:val="32"/>
          <w:szCs w:val="32"/>
        </w:rPr>
      </w:pPr>
      <w:r>
        <w:rPr>
          <w:rFonts w:hint="eastAsia" w:ascii="仿宋" w:hAnsi="仿宋" w:eastAsia="仿宋"/>
          <w:sz w:val="32"/>
          <w:szCs w:val="32"/>
        </w:rPr>
        <w:t>（图4：财政拨款收、支决算总计变动情况）</w:t>
      </w:r>
      <w:bookmarkStart w:id="26" w:name="_Toc15377209"/>
      <w:bookmarkStart w:id="27" w:name="_Toc15396607"/>
    </w:p>
    <w:p w14:paraId="727B5B81">
      <w:pPr>
        <w:spacing w:line="600" w:lineRule="exact"/>
        <w:ind w:firstLine="640" w:firstLineChars="200"/>
        <w:outlineLvl w:val="1"/>
        <w:rPr>
          <w:rFonts w:hint="eastAsia" w:ascii="黑体" w:hAnsi="黑体" w:eastAsia="黑体"/>
          <w:sz w:val="32"/>
          <w:szCs w:val="32"/>
        </w:rPr>
      </w:pPr>
    </w:p>
    <w:p w14:paraId="133901D3">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46365A91">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D10687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241.24</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67.58</w:t>
      </w:r>
      <w:r>
        <w:rPr>
          <w:rFonts w:hint="eastAsia" w:ascii="仿宋" w:hAnsi="仿宋" w:eastAsia="仿宋"/>
          <w:sz w:val="32"/>
          <w:szCs w:val="32"/>
        </w:rPr>
        <w:t>万元，下降</w:t>
      </w:r>
      <w:r>
        <w:rPr>
          <w:rFonts w:hint="eastAsia" w:ascii="仿宋" w:hAnsi="仿宋" w:eastAsia="仿宋"/>
          <w:sz w:val="32"/>
          <w:szCs w:val="32"/>
          <w:lang w:val="en-US" w:eastAsia="zh-CN"/>
        </w:rPr>
        <w:t>21.88</w:t>
      </w:r>
      <w:r>
        <w:rPr>
          <w:rFonts w:ascii="仿宋" w:hAnsi="仿宋" w:eastAsia="仿宋"/>
          <w:sz w:val="32"/>
          <w:szCs w:val="32"/>
        </w:rPr>
        <w:t>%</w:t>
      </w:r>
      <w:r>
        <w:rPr>
          <w:rFonts w:hint="eastAsia" w:ascii="仿宋" w:hAnsi="仿宋" w:eastAsia="仿宋"/>
          <w:sz w:val="32"/>
          <w:szCs w:val="32"/>
        </w:rPr>
        <w:t>。主要变动原因是节约财政资金，提高资金使用率。</w:t>
      </w:r>
    </w:p>
    <w:p w14:paraId="5003536E">
      <w:pPr>
        <w:spacing w:line="600" w:lineRule="exact"/>
        <w:rPr>
          <w:rFonts w:hint="eastAsia" w:ascii="仿宋" w:hAnsi="仿宋" w:eastAsia="仿宋"/>
          <w:sz w:val="32"/>
          <w:szCs w:val="32"/>
          <w:lang w:eastAsia="zh-CN"/>
        </w:rPr>
      </w:pPr>
    </w:p>
    <w:p w14:paraId="509E2E8E">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483870</wp:posOffset>
            </wp:positionH>
            <wp:positionV relativeFrom="paragraph">
              <wp:posOffset>-92075</wp:posOffset>
            </wp:positionV>
            <wp:extent cx="4239260" cy="2437130"/>
            <wp:effectExtent l="5080" t="4445" r="22860" b="1587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AFAA3D3">
      <w:pPr>
        <w:spacing w:line="600" w:lineRule="exact"/>
        <w:ind w:firstLine="640" w:firstLineChars="200"/>
        <w:rPr>
          <w:rFonts w:hint="eastAsia" w:ascii="仿宋" w:hAnsi="仿宋" w:eastAsia="仿宋"/>
          <w:sz w:val="32"/>
          <w:szCs w:val="32"/>
        </w:rPr>
      </w:pPr>
    </w:p>
    <w:p w14:paraId="7884F89C">
      <w:pPr>
        <w:spacing w:line="600" w:lineRule="exact"/>
        <w:ind w:firstLine="640" w:firstLineChars="200"/>
        <w:rPr>
          <w:rFonts w:hint="eastAsia" w:ascii="仿宋" w:hAnsi="仿宋" w:eastAsia="仿宋"/>
          <w:sz w:val="32"/>
          <w:szCs w:val="32"/>
        </w:rPr>
      </w:pPr>
    </w:p>
    <w:p w14:paraId="63C6213C">
      <w:pPr>
        <w:spacing w:line="600" w:lineRule="exact"/>
        <w:jc w:val="center"/>
        <w:rPr>
          <w:rFonts w:hint="eastAsia" w:ascii="仿宋" w:hAnsi="仿宋" w:eastAsia="仿宋"/>
          <w:sz w:val="32"/>
          <w:szCs w:val="32"/>
        </w:rPr>
      </w:pPr>
    </w:p>
    <w:p w14:paraId="27A7B435">
      <w:pPr>
        <w:spacing w:line="600" w:lineRule="exact"/>
        <w:jc w:val="center"/>
        <w:rPr>
          <w:rFonts w:hint="eastAsia" w:ascii="仿宋" w:hAnsi="仿宋" w:eastAsia="仿宋"/>
          <w:sz w:val="32"/>
          <w:szCs w:val="32"/>
        </w:rPr>
      </w:pPr>
    </w:p>
    <w:p w14:paraId="3116BDFA">
      <w:pPr>
        <w:spacing w:line="600" w:lineRule="exact"/>
        <w:jc w:val="center"/>
        <w:rPr>
          <w:rFonts w:hint="eastAsia" w:ascii="仿宋" w:hAnsi="仿宋" w:eastAsia="仿宋"/>
          <w:sz w:val="32"/>
          <w:szCs w:val="32"/>
        </w:rPr>
      </w:pPr>
    </w:p>
    <w:p w14:paraId="64EB6986">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14:paraId="211EE068">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6D82665">
      <w:pPr>
        <w:spacing w:line="600" w:lineRule="exact"/>
        <w:ind w:firstLine="640"/>
        <w:rPr>
          <w:rFonts w:ascii="仿宋" w:hAnsi="仿宋" w:eastAsia="仿宋"/>
          <w:b/>
          <w:sz w:val="32"/>
          <w:szCs w:val="32"/>
        </w:rPr>
      </w:pPr>
      <w:r>
        <w:rPr>
          <w:rFonts w:hint="eastAsia" w:ascii="仿宋" w:hAnsi="仿宋" w:eastAsia="仿宋"/>
          <w:sz w:val="32"/>
          <w:szCs w:val="32"/>
          <w:highlight w:val="none"/>
          <w:lang w:eastAsia="zh-CN"/>
        </w:rPr>
        <w:drawing>
          <wp:anchor distT="0" distB="0" distL="114300" distR="114300" simplePos="0" relativeHeight="251664384" behindDoc="0" locked="0" layoutInCell="1" allowOverlap="1">
            <wp:simplePos x="0" y="0"/>
            <wp:positionH relativeFrom="column">
              <wp:posOffset>374650</wp:posOffset>
            </wp:positionH>
            <wp:positionV relativeFrom="paragraph">
              <wp:posOffset>2667000</wp:posOffset>
            </wp:positionV>
            <wp:extent cx="4812030" cy="2724785"/>
            <wp:effectExtent l="4445" t="4445" r="22225" b="1397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2023年度一般公共预算财政拨款支出</w:t>
      </w:r>
      <w:r>
        <w:rPr>
          <w:rFonts w:ascii="仿宋" w:hAnsi="仿宋" w:eastAsia="仿宋"/>
          <w:b/>
          <w:sz w:val="32"/>
          <w:szCs w:val="32"/>
        </w:rPr>
        <w:t>241.24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236.33</w:t>
      </w:r>
      <w:r>
        <w:rPr>
          <w:rFonts w:hint="eastAsia" w:ascii="仿宋" w:hAnsi="仿宋" w:eastAsia="仿宋"/>
          <w:sz w:val="32"/>
          <w:szCs w:val="32"/>
        </w:rPr>
        <w:t>万元，占</w:t>
      </w:r>
      <w:r>
        <w:rPr>
          <w:rFonts w:hint="eastAsia" w:ascii="仿宋" w:hAnsi="仿宋" w:eastAsia="仿宋"/>
          <w:sz w:val="32"/>
          <w:szCs w:val="32"/>
          <w:lang w:val="en-US" w:eastAsia="zh-CN"/>
        </w:rPr>
        <w:t>97.96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2.49</w:t>
      </w:r>
      <w:r>
        <w:rPr>
          <w:rFonts w:hint="eastAsia" w:ascii="仿宋" w:hAnsi="仿宋" w:eastAsia="仿宋"/>
          <w:sz w:val="32"/>
          <w:szCs w:val="32"/>
        </w:rPr>
        <w:t>万元，占</w:t>
      </w:r>
      <w:r>
        <w:rPr>
          <w:rFonts w:hint="eastAsia" w:ascii="仿宋" w:hAnsi="仿宋" w:eastAsia="仿宋"/>
          <w:sz w:val="32"/>
          <w:szCs w:val="32"/>
          <w:lang w:val="en-US" w:eastAsia="zh-CN"/>
        </w:rPr>
        <w:t>1.03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2.42</w:t>
      </w:r>
      <w:r>
        <w:rPr>
          <w:rFonts w:hint="eastAsia" w:ascii="仿宋" w:hAnsi="仿宋" w:eastAsia="仿宋"/>
          <w:sz w:val="32"/>
          <w:szCs w:val="32"/>
        </w:rPr>
        <w:t>万元，占</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（注：数据来源于财决01-1表，仅罗列本单位涉及的全部功能分类科目，至类级。）</w:t>
      </w:r>
    </w:p>
    <w:p w14:paraId="58E0882F">
      <w:pPr>
        <w:spacing w:line="600" w:lineRule="exact"/>
        <w:ind w:firstLine="640"/>
        <w:rPr>
          <w:rFonts w:ascii="仿宋" w:hAnsi="仿宋" w:eastAsia="仿宋"/>
          <w:b/>
          <w:sz w:val="32"/>
          <w:szCs w:val="32"/>
        </w:rPr>
      </w:pPr>
    </w:p>
    <w:p w14:paraId="3615D1C5">
      <w:pPr>
        <w:spacing w:line="600" w:lineRule="exact"/>
        <w:ind w:firstLine="640"/>
        <w:rPr>
          <w:rFonts w:hint="eastAsia" w:ascii="仿宋" w:hAnsi="仿宋" w:eastAsia="仿宋"/>
          <w:sz w:val="32"/>
          <w:szCs w:val="32"/>
          <w:lang w:eastAsia="zh-CN"/>
        </w:rPr>
      </w:pPr>
    </w:p>
    <w:p w14:paraId="0E9F6FF7">
      <w:pPr>
        <w:spacing w:line="600" w:lineRule="exact"/>
        <w:ind w:firstLine="640" w:firstLineChars="200"/>
        <w:rPr>
          <w:rFonts w:hint="eastAsia" w:ascii="仿宋" w:hAnsi="仿宋" w:eastAsia="仿宋"/>
          <w:sz w:val="32"/>
          <w:szCs w:val="32"/>
        </w:rPr>
      </w:pPr>
    </w:p>
    <w:p w14:paraId="1231A6BF">
      <w:pPr>
        <w:spacing w:line="600" w:lineRule="exact"/>
        <w:ind w:firstLine="640" w:firstLineChars="200"/>
        <w:rPr>
          <w:rFonts w:hint="eastAsia" w:ascii="仿宋" w:hAnsi="仿宋" w:eastAsia="仿宋"/>
          <w:sz w:val="32"/>
          <w:szCs w:val="32"/>
        </w:rPr>
      </w:pPr>
    </w:p>
    <w:p w14:paraId="5BAA2ACD">
      <w:pPr>
        <w:spacing w:line="600" w:lineRule="exact"/>
        <w:ind w:firstLine="640" w:firstLineChars="200"/>
        <w:rPr>
          <w:rFonts w:hint="eastAsia" w:ascii="仿宋" w:hAnsi="仿宋" w:eastAsia="仿宋"/>
          <w:sz w:val="32"/>
          <w:szCs w:val="32"/>
        </w:rPr>
      </w:pPr>
    </w:p>
    <w:p w14:paraId="79BE6842">
      <w:pPr>
        <w:spacing w:line="600" w:lineRule="exact"/>
        <w:ind w:firstLine="640" w:firstLineChars="200"/>
        <w:rPr>
          <w:rFonts w:hint="eastAsia" w:ascii="仿宋" w:hAnsi="仿宋" w:eastAsia="仿宋"/>
          <w:sz w:val="32"/>
          <w:szCs w:val="32"/>
        </w:rPr>
      </w:pPr>
    </w:p>
    <w:p w14:paraId="4648D455">
      <w:pPr>
        <w:spacing w:line="600" w:lineRule="exact"/>
        <w:ind w:firstLine="640" w:firstLineChars="200"/>
        <w:rPr>
          <w:rFonts w:hint="eastAsia" w:ascii="仿宋" w:hAnsi="仿宋" w:eastAsia="仿宋"/>
          <w:sz w:val="32"/>
          <w:szCs w:val="32"/>
        </w:rPr>
      </w:pPr>
    </w:p>
    <w:p w14:paraId="4E547643">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3B806A7D">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50FC1CAE">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241.24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2BE30F9E">
      <w:pPr>
        <w:numPr>
          <w:ilvl w:val="0"/>
          <w:numId w:val="0"/>
        </w:numPr>
        <w:spacing w:line="578" w:lineRule="exact"/>
        <w:ind w:firstLine="643" w:firstLineChars="200"/>
        <w:rPr>
          <w:rFonts w:hint="eastAsia" w:ascii="仿宋_GB2312" w:hAnsi="仿宋_GB2312" w:eastAsia="仿宋_GB2312" w:cs="仿宋_GB2312"/>
          <w:sz w:val="32"/>
          <w:szCs w:val="32"/>
        </w:rPr>
      </w:pPr>
      <w:r>
        <w:rPr>
          <w:rStyle w:val="16"/>
          <w:rFonts w:hint="eastAsia" w:ascii="仿宋" w:hAnsi="仿宋" w:eastAsia="仿宋" w:cstheme="minorBidi"/>
          <w:bCs/>
          <w:sz w:val="32"/>
          <w:szCs w:val="32"/>
          <w:lang w:val="en-US" w:eastAsia="zh-CN"/>
        </w:rPr>
        <w:t>1.社会保障和就业（208）行政事业单位养老（05）机关事业单位基本养老保险缴费支出（05）:</w:t>
      </w:r>
      <w:r>
        <w:rPr>
          <w:rFonts w:hint="eastAsia" w:ascii="仿宋_GB2312" w:hAnsi="仿宋_GB2312" w:eastAsia="仿宋_GB2312" w:cs="仿宋_GB2312"/>
          <w:sz w:val="32"/>
          <w:szCs w:val="32"/>
        </w:rPr>
        <w:t xml:space="preserve"> 支出决算为</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万元，完成预算100%，决算数等于预算数。</w:t>
      </w:r>
    </w:p>
    <w:p w14:paraId="04EEDF46">
      <w:pPr>
        <w:numPr>
          <w:ilvl w:val="0"/>
          <w:numId w:val="0"/>
        </w:numPr>
        <w:spacing w:line="578" w:lineRule="exact"/>
        <w:ind w:firstLine="643" w:firstLineChars="200"/>
        <w:rPr>
          <w:rFonts w:hint="eastAsia" w:ascii="仿宋_GB2312" w:hAnsi="仿宋_GB2312" w:eastAsia="仿宋_GB2312" w:cs="仿宋_GB2312"/>
          <w:sz w:val="32"/>
          <w:szCs w:val="32"/>
        </w:rPr>
      </w:pPr>
      <w:r>
        <w:rPr>
          <w:rStyle w:val="16"/>
          <w:rFonts w:hint="eastAsia" w:ascii="仿宋" w:hAnsi="仿宋" w:eastAsia="仿宋" w:cstheme="minorBidi"/>
          <w:bCs/>
          <w:sz w:val="32"/>
          <w:szCs w:val="32"/>
          <w:lang w:val="en-US" w:eastAsia="zh-CN"/>
        </w:rPr>
        <w:t xml:space="preserve">2.社会保障和就业（208）行政事业单位养老（05）其他行政事业单位养老支出（99）: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14.32</w:t>
      </w:r>
      <w:r>
        <w:rPr>
          <w:rFonts w:hint="eastAsia" w:ascii="仿宋_GB2312" w:hAnsi="仿宋_GB2312" w:eastAsia="仿宋_GB2312" w:cs="仿宋_GB2312"/>
          <w:sz w:val="32"/>
          <w:szCs w:val="32"/>
        </w:rPr>
        <w:t>万元，完成预算100%，决算数等于预算数。</w:t>
      </w:r>
    </w:p>
    <w:p w14:paraId="4739E192">
      <w:pPr>
        <w:spacing w:line="578" w:lineRule="exact"/>
        <w:ind w:firstLine="643" w:firstLineChars="200"/>
        <w:rPr>
          <w:rFonts w:hint="eastAsia" w:ascii="仿宋_GB2312" w:hAnsi="仿宋_GB2312" w:eastAsia="仿宋_GB2312" w:cs="仿宋_GB2312"/>
          <w:sz w:val="32"/>
          <w:szCs w:val="32"/>
        </w:rPr>
      </w:pPr>
      <w:r>
        <w:rPr>
          <w:rStyle w:val="16"/>
          <w:rFonts w:hint="eastAsia" w:ascii="仿宋" w:hAnsi="仿宋" w:eastAsia="仿宋" w:cstheme="minorBidi"/>
          <w:bCs/>
          <w:sz w:val="32"/>
          <w:szCs w:val="32"/>
          <w:lang w:val="en-US" w:eastAsia="zh-CN"/>
        </w:rPr>
        <w:t xml:space="preserve">3.社会保障和就业（208）临时救助（20）流浪乞讨人员救助支出（02）: </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197.95</w:t>
      </w:r>
      <w:r>
        <w:rPr>
          <w:rFonts w:hint="eastAsia" w:ascii="仿宋_GB2312" w:hAnsi="仿宋_GB2312" w:eastAsia="仿宋_GB2312" w:cs="仿宋_GB2312"/>
          <w:sz w:val="32"/>
          <w:szCs w:val="32"/>
        </w:rPr>
        <w:t>万元，完成预算100%，决算数等于预算数。</w:t>
      </w:r>
    </w:p>
    <w:p w14:paraId="4191E3BF">
      <w:pPr>
        <w:spacing w:line="578" w:lineRule="exact"/>
        <w:ind w:firstLine="643" w:firstLineChars="200"/>
        <w:rPr>
          <w:rFonts w:hint="eastAsia" w:ascii="仿宋_GB2312" w:hAnsi="仿宋_GB2312" w:eastAsia="仿宋_GB2312" w:cs="仿宋_GB2312"/>
          <w:sz w:val="32"/>
          <w:szCs w:val="32"/>
          <w:lang w:val="en-US" w:eastAsia="zh-CN"/>
        </w:rPr>
      </w:pPr>
      <w:r>
        <w:rPr>
          <w:rStyle w:val="16"/>
          <w:rFonts w:hint="eastAsia" w:ascii="仿宋" w:hAnsi="仿宋" w:eastAsia="仿宋" w:cstheme="minorBidi"/>
          <w:bCs/>
          <w:sz w:val="32"/>
          <w:szCs w:val="32"/>
          <w:lang w:val="en-US" w:eastAsia="zh-CN"/>
        </w:rPr>
        <w:t xml:space="preserve">4.社会保障和就业（208）其他社会保障和就业支出（99）其他社会保障和就业支出（99）: </w:t>
      </w:r>
      <w:r>
        <w:rPr>
          <w:rFonts w:hint="eastAsia" w:ascii="仿宋_GB2312" w:hAnsi="仿宋_GB2312" w:eastAsia="仿宋_GB2312" w:cs="仿宋_GB2312"/>
          <w:sz w:val="32"/>
          <w:szCs w:val="32"/>
          <w:lang w:val="en-US" w:eastAsia="zh-CN"/>
        </w:rPr>
        <w:t>支出决算为23.94万元，完成预算100%，决算数等于预算数。</w:t>
      </w:r>
    </w:p>
    <w:p w14:paraId="6DA29CF9">
      <w:pPr>
        <w:spacing w:line="578" w:lineRule="exact"/>
        <w:ind w:firstLine="643" w:firstLineChars="200"/>
        <w:rPr>
          <w:rFonts w:hint="eastAsia" w:ascii="仿宋_GB2312" w:hAnsi="仿宋_GB2312" w:eastAsia="仿宋_GB2312" w:cs="仿宋_GB2312"/>
          <w:sz w:val="32"/>
          <w:szCs w:val="32"/>
        </w:rPr>
      </w:pPr>
      <w:r>
        <w:rPr>
          <w:rStyle w:val="16"/>
          <w:rFonts w:hint="eastAsia" w:ascii="仿宋" w:hAnsi="仿宋" w:eastAsia="仿宋" w:cstheme="minorBidi"/>
          <w:bCs/>
          <w:sz w:val="32"/>
          <w:szCs w:val="32"/>
          <w:lang w:val="en-US" w:eastAsia="zh-CN"/>
        </w:rPr>
        <w:t>5.卫生健康（210）行政事业单位医疗（11）事业单位医疗支出（02）:</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万元，完成预算100%，决算数等于预算数。</w:t>
      </w:r>
    </w:p>
    <w:p w14:paraId="05896BB6">
      <w:pPr>
        <w:spacing w:line="578" w:lineRule="exact"/>
        <w:ind w:firstLine="643" w:firstLineChars="200"/>
        <w:jc w:val="left"/>
        <w:rPr>
          <w:rFonts w:ascii="仿宋" w:hAnsi="仿宋" w:eastAsia="仿宋"/>
          <w:b/>
          <w:sz w:val="32"/>
          <w:szCs w:val="32"/>
        </w:rPr>
      </w:pPr>
      <w:r>
        <w:rPr>
          <w:rStyle w:val="16"/>
          <w:rFonts w:hint="eastAsia" w:ascii="仿宋" w:hAnsi="仿宋" w:eastAsia="仿宋" w:cstheme="minorBidi"/>
          <w:bCs/>
          <w:sz w:val="32"/>
          <w:szCs w:val="32"/>
          <w:lang w:val="en-US" w:eastAsia="zh-CN"/>
        </w:rPr>
        <w:t>6.住房保障支出（221）住房改革支出（02）住房公积金（01）：</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2.42</w:t>
      </w:r>
      <w:r>
        <w:rPr>
          <w:rFonts w:hint="eastAsia" w:ascii="仿宋_GB2312" w:hAnsi="仿宋_GB2312" w:eastAsia="仿宋_GB2312" w:cs="仿宋_GB2312"/>
          <w:sz w:val="32"/>
          <w:szCs w:val="32"/>
        </w:rPr>
        <w:t>万元，完成预算100%，决算数等于预算数。</w:t>
      </w:r>
    </w:p>
    <w:p w14:paraId="764B377B">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1685DADE">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91.01</w:t>
      </w:r>
      <w:r>
        <w:rPr>
          <w:rFonts w:hint="eastAsia" w:ascii="仿宋" w:hAnsi="仿宋" w:eastAsia="仿宋"/>
          <w:sz w:val="32"/>
          <w:szCs w:val="32"/>
        </w:rPr>
        <w:t>万元，其中：</w:t>
      </w:r>
    </w:p>
    <w:p w14:paraId="078F5C0E">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89.31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7E45738">
      <w:pPr>
        <w:spacing w:line="600" w:lineRule="exact"/>
        <w:ind w:firstLine="640"/>
        <w:outlineLvl w:val="1"/>
        <w:rPr>
          <w:rFonts w:hint="eastAsia" w:ascii="黑体" w:eastAsia="黑体"/>
          <w:sz w:val="32"/>
          <w:szCs w:val="32"/>
        </w:rPr>
      </w:pPr>
      <w:bookmarkStart w:id="36" w:name="_Toc15396609"/>
      <w:bookmarkStart w:id="37" w:name="_Toc15377215"/>
    </w:p>
    <w:p w14:paraId="58FA90D2">
      <w:pPr>
        <w:spacing w:line="600" w:lineRule="exact"/>
        <w:ind w:firstLine="640"/>
        <w:outlineLvl w:val="1"/>
        <w:rPr>
          <w:rStyle w:val="28"/>
          <w:rFonts w:ascii="黑体" w:hAnsi="黑体" w:eastAsia="黑体"/>
          <w:b w:val="0"/>
        </w:rPr>
      </w:pPr>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1AD7CBAC">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2E84481">
      <w:pPr>
        <w:spacing w:line="600" w:lineRule="exact"/>
        <w:ind w:firstLine="640"/>
        <w:rPr>
          <w:rFonts w:hint="eastAsia"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6.75</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hint="eastAsia" w:ascii="仿宋" w:hAnsi="仿宋" w:eastAsia="仿宋"/>
          <w:sz w:val="32"/>
          <w:szCs w:val="32"/>
        </w:rPr>
        <w:t>%。</w:t>
      </w:r>
      <w:bookmarkStart w:id="39" w:name="_Toc15377217"/>
    </w:p>
    <w:p w14:paraId="39B2EF24">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39"/>
    </w:p>
    <w:p w14:paraId="1C45A416">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04A1E986">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5408" behindDoc="0" locked="0" layoutInCell="1" allowOverlap="1">
            <wp:simplePos x="0" y="0"/>
            <wp:positionH relativeFrom="column">
              <wp:posOffset>139065</wp:posOffset>
            </wp:positionH>
            <wp:positionV relativeFrom="paragraph">
              <wp:posOffset>74930</wp:posOffset>
            </wp:positionV>
            <wp:extent cx="5256530" cy="2988310"/>
            <wp:effectExtent l="5080" t="4445" r="15240" b="1714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61A974A">
      <w:pPr>
        <w:spacing w:line="600" w:lineRule="exact"/>
        <w:ind w:firstLine="640"/>
        <w:rPr>
          <w:rFonts w:hint="eastAsia" w:ascii="仿宋" w:hAnsi="仿宋" w:eastAsia="仿宋"/>
          <w:sz w:val="32"/>
          <w:szCs w:val="32"/>
        </w:rPr>
      </w:pPr>
    </w:p>
    <w:p w14:paraId="3018204E">
      <w:pPr>
        <w:spacing w:line="600" w:lineRule="exact"/>
        <w:ind w:firstLine="640"/>
        <w:rPr>
          <w:rFonts w:hint="eastAsia" w:ascii="仿宋" w:hAnsi="仿宋" w:eastAsia="仿宋"/>
          <w:sz w:val="32"/>
          <w:szCs w:val="32"/>
        </w:rPr>
      </w:pPr>
    </w:p>
    <w:p w14:paraId="3D39F501">
      <w:pPr>
        <w:spacing w:line="600" w:lineRule="exact"/>
        <w:ind w:firstLine="640"/>
        <w:rPr>
          <w:rFonts w:hint="eastAsia" w:ascii="仿宋" w:hAnsi="仿宋" w:eastAsia="仿宋"/>
          <w:sz w:val="32"/>
          <w:szCs w:val="32"/>
        </w:rPr>
      </w:pPr>
    </w:p>
    <w:p w14:paraId="7455912C">
      <w:pPr>
        <w:spacing w:line="600" w:lineRule="exact"/>
        <w:ind w:firstLine="640"/>
        <w:rPr>
          <w:rFonts w:hint="eastAsia" w:ascii="仿宋" w:hAnsi="仿宋" w:eastAsia="仿宋"/>
          <w:sz w:val="32"/>
          <w:szCs w:val="32"/>
        </w:rPr>
      </w:pPr>
    </w:p>
    <w:p w14:paraId="6D2B5733">
      <w:pPr>
        <w:spacing w:line="600" w:lineRule="exact"/>
        <w:ind w:firstLine="640"/>
        <w:rPr>
          <w:rFonts w:hint="eastAsia" w:ascii="仿宋" w:hAnsi="仿宋" w:eastAsia="仿宋"/>
          <w:sz w:val="32"/>
          <w:szCs w:val="32"/>
        </w:rPr>
      </w:pPr>
    </w:p>
    <w:p w14:paraId="4CE03A7E">
      <w:pPr>
        <w:spacing w:line="600" w:lineRule="exact"/>
        <w:ind w:firstLine="640"/>
        <w:rPr>
          <w:rFonts w:hint="eastAsia" w:ascii="仿宋" w:hAnsi="仿宋" w:eastAsia="仿宋"/>
          <w:sz w:val="32"/>
          <w:szCs w:val="32"/>
        </w:rPr>
      </w:pPr>
    </w:p>
    <w:p w14:paraId="0A04C396">
      <w:pPr>
        <w:spacing w:line="600" w:lineRule="exact"/>
        <w:rPr>
          <w:rFonts w:hint="eastAsia" w:ascii="仿宋" w:hAnsi="仿宋" w:eastAsia="仿宋"/>
          <w:sz w:val="32"/>
          <w:szCs w:val="32"/>
        </w:rPr>
      </w:pPr>
    </w:p>
    <w:p w14:paraId="73B8533F">
      <w:pPr>
        <w:spacing w:line="600" w:lineRule="exact"/>
        <w:jc w:val="center"/>
        <w:rPr>
          <w:rFonts w:hint="eastAsia" w:ascii="仿宋" w:hAnsi="仿宋" w:eastAsia="仿宋"/>
          <w:sz w:val="32"/>
          <w:szCs w:val="32"/>
        </w:rPr>
      </w:pPr>
      <w:r>
        <w:rPr>
          <w:rFonts w:hint="eastAsia" w:ascii="仿宋" w:hAnsi="仿宋" w:eastAsia="仿宋"/>
          <w:sz w:val="32"/>
          <w:szCs w:val="32"/>
        </w:rPr>
        <w:t>（图7：“三公”经费财政拨款支出结构）</w:t>
      </w:r>
      <w:bookmarkStart w:id="40" w:name="_Toc15377218"/>
      <w:bookmarkStart w:id="41" w:name="_Toc15396610"/>
    </w:p>
    <w:p w14:paraId="0A5C90DB">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与</w:t>
      </w:r>
      <w:r>
        <w:rPr>
          <w:rFonts w:hint="eastAsia" w:ascii="仿宋_GB2312" w:eastAsia="仿宋_GB2312"/>
          <w:sz w:val="32"/>
          <w:szCs w:val="32"/>
        </w:rPr>
        <w:t>2022年</w:t>
      </w:r>
      <w:r>
        <w:rPr>
          <w:rFonts w:hint="eastAsia" w:ascii="仿宋_GB2312" w:eastAsia="仿宋_GB2312"/>
          <w:sz w:val="32"/>
          <w:szCs w:val="32"/>
          <w:lang w:val="en-US" w:eastAsia="zh-CN"/>
        </w:rPr>
        <w:t>持平</w:t>
      </w:r>
      <w:r>
        <w:rPr>
          <w:rFonts w:hint="eastAsia" w:ascii="仿宋_GB2312" w:eastAsia="仿宋_GB2312"/>
          <w:sz w:val="32"/>
          <w:szCs w:val="32"/>
        </w:rPr>
        <w:t>。</w:t>
      </w:r>
    </w:p>
    <w:p w14:paraId="74C8051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w:t>
      </w:r>
      <w:r>
        <w:rPr>
          <w:rFonts w:hint="eastAsia" w:ascii="仿宋_GB2312" w:eastAsia="仿宋_GB2312"/>
          <w:sz w:val="32"/>
          <w:szCs w:val="32"/>
          <w:lang w:val="en-US" w:eastAsia="zh-CN"/>
        </w:rPr>
        <w:t>6</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。主要原因是缩减经费，节约政府资金。</w:t>
      </w:r>
    </w:p>
    <w:p w14:paraId="6447FB8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2</w:t>
      </w:r>
      <w:r>
        <w:rPr>
          <w:rFonts w:hint="eastAsia" w:ascii="仿宋_GB2312" w:eastAsia="仿宋_GB2312"/>
          <w:sz w:val="32"/>
          <w:szCs w:val="32"/>
        </w:rPr>
        <w:t>辆。</w:t>
      </w:r>
    </w:p>
    <w:p w14:paraId="63A9349C">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万元。主要用于保障生活无着的流浪乞讨人员返乡救助、街面主动救助等服务工作所需的公务用车燃料费、维修费、过路过桥费、保险费等支出。</w:t>
      </w:r>
    </w:p>
    <w:p w14:paraId="6352517E">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0.75</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。主要原因是缩减开支。其中：</w:t>
      </w:r>
    </w:p>
    <w:p w14:paraId="3C0E9D54">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74C819E4">
      <w:pPr>
        <w:spacing w:line="600" w:lineRule="exact"/>
        <w:ind w:firstLine="643" w:firstLineChars="200"/>
        <w:rPr>
          <w:rFonts w:hint="eastAsia" w:ascii="仿宋_GB2312" w:hAnsi="Times New Roman" w:eastAsia="仿宋_GB2312" w:cs="Times New Roman"/>
          <w:color w:val="auto"/>
          <w:sz w:val="32"/>
          <w:szCs w:val="32"/>
          <w:highlight w:val="none"/>
        </w:rPr>
      </w:pPr>
      <w:r>
        <w:rPr>
          <w:rFonts w:hint="eastAsia" w:ascii="仿宋" w:hAnsi="仿宋" w:eastAsia="仿宋"/>
          <w:b/>
          <w:sz w:val="32"/>
          <w:szCs w:val="32"/>
        </w:rPr>
        <w:t>外事接待支</w:t>
      </w:r>
      <w:r>
        <w:rPr>
          <w:rFonts w:hint="eastAsia" w:ascii="仿宋" w:hAnsi="仿宋" w:eastAsia="仿宋" w:cs="Times New Roman"/>
          <w:b/>
          <w:sz w:val="32"/>
          <w:szCs w:val="32"/>
        </w:rPr>
        <w:t>出</w:t>
      </w:r>
      <w:r>
        <w:rPr>
          <w:rFonts w:hint="eastAsia" w:ascii="仿宋" w:hAnsi="仿宋" w:eastAsia="仿宋" w:cs="Times New Roman"/>
          <w:b/>
          <w:sz w:val="32"/>
          <w:szCs w:val="32"/>
          <w:lang w:val="en-US" w:eastAsia="zh-CN"/>
        </w:rPr>
        <w:t>0</w:t>
      </w:r>
      <w:r>
        <w:rPr>
          <w:rFonts w:hint="eastAsia" w:ascii="仿宋" w:hAnsi="仿宋" w:eastAsia="仿宋" w:cs="Times New Roman"/>
          <w:b/>
          <w:sz w:val="32"/>
          <w:szCs w:val="32"/>
        </w:rPr>
        <w:t>万元</w:t>
      </w:r>
      <w:r>
        <w:rPr>
          <w:rFonts w:hint="eastAsia" w:ascii="仿宋" w:hAnsi="仿宋" w:eastAsia="仿宋" w:cs="Times New Roman"/>
          <w:b/>
          <w:sz w:val="32"/>
          <w:szCs w:val="32"/>
          <w:lang w:eastAsia="zh-CN"/>
        </w:rPr>
        <w:t>。</w:t>
      </w:r>
      <w:r>
        <w:rPr>
          <w:rFonts w:hint="eastAsia" w:ascii="仿宋_GB2312" w:hAnsi="Times New Roman" w:eastAsia="仿宋_GB2312" w:cs="Times New Roman"/>
          <w:color w:val="auto"/>
          <w:sz w:val="32"/>
          <w:szCs w:val="32"/>
          <w:highlight w:val="none"/>
        </w:rPr>
        <w:t>外事接待</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批次，</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人</w:t>
      </w:r>
      <w:r>
        <w:rPr>
          <w:rFonts w:hint="eastAsia" w:ascii="仿宋_GB2312" w:hAnsi="Times New Roman" w:eastAsia="仿宋_GB2312" w:cs="Times New Roman"/>
          <w:color w:val="auto"/>
          <w:sz w:val="32"/>
          <w:szCs w:val="32"/>
          <w:highlight w:val="none"/>
          <w:lang w:eastAsia="zh-CN"/>
        </w:rPr>
        <w:t>次（不包括陪同人员）</w:t>
      </w:r>
      <w:r>
        <w:rPr>
          <w:rFonts w:hint="eastAsia" w:ascii="仿宋_GB2312" w:hAnsi="Times New Roman" w:eastAsia="仿宋_GB2312" w:cs="Times New Roman"/>
          <w:color w:val="auto"/>
          <w:sz w:val="32"/>
          <w:szCs w:val="32"/>
          <w:highlight w:val="none"/>
        </w:rPr>
        <w:t>，共计支出</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p>
    <w:p w14:paraId="09755305">
      <w:pPr>
        <w:spacing w:line="600" w:lineRule="exact"/>
        <w:ind w:firstLine="640" w:firstLineChars="200"/>
        <w:rPr>
          <w:rFonts w:hint="eastAsia" w:ascii="仿宋_GB2312" w:hAnsi="Times New Roman" w:eastAsia="仿宋_GB2312" w:cs="Times New Roman"/>
          <w:color w:val="auto"/>
          <w:sz w:val="32"/>
          <w:szCs w:val="32"/>
          <w:highlight w:val="none"/>
        </w:rPr>
      </w:pPr>
    </w:p>
    <w:p w14:paraId="25BAD3F3">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1E7CDA8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D52E8D3">
      <w:pPr>
        <w:spacing w:line="600" w:lineRule="exact"/>
        <w:ind w:firstLine="640"/>
        <w:rPr>
          <w:rFonts w:ascii="仿宋_GB2312" w:eastAsia="仿宋_GB2312"/>
          <w:sz w:val="32"/>
          <w:szCs w:val="32"/>
        </w:rPr>
      </w:pPr>
    </w:p>
    <w:p w14:paraId="56FADBE2">
      <w:pPr>
        <w:numPr>
          <w:ilvl w:val="0"/>
          <w:numId w:val="1"/>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654FCE95">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7E61118">
      <w:pPr>
        <w:spacing w:line="580" w:lineRule="exact"/>
        <w:jc w:val="center"/>
        <w:rPr>
          <w:rFonts w:ascii="方正小标宋简体" w:hAnsi="方正小标宋简体" w:eastAsia="方正小标宋简体" w:cs="方正小标宋简体"/>
          <w:sz w:val="44"/>
          <w:szCs w:val="44"/>
        </w:rPr>
      </w:pPr>
    </w:p>
    <w:p w14:paraId="54B2D7F2">
      <w:pPr>
        <w:numPr>
          <w:ilvl w:val="0"/>
          <w:numId w:val="1"/>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1B6E33FE">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00688D9">
      <w:pPr>
        <w:spacing w:line="60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2023年度</w:t>
      </w:r>
      <w:r>
        <w:rPr>
          <w:rFonts w:hint="eastAsia" w:ascii="仿宋_GB2312" w:hAnsi="Times New Roman" w:eastAsia="仿宋_GB2312" w:cs="Times New Roman"/>
          <w:sz w:val="32"/>
          <w:szCs w:val="32"/>
        </w:rPr>
        <w:t>，大竹县救助管理站执行事业单位会计制度，无机关运行经费。</w:t>
      </w:r>
    </w:p>
    <w:p w14:paraId="435E476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307C7D1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大竹县救助管理站</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322BFF1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2D8051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大竹县救助管理站</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辆，其他用车主要是用于保障生活无着的流浪乞讨人员返乡救助、街面主动救助等服务工作所需的公务用车。单价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9BD9E1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6E5E261">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流浪乞讨人员救助1</w:t>
      </w:r>
      <w:r>
        <w:rPr>
          <w:rFonts w:hint="eastAsia" w:ascii="仿宋_GB2312" w:eastAsia="仿宋_GB2312"/>
          <w:sz w:val="32"/>
          <w:szCs w:val="32"/>
        </w:rPr>
        <w:t>个项目开展了预算事前绩效评估，对流浪乞讨人员救助</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w:t>
      </w:r>
      <w:r>
        <w:rPr>
          <w:rFonts w:hint="eastAsia" w:ascii="仿宋_GB2312" w:eastAsia="仿宋_GB2312"/>
          <w:sz w:val="32"/>
          <w:szCs w:val="32"/>
          <w:lang w:val="en-US" w:eastAsia="zh-CN"/>
        </w:rPr>
        <w:t>对该</w:t>
      </w:r>
      <w:r>
        <w:rPr>
          <w:rFonts w:hint="eastAsia" w:ascii="仿宋_GB2312" w:eastAsia="仿宋_GB2312"/>
          <w:sz w:val="32"/>
          <w:szCs w:val="32"/>
        </w:rPr>
        <w:t>项目开展绩效监控，组织对</w:t>
      </w:r>
      <w:r>
        <w:rPr>
          <w:rFonts w:hint="eastAsia" w:ascii="仿宋_GB2312" w:eastAsia="仿宋_GB2312"/>
          <w:sz w:val="32"/>
          <w:szCs w:val="32"/>
          <w:lang w:val="en-US" w:eastAsia="zh-CN"/>
        </w:rPr>
        <w:t>该</w:t>
      </w:r>
      <w:r>
        <w:rPr>
          <w:rFonts w:hint="eastAsia" w:ascii="仿宋_GB2312" w:eastAsia="仿宋_GB2312"/>
          <w:sz w:val="32"/>
          <w:szCs w:val="32"/>
        </w:rPr>
        <w:t>项目开展绩效自评，绩效自评表详见第四部分附件。</w:t>
      </w:r>
    </w:p>
    <w:p w14:paraId="7C69F50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9E3B50A">
      <w:pPr>
        <w:numPr>
          <w:ilvl w:val="0"/>
          <w:numId w:val="2"/>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718FFBDB">
      <w:pPr>
        <w:spacing w:line="600" w:lineRule="exact"/>
        <w:jc w:val="left"/>
        <w:rPr>
          <w:rFonts w:ascii="宋体"/>
          <w:b/>
          <w:sz w:val="44"/>
          <w:szCs w:val="44"/>
        </w:rPr>
      </w:pPr>
    </w:p>
    <w:p w14:paraId="459F6B5E">
      <w:pPr>
        <w:spacing w:line="600" w:lineRule="exact"/>
        <w:ind w:firstLine="640"/>
        <w:rPr>
          <w:rFonts w:ascii="仿宋_GB2312" w:hAnsi="仿宋_GB2312" w:eastAsia="仿宋_GB2312" w:cs="仿宋_GB2312"/>
          <w:sz w:val="32"/>
          <w:szCs w:val="32"/>
        </w:rPr>
      </w:pPr>
      <w:bookmarkStart w:id="51" w:name="_Toc15377226"/>
      <w:r>
        <w:rPr>
          <w:rFonts w:hint="eastAsia" w:ascii="仿宋_GB2312" w:hAnsi="仿宋_GB2312" w:eastAsia="仿宋_GB2312" w:cs="仿宋_GB2312"/>
          <w:sz w:val="32"/>
          <w:szCs w:val="32"/>
        </w:rPr>
        <w:t>1.财政拨款收入：指单位从同级财政部门取得的财政预算资金。</w:t>
      </w:r>
    </w:p>
    <w:p w14:paraId="4CE096E5">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14:paraId="3FEBD96E">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14:paraId="5AD4AA44">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4.其他收入：指单位取得的除上述收入以外的各项收入。 </w:t>
      </w:r>
    </w:p>
    <w:p w14:paraId="451BB488">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00928103">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6.年初结转和结余：指以前年度尚未完成、结转到本年按有关规定继续使用的资金。 </w:t>
      </w:r>
    </w:p>
    <w:p w14:paraId="7F9B8195">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14:paraId="0844F98A">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14:paraId="701EF841">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9.社会保障和就业（208）行政事业单位</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（05）机关事业单位基本养老保险缴费支出（05）：指机关事业单位实施养老保险制度由单位缴纳的基本养老保险费支出。</w:t>
      </w:r>
    </w:p>
    <w:p w14:paraId="3DD94C3E">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社会保障和就业（208）行政事业单位</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val="en-US" w:eastAsia="zh-CN"/>
        </w:rPr>
        <w:t>其他行政事业养老</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指其他行政事业养老支出。</w:t>
      </w:r>
    </w:p>
    <w:p w14:paraId="2FD5D37D">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社会保障和就业（208）临时救助（20）</w:t>
      </w:r>
      <w:r>
        <w:rPr>
          <w:rFonts w:hint="eastAsia" w:ascii="仿宋_GB2312" w:hAnsi="仿宋_GB2312" w:eastAsia="仿宋_GB2312" w:cs="仿宋_GB2312"/>
          <w:sz w:val="32"/>
          <w:szCs w:val="32"/>
          <w:lang w:eastAsia="zh-CN"/>
        </w:rPr>
        <w:t>临时救助支出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：指用于困难群众临时生活救助支出。</w:t>
      </w:r>
    </w:p>
    <w:p w14:paraId="676B0F88">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.社会保障和就业（208）临时救助（20）流浪乞讨人员救助支出（02）：指用于生活无着的流浪乞讨人员的救助支出和救助管理机构的运转支出。</w:t>
      </w:r>
    </w:p>
    <w:p w14:paraId="79BF1937">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（210）</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事业单位医疗支出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Style w:val="16"/>
          <w:rFonts w:hint="eastAsia" w:ascii="仿宋_GB2312" w:eastAsia="仿宋_GB2312"/>
          <w:b w:val="0"/>
          <w:color w:val="000000"/>
          <w:sz w:val="32"/>
          <w:szCs w:val="32"/>
          <w:lang w:eastAsia="zh-CN"/>
        </w:rPr>
        <w:t>指事业单位基本医疗保险缴费</w:t>
      </w:r>
      <w:r>
        <w:rPr>
          <w:rFonts w:hint="eastAsia" w:ascii="仿宋_GB2312" w:eastAsia="仿宋_GB2312"/>
          <w:color w:val="000000"/>
          <w:sz w:val="32"/>
          <w:szCs w:val="32"/>
        </w:rPr>
        <w:t>支出</w:t>
      </w:r>
      <w:r>
        <w:rPr>
          <w:rFonts w:hint="eastAsia" w:ascii="仿宋_GB2312" w:hAnsi="仿宋_GB2312" w:eastAsia="仿宋_GB2312" w:cs="仿宋_GB2312"/>
          <w:sz w:val="32"/>
          <w:szCs w:val="32"/>
        </w:rPr>
        <w:t>。</w:t>
      </w:r>
    </w:p>
    <w:p w14:paraId="74866E43">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住房保障支出（221）住房改革支出（02）住房公积金（01）：</w:t>
      </w:r>
      <w:r>
        <w:rPr>
          <w:rFonts w:hint="eastAsia" w:ascii="仿宋_GB2312" w:eastAsia="仿宋_GB2312"/>
          <w:sz w:val="32"/>
          <w:szCs w:val="32"/>
        </w:rPr>
        <w:t>指本单位在职职工的住房公积金缴费</w:t>
      </w:r>
      <w:r>
        <w:rPr>
          <w:rFonts w:hint="eastAsia" w:ascii="仿宋_GB2312" w:hAnsi="仿宋_GB2312" w:eastAsia="仿宋_GB2312" w:cs="仿宋_GB2312"/>
          <w:sz w:val="32"/>
          <w:szCs w:val="32"/>
        </w:rPr>
        <w:t>。</w:t>
      </w:r>
    </w:p>
    <w:p w14:paraId="373F48B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.基本支出：指为保障机构正常运转、完成日常工作任务而发生的人员支出和公用支出。</w:t>
      </w:r>
    </w:p>
    <w:p w14:paraId="6B433AC2">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14:paraId="245D65DD">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14:paraId="294BEA54">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4DC3D89">
      <w:pPr>
        <w:spacing w:line="600" w:lineRule="exact"/>
        <w:jc w:val="center"/>
        <w:outlineLvl w:val="0"/>
        <w:rPr>
          <w:rStyle w:val="27"/>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693409FC">
      <w:pPr>
        <w:spacing w:line="572" w:lineRule="exact"/>
        <w:jc w:val="left"/>
        <w:outlineLvl w:val="0"/>
        <w:rPr>
          <w:rFonts w:ascii="仿宋_GB2312" w:hAnsi="仿宋_GB2312" w:eastAsia="仿宋_GB2312" w:cs="仿宋_GB2312"/>
          <w:sz w:val="32"/>
          <w:szCs w:val="32"/>
        </w:rPr>
      </w:pPr>
    </w:p>
    <w:p w14:paraId="7211733A">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372AB250">
      <w:pPr>
        <w:pStyle w:val="13"/>
        <w:spacing w:line="560" w:lineRule="exact"/>
        <w:ind w:left="0" w:leftChars="0" w:firstLine="640"/>
        <w:rPr>
          <w:sz w:val="32"/>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8"/>
        <w:gridCol w:w="640"/>
        <w:gridCol w:w="868"/>
        <w:gridCol w:w="1362"/>
        <w:gridCol w:w="453"/>
        <w:gridCol w:w="526"/>
        <w:gridCol w:w="807"/>
        <w:gridCol w:w="878"/>
        <w:gridCol w:w="489"/>
        <w:gridCol w:w="489"/>
        <w:gridCol w:w="1382"/>
      </w:tblGrid>
      <w:tr w14:paraId="1764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vAlign w:val="center"/>
          </w:tcPr>
          <w:p w14:paraId="5CB2DB7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508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3AF0E7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vAlign w:val="center"/>
          </w:tcPr>
          <w:p w14:paraId="5E3862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51172423T000008609637-流浪乞讨人员救助支出</w:t>
            </w:r>
          </w:p>
        </w:tc>
      </w:tr>
      <w:tr w14:paraId="00AF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273934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center"/>
          </w:tcPr>
          <w:p w14:paraId="30EC1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大竹县救助管理站部门</w:t>
            </w:r>
          </w:p>
        </w:tc>
        <w:tc>
          <w:tcPr>
            <w:tcW w:w="0" w:type="auto"/>
            <w:tcBorders>
              <w:top w:val="nil"/>
              <w:left w:val="nil"/>
              <w:bottom w:val="nil"/>
              <w:right w:val="nil"/>
            </w:tcBorders>
            <w:shd w:val="clear"/>
            <w:vAlign w:val="center"/>
          </w:tcPr>
          <w:p w14:paraId="58131F1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6042E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大竹县救助管理站</w:t>
            </w:r>
          </w:p>
        </w:tc>
      </w:tr>
      <w:tr w14:paraId="25AB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9529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970C0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center"/>
          </w:tcPr>
          <w:p w14:paraId="2D403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center"/>
          </w:tcPr>
          <w:p w14:paraId="3F0212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246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CC4B8C0">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BA43C6D">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vAlign w:val="center"/>
          </w:tcPr>
          <w:p w14:paraId="7474ED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全县生活无着流浪乞讨人员提供临时性救助服务及城区有监护人无监护能力的精神障碍患者、狂燥性精神障碍患者救治救助等，主要包括实施主动救助、生活救助、医疗救治、教育矫治、返乡救助、临时安置、未成年人关爱保护等救助保护措施，保障流浪乞讨人员基本生活及生存权益，确保生活无着流浪乞讨人员及时得到救助，应救尽救。</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center"/>
          </w:tcPr>
          <w:p w14:paraId="4033F8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全县生活无着的流浪乞讨给予及时救助，基本生活和人生安全得以保障。</w:t>
            </w:r>
          </w:p>
        </w:tc>
      </w:tr>
      <w:tr w14:paraId="1711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DE268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CBC4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vAlign w:val="center"/>
          </w:tcPr>
          <w:p w14:paraId="0CA79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全县生活无着流浪乞讨人员提供临时性救助服务，根据实际情况对其实施主动救助、生活救助、医疗救治、教育矫治、返乡救助、临时安置等6大救助保护措施。对城区有监护人无监护能力的精神障碍患者、狂燥性精神障碍患者救治救助。</w:t>
            </w:r>
            <w:bookmarkStart w:id="67" w:name="_GoBack"/>
            <w:bookmarkEnd w:id="67"/>
          </w:p>
        </w:tc>
      </w:tr>
      <w:tr w14:paraId="1132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6E85E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793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1E5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C4E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3F341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18C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1B8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802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441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B09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237D0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61B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F25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591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126.31</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3363B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46D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B83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981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DC722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8CB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BB65B7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F1E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76A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ABA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126.31</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67295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D132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699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CEE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255B79E">
            <w:pPr>
              <w:rPr>
                <w:rFonts w:hint="eastAsia" w:ascii="黑体" w:hAnsi="黑体" w:eastAsia="黑体" w:cs="黑体"/>
                <w:i w:val="0"/>
                <w:iCs w:val="0"/>
                <w:color w:val="000000"/>
                <w:sz w:val="18"/>
                <w:szCs w:val="18"/>
                <w:u w:val="none"/>
              </w:rPr>
            </w:pPr>
          </w:p>
        </w:tc>
      </w:tr>
      <w:tr w14:paraId="6220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47B8A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595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487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3BC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5C6AC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A5A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CCE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79F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D4EFB24">
            <w:pPr>
              <w:rPr>
                <w:rFonts w:hint="eastAsia" w:ascii="黑体" w:hAnsi="黑体" w:eastAsia="黑体" w:cs="黑体"/>
                <w:i w:val="0"/>
                <w:iCs w:val="0"/>
                <w:color w:val="000000"/>
                <w:sz w:val="18"/>
                <w:szCs w:val="18"/>
                <w:u w:val="none"/>
              </w:rPr>
            </w:pPr>
          </w:p>
        </w:tc>
      </w:tr>
      <w:tr w14:paraId="1BA8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61711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9E2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A59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E3A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53E0E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C21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413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7BC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30D3073">
            <w:pPr>
              <w:rPr>
                <w:rFonts w:hint="eastAsia" w:ascii="黑体" w:hAnsi="黑体" w:eastAsia="黑体" w:cs="黑体"/>
                <w:i w:val="0"/>
                <w:iCs w:val="0"/>
                <w:color w:val="000000"/>
                <w:sz w:val="18"/>
                <w:szCs w:val="18"/>
                <w:u w:val="none"/>
              </w:rPr>
            </w:pPr>
          </w:p>
        </w:tc>
      </w:tr>
      <w:tr w14:paraId="1B9E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CCC01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87B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FC236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8C0D72">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4B286D7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74453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D5C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EFD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4F293E4">
            <w:pPr>
              <w:rPr>
                <w:rFonts w:hint="eastAsia" w:ascii="黑体" w:hAnsi="黑体" w:eastAsia="黑体" w:cs="黑体"/>
                <w:i w:val="0"/>
                <w:iCs w:val="0"/>
                <w:color w:val="000000"/>
                <w:sz w:val="18"/>
                <w:szCs w:val="18"/>
                <w:u w:val="none"/>
              </w:rPr>
            </w:pPr>
          </w:p>
        </w:tc>
      </w:tr>
      <w:tr w14:paraId="759E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353C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6A8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2A4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D49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A39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721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8EF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830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0FF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CA9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A3B5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2B1E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F9D14F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15193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54B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3BF54D">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完成生活无着的流浪乞讨人员专项救助人数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3C6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866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034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2407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F7F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925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40A0FF">
            <w:pPr>
              <w:jc w:val="center"/>
              <w:rPr>
                <w:rFonts w:hint="eastAsia" w:ascii="微软雅黑" w:hAnsi="微软雅黑" w:eastAsia="微软雅黑" w:cs="微软雅黑"/>
                <w:i/>
                <w:iCs/>
                <w:color w:val="000000"/>
                <w:sz w:val="16"/>
                <w:szCs w:val="16"/>
                <w:u w:val="none"/>
              </w:rPr>
            </w:pPr>
          </w:p>
        </w:tc>
      </w:tr>
      <w:tr w14:paraId="2071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FB8C4A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85C32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E5F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8B1796">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严格按照500元/人次的救助标准实施救助，保障流浪乞讨人员救助资金合理合规并及时拨付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006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C50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F58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E922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69B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C4A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A23615">
            <w:pPr>
              <w:jc w:val="center"/>
              <w:rPr>
                <w:rFonts w:hint="eastAsia" w:ascii="微软雅黑" w:hAnsi="微软雅黑" w:eastAsia="微软雅黑" w:cs="微软雅黑"/>
                <w:i/>
                <w:iCs/>
                <w:color w:val="000000"/>
                <w:sz w:val="16"/>
                <w:szCs w:val="16"/>
                <w:u w:val="none"/>
              </w:rPr>
            </w:pPr>
          </w:p>
        </w:tc>
      </w:tr>
      <w:tr w14:paraId="0BA1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B25089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73F377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C8C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ADC86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955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DFD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3AD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E2FE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4BC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483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322FBC">
            <w:pPr>
              <w:jc w:val="center"/>
              <w:rPr>
                <w:rFonts w:hint="eastAsia" w:ascii="微软雅黑" w:hAnsi="微软雅黑" w:eastAsia="微软雅黑" w:cs="微软雅黑"/>
                <w:i/>
                <w:iCs/>
                <w:color w:val="000000"/>
                <w:sz w:val="16"/>
                <w:szCs w:val="16"/>
                <w:u w:val="none"/>
              </w:rPr>
            </w:pPr>
          </w:p>
        </w:tc>
      </w:tr>
      <w:tr w14:paraId="1EE5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07B0066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5D9EA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E5E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506962">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保障流浪乞讨人员生活及医疗救助，维护社会稳定，确保无流浪乞讨人员冻死、饿死、滋扰他人等超越底线事件发生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065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C805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51A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2B5B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0起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E14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EFA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C147E3">
            <w:pPr>
              <w:jc w:val="center"/>
              <w:rPr>
                <w:rFonts w:hint="eastAsia" w:ascii="微软雅黑" w:hAnsi="微软雅黑" w:eastAsia="微软雅黑" w:cs="微软雅黑"/>
                <w:i/>
                <w:iCs/>
                <w:color w:val="000000"/>
                <w:sz w:val="16"/>
                <w:szCs w:val="16"/>
                <w:u w:val="none"/>
              </w:rPr>
            </w:pPr>
          </w:p>
        </w:tc>
      </w:tr>
      <w:tr w14:paraId="61C8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0FDA5F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A9EBC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B8B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7EF29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保障流浪乞讨人员基本生活及生存权益，确保生活无着流浪乞讨人员及时得到救助，应救尽救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67A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D4F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DE2B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8287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6CA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D0A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AA1523">
            <w:pPr>
              <w:jc w:val="center"/>
              <w:rPr>
                <w:rFonts w:hint="eastAsia" w:ascii="微软雅黑" w:hAnsi="微软雅黑" w:eastAsia="微软雅黑" w:cs="微软雅黑"/>
                <w:i/>
                <w:iCs/>
                <w:color w:val="000000"/>
                <w:sz w:val="16"/>
                <w:szCs w:val="16"/>
                <w:u w:val="none"/>
              </w:rPr>
            </w:pPr>
          </w:p>
        </w:tc>
      </w:tr>
      <w:tr w14:paraId="46D4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16F316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BE7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266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DEE5D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让救助对象感受温暖关怀，确保救助对象满意度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984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46E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869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E413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ACA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9DC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162A93">
            <w:pPr>
              <w:jc w:val="center"/>
              <w:rPr>
                <w:rFonts w:hint="eastAsia" w:ascii="微软雅黑" w:hAnsi="微软雅黑" w:eastAsia="微软雅黑" w:cs="微软雅黑"/>
                <w:i/>
                <w:iCs/>
                <w:color w:val="000000"/>
                <w:sz w:val="16"/>
                <w:szCs w:val="16"/>
                <w:u w:val="none"/>
              </w:rPr>
            </w:pPr>
          </w:p>
        </w:tc>
      </w:tr>
      <w:tr w14:paraId="3BC3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8A427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2EE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1D9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283F0E">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bdr w:val="none" w:color="auto" w:sz="0" w:space="0"/>
                <w:lang w:val="en-US" w:eastAsia="zh-CN" w:bidi="ar"/>
              </w:rPr>
              <w:t>按标准拨付救助资金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7CF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F47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9F5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元/人·次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26F3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744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E8B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9B7BC4">
            <w:pPr>
              <w:jc w:val="center"/>
              <w:rPr>
                <w:rFonts w:hint="eastAsia" w:ascii="微软雅黑" w:hAnsi="微软雅黑" w:eastAsia="微软雅黑" w:cs="微软雅黑"/>
                <w:i/>
                <w:iCs/>
                <w:color w:val="000000"/>
                <w:sz w:val="16"/>
                <w:szCs w:val="16"/>
                <w:u w:val="none"/>
              </w:rPr>
            </w:pPr>
          </w:p>
        </w:tc>
      </w:tr>
      <w:tr w14:paraId="6601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vAlign w:val="center"/>
          </w:tcPr>
          <w:p w14:paraId="50790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A5D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BA2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984DE4">
            <w:pPr>
              <w:rPr>
                <w:rFonts w:hint="eastAsia" w:ascii="宋体" w:hAnsi="宋体" w:eastAsia="宋体" w:cs="宋体"/>
                <w:i w:val="0"/>
                <w:iCs w:val="0"/>
                <w:color w:val="000000"/>
                <w:sz w:val="18"/>
                <w:szCs w:val="18"/>
                <w:u w:val="none"/>
              </w:rPr>
            </w:pPr>
          </w:p>
        </w:tc>
      </w:tr>
      <w:tr w14:paraId="4222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D5B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584B6FC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自评总得分100分</w:t>
            </w:r>
          </w:p>
        </w:tc>
      </w:tr>
      <w:tr w14:paraId="316A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13F0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4EB30D0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r w14:paraId="5210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846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vAlign w:val="center"/>
          </w:tcPr>
          <w:p w14:paraId="13ECAC0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无</w:t>
            </w:r>
          </w:p>
        </w:tc>
      </w:tr>
    </w:tbl>
    <w:p w14:paraId="6BB29419">
      <w:pPr>
        <w:pStyle w:val="5"/>
        <w:spacing w:before="93"/>
        <w:rPr>
          <w:rFonts w:hAnsi="Calibri" w:cs="仿宋"/>
          <w:sz w:val="32"/>
          <w:szCs w:val="32"/>
        </w:rPr>
      </w:pPr>
    </w:p>
    <w:p w14:paraId="476EC42B">
      <w:pPr>
        <w:pStyle w:val="5"/>
        <w:spacing w:before="93"/>
        <w:rPr>
          <w:rFonts w:hAnsi="Calibri" w:cs="仿宋"/>
          <w:sz w:val="32"/>
          <w:szCs w:val="32"/>
        </w:rPr>
      </w:pPr>
    </w:p>
    <w:p w14:paraId="02DAD416">
      <w:pPr>
        <w:pStyle w:val="5"/>
        <w:spacing w:before="93"/>
        <w:rPr>
          <w:rFonts w:hAnsi="Calibri" w:cs="仿宋"/>
          <w:sz w:val="32"/>
          <w:szCs w:val="32"/>
        </w:rPr>
      </w:pPr>
    </w:p>
    <w:p w14:paraId="33642D44">
      <w:pPr>
        <w:pStyle w:val="5"/>
        <w:spacing w:before="93"/>
        <w:rPr>
          <w:rFonts w:hAnsi="Calibri" w:cs="仿宋"/>
          <w:sz w:val="32"/>
          <w:szCs w:val="32"/>
        </w:rPr>
      </w:pPr>
    </w:p>
    <w:p w14:paraId="4EC9D117">
      <w:pPr>
        <w:pStyle w:val="5"/>
        <w:spacing w:before="93"/>
        <w:rPr>
          <w:rFonts w:hAnsi="Calibri" w:cs="仿宋"/>
          <w:sz w:val="32"/>
          <w:szCs w:val="32"/>
        </w:rPr>
      </w:pPr>
    </w:p>
    <w:p w14:paraId="7C214D79">
      <w:pPr>
        <w:pStyle w:val="5"/>
        <w:spacing w:before="93"/>
        <w:rPr>
          <w:rFonts w:hAnsi="Calibri" w:cs="仿宋"/>
          <w:sz w:val="32"/>
          <w:szCs w:val="32"/>
        </w:rPr>
      </w:pPr>
    </w:p>
    <w:p w14:paraId="4CF236F0">
      <w:pPr>
        <w:pStyle w:val="5"/>
        <w:spacing w:before="93"/>
        <w:rPr>
          <w:rFonts w:hAnsi="Calibri" w:cs="仿宋"/>
          <w:sz w:val="32"/>
          <w:szCs w:val="32"/>
        </w:rPr>
      </w:pPr>
    </w:p>
    <w:p w14:paraId="3F31C0EA">
      <w:pPr>
        <w:pStyle w:val="5"/>
        <w:spacing w:before="93"/>
        <w:rPr>
          <w:rFonts w:hAnsi="Calibri" w:cs="仿宋"/>
          <w:sz w:val="32"/>
          <w:szCs w:val="32"/>
        </w:rPr>
      </w:pPr>
    </w:p>
    <w:p w14:paraId="40AE8A0F">
      <w:pPr>
        <w:pStyle w:val="5"/>
        <w:spacing w:before="93"/>
        <w:rPr>
          <w:rFonts w:hAnsi="Calibri" w:cs="仿宋"/>
          <w:sz w:val="32"/>
          <w:szCs w:val="32"/>
        </w:rPr>
      </w:pPr>
    </w:p>
    <w:p w14:paraId="26F8A49D">
      <w:pPr>
        <w:pStyle w:val="5"/>
        <w:spacing w:before="93"/>
        <w:rPr>
          <w:rFonts w:hAnsi="Calibri" w:cs="仿宋"/>
          <w:sz w:val="32"/>
          <w:szCs w:val="32"/>
        </w:rPr>
      </w:pPr>
    </w:p>
    <w:p w14:paraId="32EB3640">
      <w:pPr>
        <w:pStyle w:val="5"/>
        <w:spacing w:before="93"/>
        <w:rPr>
          <w:rFonts w:hAnsi="Calibri" w:cs="仿宋"/>
          <w:sz w:val="32"/>
          <w:szCs w:val="32"/>
        </w:rPr>
      </w:pPr>
    </w:p>
    <w:p w14:paraId="7EC68F68">
      <w:pPr>
        <w:pStyle w:val="5"/>
        <w:spacing w:before="93"/>
        <w:rPr>
          <w:rFonts w:hAnsi="Calibri" w:cs="仿宋"/>
          <w:sz w:val="32"/>
          <w:szCs w:val="32"/>
        </w:rPr>
      </w:pPr>
    </w:p>
    <w:p w14:paraId="0D577F84">
      <w:pPr>
        <w:spacing w:line="600" w:lineRule="exact"/>
        <w:jc w:val="center"/>
        <w:outlineLvl w:val="0"/>
        <w:rPr>
          <w:rFonts w:hint="eastAsia" w:ascii="黑体" w:hAnsi="黑体" w:eastAsia="黑体"/>
          <w:sz w:val="44"/>
          <w:szCs w:val="44"/>
        </w:rPr>
      </w:pPr>
    </w:p>
    <w:p w14:paraId="3F3EDC25">
      <w:pPr>
        <w:spacing w:line="600" w:lineRule="exact"/>
        <w:jc w:val="center"/>
        <w:outlineLvl w:val="0"/>
        <w:rPr>
          <w:rFonts w:hint="eastAsia" w:ascii="黑体" w:hAnsi="黑体" w:eastAsia="黑体"/>
          <w:sz w:val="44"/>
          <w:szCs w:val="44"/>
        </w:rPr>
      </w:pPr>
    </w:p>
    <w:p w14:paraId="038A7A80">
      <w:pPr>
        <w:spacing w:line="600" w:lineRule="exact"/>
        <w:jc w:val="center"/>
        <w:outlineLvl w:val="0"/>
        <w:rPr>
          <w:rFonts w:hint="eastAsia" w:ascii="黑体" w:hAnsi="黑体" w:eastAsia="黑体"/>
          <w:sz w:val="44"/>
          <w:szCs w:val="44"/>
        </w:rPr>
      </w:pPr>
    </w:p>
    <w:p w14:paraId="585AFCB6">
      <w:pPr>
        <w:spacing w:line="600" w:lineRule="exact"/>
        <w:jc w:val="center"/>
        <w:outlineLvl w:val="0"/>
        <w:rPr>
          <w:rFonts w:hint="eastAsia" w:ascii="黑体" w:hAnsi="黑体" w:eastAsia="黑体"/>
          <w:sz w:val="44"/>
          <w:szCs w:val="44"/>
        </w:rPr>
      </w:pPr>
    </w:p>
    <w:p w14:paraId="2EF36F62">
      <w:pPr>
        <w:spacing w:line="600" w:lineRule="exact"/>
        <w:jc w:val="center"/>
        <w:outlineLvl w:val="0"/>
        <w:rPr>
          <w:rFonts w:hint="eastAsia" w:ascii="黑体" w:hAnsi="黑体" w:eastAsia="黑体"/>
          <w:sz w:val="44"/>
          <w:szCs w:val="44"/>
        </w:rPr>
      </w:pPr>
    </w:p>
    <w:p w14:paraId="3B17BD50">
      <w:pPr>
        <w:spacing w:line="600" w:lineRule="exact"/>
        <w:jc w:val="center"/>
        <w:outlineLvl w:val="0"/>
        <w:rPr>
          <w:rFonts w:hint="eastAsia" w:ascii="黑体" w:hAnsi="黑体" w:eastAsia="黑体"/>
          <w:sz w:val="44"/>
          <w:szCs w:val="44"/>
        </w:rPr>
      </w:pPr>
    </w:p>
    <w:p w14:paraId="30CC0BAE">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1D2B2F84">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07C9C207">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3DB34F25">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5D6589BD">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1CD68110">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2A8CE53">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14F8246">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79F28A25">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4DB4B49">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56F7D204">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CAE120B">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53DD3DCF">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2059BB41">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3B038B2">
        <w:pPr>
          <w:pStyle w:val="9"/>
          <w:jc w:val="center"/>
        </w:pPr>
        <w:r>
          <w:fldChar w:fldCharType="begin"/>
        </w:r>
        <w:r>
          <w:instrText xml:space="preserve">PAGE   \* MERGEFORMAT</w:instrText>
        </w:r>
        <w:r>
          <w:fldChar w:fldCharType="separate"/>
        </w:r>
        <w:r>
          <w:rPr>
            <w:lang w:val="zh-CN"/>
          </w:rPr>
          <w:t>15</w:t>
        </w:r>
        <w:r>
          <w:fldChar w:fldCharType="end"/>
        </w:r>
      </w:p>
    </w:sdtContent>
  </w:sdt>
  <w:p w14:paraId="291D78E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A909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MTdjOTBjMDQ5OGM1Njc0NmMzNTQyYmM3MzQ1M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95207"/>
    <w:rsid w:val="031C0E1D"/>
    <w:rsid w:val="03DC2831"/>
    <w:rsid w:val="081B5E94"/>
    <w:rsid w:val="0A2032A3"/>
    <w:rsid w:val="0B8A37D8"/>
    <w:rsid w:val="0F5FFB2F"/>
    <w:rsid w:val="0FFFCF60"/>
    <w:rsid w:val="10C055FF"/>
    <w:rsid w:val="118107EC"/>
    <w:rsid w:val="1198193E"/>
    <w:rsid w:val="11DD6519"/>
    <w:rsid w:val="16BB723D"/>
    <w:rsid w:val="17D17958"/>
    <w:rsid w:val="18015F3F"/>
    <w:rsid w:val="1BE8440E"/>
    <w:rsid w:val="1D155CEE"/>
    <w:rsid w:val="1EC73863"/>
    <w:rsid w:val="1F413615"/>
    <w:rsid w:val="1FDBBF84"/>
    <w:rsid w:val="20F57F95"/>
    <w:rsid w:val="240371BF"/>
    <w:rsid w:val="25711CC6"/>
    <w:rsid w:val="25C741E6"/>
    <w:rsid w:val="276F80C0"/>
    <w:rsid w:val="27842671"/>
    <w:rsid w:val="28100029"/>
    <w:rsid w:val="28AD72BD"/>
    <w:rsid w:val="29FD04D3"/>
    <w:rsid w:val="2ABE7A3E"/>
    <w:rsid w:val="2AFF09B6"/>
    <w:rsid w:val="2CA234A8"/>
    <w:rsid w:val="2CB03B88"/>
    <w:rsid w:val="2EFA178C"/>
    <w:rsid w:val="2EFDF86C"/>
    <w:rsid w:val="2F9D17E1"/>
    <w:rsid w:val="2FB16439"/>
    <w:rsid w:val="30B46D73"/>
    <w:rsid w:val="319F7F4E"/>
    <w:rsid w:val="340D18C0"/>
    <w:rsid w:val="356A28F1"/>
    <w:rsid w:val="357C035A"/>
    <w:rsid w:val="368E000D"/>
    <w:rsid w:val="383D272C"/>
    <w:rsid w:val="39AE70AB"/>
    <w:rsid w:val="3A4DCE41"/>
    <w:rsid w:val="3BCB56FA"/>
    <w:rsid w:val="3C0C0783"/>
    <w:rsid w:val="3D7F0385"/>
    <w:rsid w:val="3DEB3AEC"/>
    <w:rsid w:val="3EE7C2F4"/>
    <w:rsid w:val="3F371B56"/>
    <w:rsid w:val="3F792ED8"/>
    <w:rsid w:val="3F9F3A96"/>
    <w:rsid w:val="3FECA4B2"/>
    <w:rsid w:val="3FF58C48"/>
    <w:rsid w:val="403A3A3D"/>
    <w:rsid w:val="42FF6694"/>
    <w:rsid w:val="48BF60AB"/>
    <w:rsid w:val="493C27E9"/>
    <w:rsid w:val="496F39ED"/>
    <w:rsid w:val="49FF41D3"/>
    <w:rsid w:val="4BE068DB"/>
    <w:rsid w:val="4BF6002B"/>
    <w:rsid w:val="4BFFC6BE"/>
    <w:rsid w:val="4DAE2606"/>
    <w:rsid w:val="4ECE2238"/>
    <w:rsid w:val="51DB4B86"/>
    <w:rsid w:val="51F64DB0"/>
    <w:rsid w:val="55333C3E"/>
    <w:rsid w:val="589F492D"/>
    <w:rsid w:val="5F67802D"/>
    <w:rsid w:val="5F7DC4F2"/>
    <w:rsid w:val="5FB36814"/>
    <w:rsid w:val="5FBB8E56"/>
    <w:rsid w:val="5FFB5535"/>
    <w:rsid w:val="60C969EB"/>
    <w:rsid w:val="633B12B1"/>
    <w:rsid w:val="64B4350F"/>
    <w:rsid w:val="64CA39A1"/>
    <w:rsid w:val="65385EEE"/>
    <w:rsid w:val="69630ADE"/>
    <w:rsid w:val="69BD5F13"/>
    <w:rsid w:val="69FB0B4B"/>
    <w:rsid w:val="6B746386"/>
    <w:rsid w:val="6BFFE1FB"/>
    <w:rsid w:val="6C4A05C8"/>
    <w:rsid w:val="6D1E1E6D"/>
    <w:rsid w:val="6D3B1A89"/>
    <w:rsid w:val="6DB7D8A3"/>
    <w:rsid w:val="6DBE53FE"/>
    <w:rsid w:val="6E557B10"/>
    <w:rsid w:val="6EC78701"/>
    <w:rsid w:val="6F7A5481"/>
    <w:rsid w:val="6FFE07A9"/>
    <w:rsid w:val="71B66E62"/>
    <w:rsid w:val="71BF4EC2"/>
    <w:rsid w:val="72734D90"/>
    <w:rsid w:val="73E75B71"/>
    <w:rsid w:val="7412278C"/>
    <w:rsid w:val="74897A74"/>
    <w:rsid w:val="75C15A8B"/>
    <w:rsid w:val="75DDCDA9"/>
    <w:rsid w:val="75FF44B1"/>
    <w:rsid w:val="76991174"/>
    <w:rsid w:val="77670518"/>
    <w:rsid w:val="777FA627"/>
    <w:rsid w:val="77DF1B5F"/>
    <w:rsid w:val="77EF2D9D"/>
    <w:rsid w:val="788334CC"/>
    <w:rsid w:val="79E7B28D"/>
    <w:rsid w:val="7ACFF0C2"/>
    <w:rsid w:val="7AFB9108"/>
    <w:rsid w:val="7BD5340C"/>
    <w:rsid w:val="7BFB19D2"/>
    <w:rsid w:val="7BFD1750"/>
    <w:rsid w:val="7BFDAA1B"/>
    <w:rsid w:val="7C127041"/>
    <w:rsid w:val="7CDF9A82"/>
    <w:rsid w:val="7CFFA1BD"/>
    <w:rsid w:val="7D2E3F7A"/>
    <w:rsid w:val="7DED9490"/>
    <w:rsid w:val="7DF033B2"/>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5"/>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manualLayout>
          <c:xMode val="edge"/>
          <c:yMode val="edge"/>
          <c:x val="0.232592592592593"/>
          <c:y val="0.04355314960629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308.82</c:v>
                </c:pt>
                <c:pt idx="1">
                  <c:v>241.24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308.82</c:v>
                </c:pt>
                <c:pt idx="1">
                  <c:v>241.24</c:v>
                </c:pt>
              </c:numCache>
            </c:numRef>
          </c:val>
        </c:ser>
        <c:dLbls>
          <c:showLegendKey val="0"/>
          <c:showVal val="1"/>
          <c:showCatName val="0"/>
          <c:showSerName val="0"/>
          <c:showPercent val="0"/>
          <c:showBubbleSize val="0"/>
        </c:dLbls>
        <c:gapWidth val="246"/>
        <c:overlap val="-28"/>
        <c:axId val="847841740"/>
        <c:axId val="90672879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2022年度</c:v>
                      </c:pt>
                      <c:pt idx="1">
                        <c:v>2023年度</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478417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728794"/>
        <c:crosses val="autoZero"/>
        <c:auto val="1"/>
        <c:lblAlgn val="ctr"/>
        <c:lblOffset val="100"/>
        <c:noMultiLvlLbl val="0"/>
      </c:catAx>
      <c:valAx>
        <c:axId val="90672879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841740"/>
        <c:crosses val="autoZero"/>
        <c:crossBetween val="between"/>
      </c:valAx>
      <c:spPr>
        <a:noFill/>
        <a:ln>
          <a:noFill/>
        </a:ln>
        <a:effectLst/>
      </c:spPr>
    </c:plotArea>
    <c:legend>
      <c:legendPos val="b"/>
      <c:layout>
        <c:manualLayout>
          <c:xMode val="edge"/>
          <c:yMode val="edge"/>
          <c:x val="0.421731193284266"/>
          <c:y val="0.8625028497273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3d67ee-a1a2-4dd8-96d0-813d65ef9a8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Pt>
            <c:idx val="1"/>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16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extLst>
                <c:ext xmlns:c15="http://schemas.microsoft.com/office/drawing/2012/chart" uri="{02D57815-91ED-43cb-92C2-25804820EDAC}">
                  <c15:fullRef>
                    <c15:sqref>Sheet1!$A$2:$A$4</c15:sqref>
                  </c15:fullRef>
                </c:ext>
              </c:extLst>
              <c:f>Sheet1!$A$2:$A$3</c:f>
              <c:strCache>
                <c:ptCount val="2"/>
                <c:pt idx="0">
                  <c:v>一般公共预算财政拨款收入241.24万元</c:v>
                </c:pt>
                <c:pt idx="1">
                  <c:v>其他收入0万元</c:v>
                </c:pt>
              </c:strCache>
            </c:strRef>
          </c:cat>
          <c:val>
            <c:numRef>
              <c:extLst>
                <c:ext xmlns:c15="http://schemas.microsoft.com/office/drawing/2012/chart" uri="{02D57815-91ED-43cb-92C2-25804820EDAC}">
                  <c15:fullRef>
                    <c15:sqref>Sheet1!$B$2:$B$4</c15:sqref>
                  </c15:fullRef>
                </c:ext>
              </c:extLst>
              <c:f>Sheet1!$B$2:$B$3</c:f>
              <c:numCache>
                <c:formatCode>General</c:formatCode>
                <c:ptCount val="2"/>
                <c:pt idx="0">
                  <c:v>241.24</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6d337222-af04-4bd8-b331-e7f766f75dc0}"/>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Pt>
            <c:idx val="1"/>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16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extLst>
                <c:ext xmlns:c15="http://schemas.microsoft.com/office/drawing/2012/chart" uri="{02D57815-91ED-43cb-92C2-25804820EDAC}">
                  <c15:fullRef>
                    <c15:sqref>Sheet1!$A$2:$A$4</c15:sqref>
                  </c15:fullRef>
                </c:ext>
              </c:extLst>
              <c:f>Sheet1!$A$2:$A$3</c:f>
              <c:strCache>
                <c:ptCount val="2"/>
                <c:pt idx="0">
                  <c:v>基本支出91.01万元</c:v>
                </c:pt>
                <c:pt idx="1">
                  <c:v>项目支出150.23万元</c:v>
                </c:pt>
              </c:strCache>
            </c:strRef>
          </c:cat>
          <c:val>
            <c:numRef>
              <c:extLst>
                <c:ext xmlns:c15="http://schemas.microsoft.com/office/drawing/2012/chart" uri="{02D57815-91ED-43cb-92C2-25804820EDAC}">
                  <c15:fullRef>
                    <c15:sqref>Sheet1!$B$2:$B$4</c15:sqref>
                  </c15:fullRef>
                </c:ext>
              </c:extLst>
              <c:f>Sheet1!$B$2:$B$3</c:f>
              <c:numCache>
                <c:formatCode>General</c:formatCode>
                <c:ptCount val="2"/>
                <c:pt idx="0">
                  <c:v>91.01</c:v>
                </c:pt>
                <c:pt idx="1">
                  <c:v>150.23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9c988d5-d931-44ea-99ea-d14c2b266a52}"/>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manualLayout>
          <c:xMode val="edge"/>
          <c:yMode val="edge"/>
          <c:x val="0.163255617930175"/>
          <c:y val="0.052830388009751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Sheet1!$B$2:$B$3</c:f>
              <c:numCache>
                <c:formatCode>General</c:formatCode>
                <c:ptCount val="2"/>
                <c:pt idx="0">
                  <c:v>308.82</c:v>
                </c:pt>
                <c:pt idx="1">
                  <c:v>241.24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2022年度</c:v>
                </c:pt>
                <c:pt idx="1">
                  <c:v>2023年度</c:v>
                </c:pt>
              </c:strCache>
            </c:strRef>
          </c:cat>
          <c:val>
            <c:numRef>
              <c:f>Sheet1!$C$2:$C$3</c:f>
              <c:numCache>
                <c:formatCode>General</c:formatCode>
                <c:ptCount val="2"/>
                <c:pt idx="0">
                  <c:v>308.82</c:v>
                </c:pt>
                <c:pt idx="1">
                  <c:v>241.24</c:v>
                </c:pt>
              </c:numCache>
            </c:numRef>
          </c:val>
        </c:ser>
        <c:dLbls>
          <c:showLegendKey val="0"/>
          <c:showVal val="1"/>
          <c:showCatName val="0"/>
          <c:showSerName val="0"/>
          <c:showPercent val="0"/>
          <c:showBubbleSize val="0"/>
        </c:dLbls>
        <c:gapWidth val="246"/>
        <c:overlap val="-28"/>
        <c:axId val="847841740"/>
        <c:axId val="90672879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2022年度</c:v>
                      </c:pt>
                      <c:pt idx="1">
                        <c:v>2023年度</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478417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728794"/>
        <c:crosses val="autoZero"/>
        <c:auto val="1"/>
        <c:lblAlgn val="ctr"/>
        <c:lblOffset val="100"/>
        <c:noMultiLvlLbl val="0"/>
      </c:catAx>
      <c:valAx>
        <c:axId val="90672879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841740"/>
        <c:crosses val="autoZero"/>
        <c:crossBetween val="between"/>
      </c:valAx>
      <c:spPr>
        <a:noFill/>
        <a:ln>
          <a:noFill/>
        </a:ln>
        <a:effectLst/>
      </c:spPr>
    </c:plotArea>
    <c:legend>
      <c:legendPos val="b"/>
      <c:layout>
        <c:manualLayout>
          <c:xMode val="edge"/>
          <c:yMode val="edge"/>
          <c:x val="0.421731193284266"/>
          <c:y val="0.8625028497273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3d67ee-a1a2-4dd8-96d0-813d65ef9a8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2022年度</c:v>
                </c:pt>
                <c:pt idx="1">
                  <c:v>2023年度</c:v>
                </c:pt>
              </c:strCache>
            </c:strRef>
          </c:cat>
          <c:val>
            <c:numRef>
              <c:f>Sheet1!$B$2:$B$3</c:f>
              <c:numCache>
                <c:formatCode>General</c:formatCode>
                <c:ptCount val="2"/>
                <c:pt idx="0">
                  <c:v>308.82</c:v>
                </c:pt>
                <c:pt idx="1">
                  <c:v>241.24</c:v>
                </c:pt>
              </c:numCache>
            </c:numRef>
          </c:val>
        </c:ser>
        <c:dLbls>
          <c:showLegendKey val="0"/>
          <c:showVal val="1"/>
          <c:showCatName val="0"/>
          <c:showSerName val="0"/>
          <c:showPercent val="0"/>
          <c:showBubbleSize val="0"/>
        </c:dLbls>
        <c:gapWidth val="150"/>
        <c:overlap val="-25"/>
        <c:axId val="117354271"/>
        <c:axId val="429350619"/>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2022年度</c:v>
                      </c:pt>
                      <c:pt idx="1">
                        <c:v>2023年度</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2022年度</c:v>
                      </c:pt>
                      <c:pt idx="1">
                        <c:v>2023年度</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1735427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350619"/>
        <c:crosses val="autoZero"/>
        <c:auto val="1"/>
        <c:lblAlgn val="ctr"/>
        <c:lblOffset val="100"/>
        <c:noMultiLvlLbl val="0"/>
      </c:catAx>
      <c:valAx>
        <c:axId val="42935061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35427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55e3178-9db4-4a48-a1e4-9a2eba8f21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1211401425178"/>
          <c:y val="0.0244698205546493"/>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0805162217140116"/>
                  <c:y val="-0.2540260021285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8127803406577"/>
                  <c:y val="0.11395072364744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solidFill>
                          <a:srgbClr val="C00000"/>
                        </a:solidFill>
                      </a:rPr>
                      <a:t>卫生健康支出2.49万元1%</a:t>
                    </a:r>
                    <a:endParaRPr>
                      <a:solidFill>
                        <a:srgbClr val="C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1683977079132"/>
                  <c:y val="0.11072464967704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solidFill>
                          <a:srgbClr val="92D050"/>
                        </a:solidFill>
                      </a:rPr>
                      <a:t>住房保障支出2.42万元1%</a:t>
                    </a:r>
                    <a:endParaRPr>
                      <a:solidFill>
                        <a:srgbClr val="92D05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31461429984891"/>
                  <c:y val="0.3051900171089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solidFill>
                          <a:srgbClr val="7030A0"/>
                        </a:solidFill>
                      </a:rPr>
                      <a:t>一般公共服务支出0万元0%</a:t>
                    </a:r>
                    <a:endParaRPr>
                      <a:solidFill>
                        <a:srgbClr val="7030A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w="12700" cmpd="sng">
                <a:noFill/>
                <a:prstDash val="solid"/>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社会保障和就业支出236.33万元</c:v>
                </c:pt>
                <c:pt idx="1">
                  <c:v>卫生健康支出2.49万元</c:v>
                </c:pt>
                <c:pt idx="2">
                  <c:v>住房保障支出2.42万元</c:v>
                </c:pt>
                <c:pt idx="3">
                  <c:v>一般公共服务支出0万元</c:v>
                </c:pt>
              </c:strCache>
            </c:strRef>
          </c:cat>
          <c:val>
            <c:numRef>
              <c:f>Sheet1!$B$2:$B$5</c:f>
              <c:numCache>
                <c:formatCode>General</c:formatCode>
                <c:ptCount val="4"/>
                <c:pt idx="0">
                  <c:v>236.33</c:v>
                </c:pt>
                <c:pt idx="1">
                  <c:v>2.49</c:v>
                </c:pt>
                <c:pt idx="2">
                  <c:v>2.42</c:v>
                </c:pt>
                <c:pt idx="3">
                  <c:v>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c8c4fd2-411a-447a-867f-45401cbb25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1"/>
              <c:layout>
                <c:manualLayout>
                  <c:x val="0.276032099738144"/>
                  <c:y val="0.29291967700982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solidFill>
                          <a:srgbClr val="C00000"/>
                        </a:solidFill>
                      </a:rPr>
                      <a:t>因公出国（境）费支出0万元0%</a:t>
                    </a:r>
                    <a:endParaRPr>
                      <a:solidFill>
                        <a:srgbClr val="C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00169838489982"/>
                  <c:y val="0.11676158096207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solidFill>
                          <a:srgbClr val="92D050"/>
                        </a:solidFill>
                      </a:rPr>
                      <a:t>公务用车购置及运行维护费支出0万元0%</a:t>
                    </a:r>
                    <a:endParaRPr>
                      <a:solidFill>
                        <a:srgbClr val="92D05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81081671536594"/>
                  <c:y val="0.1199490012767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solidFill>
                          <a:srgbClr val="7030A0"/>
                        </a:solidFill>
                      </a:rPr>
                      <a:t>公务接待费支出0万元0%</a:t>
                    </a:r>
                    <a:endParaRPr>
                      <a:solidFill>
                        <a:srgbClr val="7030A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2023年度“三公”经费财政拨款收入6.29万元</c:v>
                </c:pt>
                <c:pt idx="1">
                  <c:v>因公出国（境）费支出0万元</c:v>
                </c:pt>
                <c:pt idx="2">
                  <c:v>公务用车购置及运行维护费支出0万元</c:v>
                </c:pt>
                <c:pt idx="3">
                  <c:v>公务接待费支出0万元</c:v>
                </c:pt>
              </c:strCache>
            </c:strRef>
          </c:cat>
          <c:val>
            <c:numRef>
              <c:f>Sheet1!$B$2:$B$5</c:f>
              <c:numCache>
                <c:formatCode>General</c:formatCode>
                <c:ptCount val="4"/>
                <c:pt idx="0">
                  <c:v>6.29</c:v>
                </c:pt>
                <c:pt idx="1">
                  <c:v>0</c:v>
                </c:pt>
                <c:pt idx="2">
                  <c:v>0</c:v>
                </c:pt>
                <c:pt idx="3">
                  <c:v>0</c:v>
                </c:pt>
              </c:numCache>
            </c:numRef>
          </c:val>
        </c:ser>
        <c:ser>
          <c:idx val="1"/>
          <c:order val="1"/>
          <c:tx>
            <c:strRef>
              <c:f>Sheet1!$C$1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2023年度“三公”经费财政拨款收入6.29万元</c:v>
                </c:pt>
                <c:pt idx="1">
                  <c:v>因公出国（境）费支出0万元</c:v>
                </c:pt>
                <c:pt idx="2">
                  <c:v>公务用车购置及运行维护费支出0万元</c:v>
                </c:pt>
                <c:pt idx="3">
                  <c:v>公务接待费支出0万元</c:v>
                </c:pt>
              </c:strCache>
            </c:strRef>
          </c:cat>
          <c:val>
            <c:numRef>
              <c:f>Sheet1!$C$2:$C$5</c:f>
              <c:numCache>
                <c:formatCode>General</c:formatCode>
                <c:ptCount val="4"/>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eb2842f-18c2-4ad3-a381-842107ceae3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16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16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1878</Words>
  <Characters>2125</Characters>
  <Lines>54</Lines>
  <Paragraphs>15</Paragraphs>
  <TotalTime>1</TotalTime>
  <ScaleCrop>false</ScaleCrop>
  <LinksUpToDate>false</LinksUpToDate>
  <CharactersWithSpaces>2137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蓝色晴空</cp:lastModifiedBy>
  <cp:lastPrinted>2023-08-03T02:35:00Z</cp:lastPrinted>
  <dcterms:modified xsi:type="dcterms:W3CDTF">2024-10-23T08:14:39Z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88C1C4A957BB47048834FCB7AAEA133E_13</vt:lpwstr>
  </property>
</Properties>
</file>