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A2866">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3C7D790D">
      <w:pPr>
        <w:spacing w:line="600" w:lineRule="exact"/>
        <w:jc w:val="center"/>
        <w:outlineLvl w:val="9"/>
        <w:rPr>
          <w:rFonts w:ascii="方正小标宋简体" w:hAnsi="宋体" w:eastAsia="方正小标宋简体"/>
          <w:color w:val="auto"/>
          <w:sz w:val="72"/>
          <w:szCs w:val="72"/>
          <w:highlight w:val="none"/>
        </w:rPr>
      </w:pPr>
    </w:p>
    <w:p w14:paraId="14A4F403">
      <w:pPr>
        <w:spacing w:line="600" w:lineRule="exact"/>
        <w:jc w:val="center"/>
        <w:outlineLvl w:val="9"/>
        <w:rPr>
          <w:rFonts w:ascii="方正小标宋简体" w:hAnsi="宋体" w:eastAsia="方正小标宋简体"/>
          <w:color w:val="auto"/>
          <w:sz w:val="72"/>
          <w:szCs w:val="72"/>
          <w:highlight w:val="none"/>
        </w:rPr>
      </w:pPr>
    </w:p>
    <w:p w14:paraId="0B713F9F">
      <w:pPr>
        <w:spacing w:line="600" w:lineRule="exact"/>
        <w:jc w:val="center"/>
        <w:outlineLvl w:val="9"/>
        <w:rPr>
          <w:rFonts w:ascii="方正小标宋简体" w:hAnsi="宋体" w:eastAsia="方正小标宋简体"/>
          <w:color w:val="auto"/>
          <w:sz w:val="72"/>
          <w:szCs w:val="72"/>
          <w:highlight w:val="none"/>
        </w:rPr>
      </w:pPr>
    </w:p>
    <w:p w14:paraId="5D410BD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3550"/>
      <w:bookmarkStart w:id="2" w:name="_Toc30986"/>
      <w:bookmarkStart w:id="3" w:name="_Toc15377193"/>
      <w:bookmarkStart w:id="4" w:name="_Toc15377425"/>
      <w:bookmarkStart w:id="5" w:name="_Toc26098"/>
      <w:bookmarkStart w:id="6" w:name="_Toc11959"/>
      <w:bookmarkStart w:id="7" w:name="_Toc15396597"/>
      <w:bookmarkStart w:id="8" w:name="_Toc15396475"/>
      <w:bookmarkStart w:id="9"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bookmarkEnd w:id="9"/>
    </w:p>
    <w:bookmarkEnd w:id="0"/>
    <w:p w14:paraId="6761C761">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0" w:name="_Toc11800"/>
      <w:bookmarkStart w:id="11" w:name="_Toc2381"/>
      <w:bookmarkStart w:id="12" w:name="_Toc30445"/>
      <w:bookmarkStart w:id="13" w:name="_Toc4274"/>
      <w:bookmarkStart w:id="14" w:name="_Toc15396598"/>
      <w:bookmarkStart w:id="15" w:name="_Toc15306268"/>
      <w:bookmarkStart w:id="16" w:name="_Toc15378442"/>
      <w:bookmarkStart w:id="17" w:name="_Toc15396476"/>
      <w:bookmarkStart w:id="18" w:name="_Toc15377426"/>
      <w:bookmarkStart w:id="19" w:name="_Toc15377194"/>
      <w:r>
        <w:rPr>
          <w:rFonts w:hint="eastAsia" w:ascii="方正小标宋简体" w:hAnsi="方正小标宋简体" w:eastAsia="方正小标宋简体" w:cs="方正小标宋简体"/>
          <w:color w:val="auto"/>
          <w:sz w:val="72"/>
          <w:szCs w:val="72"/>
          <w:highlight w:val="none"/>
          <w:lang w:val="en-US" w:eastAsia="zh-CN"/>
        </w:rPr>
        <w:t>大竹县第七小学</w:t>
      </w:r>
      <w:bookmarkEnd w:id="10"/>
      <w:bookmarkEnd w:id="11"/>
      <w:bookmarkEnd w:id="12"/>
      <w:bookmarkEnd w:id="13"/>
    </w:p>
    <w:p w14:paraId="7DCCCF27">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20" w:name="_Toc252"/>
      <w:bookmarkStart w:id="21" w:name="_Toc18845"/>
      <w:bookmarkStart w:id="22" w:name="_Toc10496"/>
      <w:bookmarkStart w:id="23" w:name="_Toc9725"/>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4"/>
      <w:bookmarkEnd w:id="15"/>
      <w:bookmarkEnd w:id="16"/>
      <w:bookmarkEnd w:id="17"/>
      <w:bookmarkEnd w:id="18"/>
      <w:bookmarkEnd w:id="19"/>
      <w:bookmarkEnd w:id="20"/>
      <w:bookmarkEnd w:id="21"/>
      <w:bookmarkEnd w:id="22"/>
      <w:bookmarkEnd w:id="23"/>
    </w:p>
    <w:p w14:paraId="78B86524">
      <w:pPr>
        <w:pStyle w:val="5"/>
        <w:rPr>
          <w:color w:val="auto"/>
        </w:rPr>
      </w:pPr>
    </w:p>
    <w:p w14:paraId="33EEF79E">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14:paraId="556961DC">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5187FC53">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12A658A">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0DB972AF">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ABDF00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C145B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511BF5">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2022年度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4FBFB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A3146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3A26EE">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65624E">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E6576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394FAA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1B8DA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81639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7B0E7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BD607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7196B9">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232F80">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146A54">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lang w:val="en-US" w:eastAsia="zh-CN"/>
            </w:rPr>
            <w:t>20</w:t>
          </w:r>
          <w:r>
            <w:rPr>
              <w:rFonts w:hint="eastAsia" w:ascii="宋体" w:hAnsi="宋体" w:eastAsia="宋体" w:cs="宋体"/>
              <w:sz w:val="24"/>
              <w:szCs w:val="24"/>
            </w:rPr>
            <w:fldChar w:fldCharType="end"/>
          </w:r>
        </w:p>
        <w:p w14:paraId="60A999B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68670CF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107A918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17C2237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6220123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6586A00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30EE9BB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66BE211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4644759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0B83B82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0D0A920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7D991B3F">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0098C57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0EFEB57D">
          <w:r>
            <w:rPr>
              <w:rFonts w:hint="eastAsia" w:ascii="仿宋_GB2312" w:hAnsi="仿宋_GB2312" w:eastAsia="仿宋_GB2312" w:cs="仿宋_GB2312"/>
              <w:szCs w:val="28"/>
            </w:rPr>
            <w:fldChar w:fldCharType="end"/>
          </w:r>
        </w:p>
      </w:sdtContent>
    </w:sdt>
    <w:p w14:paraId="65E8DB65">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788B0B11">
      <w:pPr>
        <w:pStyle w:val="2"/>
        <w:jc w:val="center"/>
        <w:rPr>
          <w:rStyle w:val="24"/>
          <w:rFonts w:ascii="黑体" w:hAnsi="黑体" w:eastAsia="黑体"/>
          <w:b/>
          <w:bCs w:val="0"/>
          <w:color w:val="auto"/>
          <w:highlight w:val="none"/>
        </w:rPr>
      </w:pPr>
      <w:bookmarkStart w:id="24" w:name="_Toc1385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24"/>
    </w:p>
    <w:p w14:paraId="2A8357B5">
      <w:pPr>
        <w:widowControl/>
        <w:jc w:val="left"/>
        <w:rPr>
          <w:rFonts w:ascii="黑体" w:eastAsia="黑体"/>
          <w:color w:val="auto"/>
          <w:sz w:val="32"/>
          <w:szCs w:val="32"/>
          <w:highlight w:val="none"/>
        </w:rPr>
      </w:pPr>
    </w:p>
    <w:p w14:paraId="1010270F">
      <w:pPr>
        <w:pStyle w:val="3"/>
        <w:numPr>
          <w:ilvl w:val="0"/>
          <w:numId w:val="1"/>
        </w:numPr>
        <w:rPr>
          <w:rStyle w:val="25"/>
          <w:rFonts w:hint="eastAsia" w:ascii="黑体" w:hAnsi="黑体" w:eastAsia="黑体"/>
          <w:b w:val="0"/>
          <w:bCs w:val="0"/>
          <w:color w:val="auto"/>
          <w:highlight w:val="none"/>
          <w:lang w:eastAsia="zh-CN"/>
        </w:rPr>
      </w:pPr>
      <w:bookmarkStart w:id="25" w:name="_Toc28917"/>
      <w:bookmarkStart w:id="26" w:name="_Toc15396600"/>
      <w:bookmarkStart w:id="27" w:name="_Toc15377197"/>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25"/>
    </w:p>
    <w:p w14:paraId="4794ED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第七</w:t>
      </w:r>
      <w:r>
        <w:rPr>
          <w:rFonts w:hint="eastAsia" w:ascii="仿宋" w:hAnsi="仿宋" w:eastAsia="仿宋"/>
          <w:bCs/>
          <w:color w:val="auto"/>
          <w:kern w:val="0"/>
          <w:sz w:val="32"/>
          <w:szCs w:val="32"/>
        </w:rPr>
        <w:t>小学是大竹县教育局举办的一所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14:paraId="139651BF">
      <w:pPr>
        <w:pStyle w:val="3"/>
        <w:numPr>
          <w:ilvl w:val="0"/>
          <w:numId w:val="0"/>
        </w:numPr>
        <w:ind w:leftChars="0"/>
        <w:rPr>
          <w:rFonts w:hint="eastAsia" w:ascii="黑体" w:hAnsi="黑体" w:eastAsia="黑体"/>
          <w:b w:val="0"/>
          <w:color w:val="auto"/>
          <w:highlight w:val="none"/>
          <w:lang w:val="en-US" w:eastAsia="zh-CN"/>
        </w:rPr>
      </w:pPr>
      <w:bookmarkStart w:id="28" w:name="_Toc25859"/>
      <w:r>
        <w:rPr>
          <w:rFonts w:hint="eastAsia" w:ascii="黑体" w:hAnsi="黑体" w:eastAsia="黑体"/>
          <w:b w:val="0"/>
          <w:color w:val="auto"/>
          <w:highlight w:val="none"/>
          <w:lang w:val="en-US" w:eastAsia="zh-CN"/>
        </w:rPr>
        <w:t>二、</w:t>
      </w:r>
      <w:bookmarkEnd w:id="26"/>
      <w:bookmarkEnd w:id="27"/>
      <w:r>
        <w:rPr>
          <w:rFonts w:hint="eastAsia" w:ascii="黑体" w:hAnsi="黑体" w:eastAsia="黑体"/>
          <w:b w:val="0"/>
          <w:color w:val="auto"/>
          <w:highlight w:val="none"/>
          <w:lang w:val="en-US" w:eastAsia="zh-CN"/>
        </w:rPr>
        <w:t>机构设置</w:t>
      </w:r>
      <w:bookmarkEnd w:id="28"/>
    </w:p>
    <w:p w14:paraId="0096953D">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4CA88C4D">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14:paraId="29E2750C">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5279FD66">
      <w:pPr>
        <w:ind w:firstLine="420" w:firstLineChars="200"/>
        <w:rPr>
          <w:rFonts w:hint="eastAsia"/>
          <w:color w:val="auto"/>
        </w:rPr>
      </w:pPr>
    </w:p>
    <w:p w14:paraId="654FC007">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7D3F0F50">
      <w:pPr>
        <w:pStyle w:val="2"/>
        <w:ind w:right="440"/>
        <w:jc w:val="center"/>
        <w:rPr>
          <w:rStyle w:val="24"/>
          <w:rFonts w:ascii="黑体" w:hAnsi="黑体" w:eastAsia="黑体"/>
          <w:b w:val="0"/>
          <w:bCs/>
          <w:color w:val="auto"/>
          <w:highlight w:val="none"/>
        </w:rPr>
      </w:pPr>
      <w:bookmarkStart w:id="29" w:name="_Toc15396602"/>
      <w:bookmarkStart w:id="30" w:name="_Toc31162"/>
      <w:bookmarkStart w:id="3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9"/>
      <w:bookmarkEnd w:id="30"/>
      <w:bookmarkEnd w:id="31"/>
    </w:p>
    <w:p w14:paraId="21259405">
      <w:pPr>
        <w:rPr>
          <w:color w:val="auto"/>
          <w:highlight w:val="none"/>
        </w:rPr>
      </w:pPr>
    </w:p>
    <w:p w14:paraId="7E784DE3">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15396603"/>
      <w:bookmarkStart w:id="33" w:name="_Toc3488"/>
      <w:bookmarkStart w:id="34"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2"/>
      <w:bookmarkEnd w:id="33"/>
      <w:bookmarkEnd w:id="34"/>
    </w:p>
    <w:p w14:paraId="29557490">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759.15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增加190.85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增加33.58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人员经费增加而导致收入支出增加 。</w:t>
      </w:r>
    </w:p>
    <w:p w14:paraId="4693E50C">
      <w:pPr>
        <w:pStyle w:val="5"/>
        <w:rPr>
          <w:rFonts w:hint="eastAsia" w:ascii="仿宋" w:hAnsi="仿宋" w:eastAsia="仿宋"/>
          <w:color w:val="auto"/>
          <w:sz w:val="32"/>
          <w:szCs w:val="32"/>
          <w:highlight w:val="none"/>
          <w:lang w:val="en-US" w:eastAsia="zh-CN"/>
        </w:rPr>
      </w:pPr>
    </w:p>
    <w:p w14:paraId="65382FC9">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6C68E0">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14:paraId="201DF3D7">
      <w:pPr>
        <w:pStyle w:val="23"/>
        <w:numPr>
          <w:ilvl w:val="0"/>
          <w:numId w:val="2"/>
        </w:numPr>
        <w:spacing w:line="600" w:lineRule="exact"/>
        <w:ind w:firstLineChars="0"/>
        <w:outlineLvl w:val="1"/>
        <w:rPr>
          <w:rStyle w:val="25"/>
          <w:rFonts w:ascii="黑体" w:hAnsi="黑体" w:eastAsia="黑体"/>
          <w:b w:val="0"/>
          <w:color w:val="auto"/>
          <w:highlight w:val="none"/>
        </w:rPr>
      </w:pPr>
      <w:bookmarkStart w:id="35" w:name="_Toc15396604"/>
      <w:bookmarkStart w:id="36" w:name="_Toc11707"/>
      <w:bookmarkStart w:id="37"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5"/>
      <w:bookmarkEnd w:id="36"/>
      <w:bookmarkEnd w:id="37"/>
    </w:p>
    <w:p w14:paraId="09DB86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highlight w:val="none"/>
        </w:rPr>
      </w:pPr>
      <w:bookmarkStart w:id="38" w:name="_Toc27653"/>
      <w:bookmarkStart w:id="39" w:name="_Toc1077"/>
      <w:bookmarkStart w:id="40" w:name="_Toc841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739.07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739.07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14:paraId="09223FB4">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p>
    <w:p w14:paraId="1B2AEF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079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260774">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14:paraId="58BA7FA4">
      <w:pPr>
        <w:pStyle w:val="23"/>
        <w:numPr>
          <w:ilvl w:val="0"/>
          <w:numId w:val="2"/>
        </w:numPr>
        <w:spacing w:line="600" w:lineRule="exact"/>
        <w:ind w:firstLineChars="0"/>
        <w:outlineLvl w:val="1"/>
        <w:rPr>
          <w:rStyle w:val="25"/>
          <w:rFonts w:ascii="黑体" w:hAnsi="黑体" w:eastAsia="黑体"/>
          <w:b w:val="0"/>
          <w:color w:val="auto"/>
          <w:highlight w:val="none"/>
        </w:rPr>
      </w:pPr>
      <w:bookmarkStart w:id="41" w:name="_Toc15396605"/>
      <w:bookmarkStart w:id="42" w:name="_Toc15834"/>
      <w:bookmarkStart w:id="4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1"/>
      <w:bookmarkEnd w:id="42"/>
      <w:bookmarkEnd w:id="43"/>
    </w:p>
    <w:p w14:paraId="706398A6">
      <w:pPr>
        <w:spacing w:line="600" w:lineRule="exact"/>
        <w:ind w:firstLine="640" w:firstLineChars="200"/>
        <w:outlineLvl w:val="1"/>
        <w:rPr>
          <w:rFonts w:hint="eastAsia" w:eastAsia="仿宋"/>
          <w:lang w:eastAsia="zh-CN"/>
        </w:rPr>
      </w:pPr>
      <w:bookmarkStart w:id="44" w:name="_Toc10252"/>
      <w:bookmarkStart w:id="45" w:name="_Toc30049"/>
      <w:bookmarkStart w:id="46" w:name="_Toc757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759.15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745.34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98.18</w:t>
      </w:r>
      <w:r>
        <w:rPr>
          <w:rFonts w:ascii="仿宋" w:hAnsi="仿宋" w:eastAsia="仿宋"/>
          <w:color w:val="auto"/>
          <w:sz w:val="32"/>
          <w:szCs w:val="32"/>
          <w:highlight w:val="none"/>
        </w:rPr>
        <w:t>%</w:t>
      </w:r>
      <w:bookmarkEnd w:id="44"/>
      <w:bookmarkEnd w:id="45"/>
      <w:bookmarkEnd w:id="46"/>
      <w:r>
        <w:rPr>
          <w:rFonts w:hint="eastAsia" w:ascii="仿宋" w:hAnsi="仿宋" w:eastAsia="仿宋"/>
          <w:color w:val="auto"/>
          <w:sz w:val="32"/>
          <w:szCs w:val="32"/>
          <w:highlight w:val="none"/>
          <w:lang w:eastAsia="zh-CN"/>
        </w:rPr>
        <w:t>；项目支出13.81万元，占1.81%。</w:t>
      </w:r>
    </w:p>
    <w:p w14:paraId="71287E3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4445" t="4445" r="11430"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19EAD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14:paraId="0B7D2353">
      <w:pPr>
        <w:spacing w:line="600" w:lineRule="exact"/>
        <w:ind w:firstLine="640" w:firstLineChars="200"/>
        <w:outlineLvl w:val="1"/>
        <w:rPr>
          <w:rStyle w:val="25"/>
          <w:rFonts w:ascii="黑体" w:hAnsi="黑体" w:eastAsia="黑体"/>
          <w:b w:val="0"/>
          <w:color w:val="auto"/>
          <w:highlight w:val="none"/>
        </w:rPr>
      </w:pPr>
      <w:bookmarkStart w:id="47" w:name="_Toc15396606"/>
      <w:bookmarkStart w:id="48" w:name="_Toc3674"/>
      <w:bookmarkStart w:id="49"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7"/>
      <w:bookmarkEnd w:id="48"/>
      <w:bookmarkEnd w:id="49"/>
    </w:p>
    <w:p w14:paraId="547E945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759.15</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年相比，收、支总计各增加190.85万元，增加33.58%。主要变动原因是人员经费增加而导致支出增加 。</w:t>
      </w:r>
    </w:p>
    <w:p w14:paraId="048EDD89">
      <w:pPr>
        <w:pStyle w:val="5"/>
        <w:rPr>
          <w:rFonts w:hint="eastAsia"/>
          <w:lang w:val="en-US" w:eastAsia="zh-CN"/>
        </w:rPr>
      </w:pPr>
    </w:p>
    <w:p w14:paraId="2432F05D">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73B4B2">
      <w:pPr>
        <w:pStyle w:val="5"/>
        <w:jc w:val="center"/>
        <w:rPr>
          <w:color w:val="auto"/>
        </w:rPr>
      </w:pPr>
      <w:r>
        <w:rPr>
          <w:rFonts w:hint="eastAsia"/>
          <w:color w:val="auto"/>
        </w:rPr>
        <w:t>（图4：财政拨款收、支决算总计变动情况）</w:t>
      </w:r>
    </w:p>
    <w:p w14:paraId="4D08417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5"/>
          <w:rFonts w:ascii="黑体" w:hAnsi="黑体" w:eastAsia="黑体"/>
          <w:b w:val="0"/>
          <w:color w:val="auto"/>
          <w:highlight w:val="none"/>
        </w:rPr>
      </w:pPr>
      <w:bookmarkStart w:id="50" w:name="_Toc15396607"/>
      <w:bookmarkStart w:id="51" w:name="_Toc15377209"/>
      <w:bookmarkStart w:id="52" w:name="_Toc3224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50"/>
      <w:bookmarkEnd w:id="51"/>
      <w:bookmarkEnd w:id="52"/>
    </w:p>
    <w:p w14:paraId="08970DBC">
      <w:pPr>
        <w:spacing w:line="600" w:lineRule="exact"/>
        <w:ind w:firstLine="643" w:firstLineChars="200"/>
        <w:outlineLvl w:val="2"/>
        <w:rPr>
          <w:rFonts w:ascii="仿宋" w:hAnsi="仿宋" w:eastAsia="仿宋"/>
          <w:b/>
          <w:color w:val="auto"/>
          <w:sz w:val="32"/>
          <w:szCs w:val="32"/>
          <w:highlight w:val="none"/>
        </w:rPr>
      </w:pPr>
      <w:bookmarkStart w:id="53" w:name="_Toc15377210"/>
      <w:r>
        <w:rPr>
          <w:rFonts w:hint="eastAsia" w:ascii="仿宋" w:hAnsi="仿宋" w:eastAsia="仿宋"/>
          <w:b/>
          <w:color w:val="auto"/>
          <w:sz w:val="32"/>
          <w:szCs w:val="32"/>
          <w:highlight w:val="none"/>
        </w:rPr>
        <w:t>（一）一般公共预算财政拨款支出决算总体情况</w:t>
      </w:r>
      <w:bookmarkEnd w:id="53"/>
    </w:p>
    <w:p w14:paraId="05355851">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759.15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val="en-US" w:eastAsia="zh-CN"/>
        </w:rPr>
        <w:t>增加190.85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增加33.58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人员经费增加而导致支出增加 。</w:t>
      </w:r>
    </w:p>
    <w:p w14:paraId="496041BE">
      <w:pPr>
        <w:spacing w:line="600" w:lineRule="exact"/>
        <w:ind w:firstLine="640" w:firstLineChars="200"/>
        <w:rPr>
          <w:rFonts w:ascii="仿宋" w:hAnsi="仿宋" w:eastAsia="仿宋"/>
          <w:color w:val="auto"/>
          <w:sz w:val="32"/>
          <w:szCs w:val="32"/>
          <w:highlight w:val="none"/>
        </w:rPr>
      </w:pPr>
    </w:p>
    <w:p w14:paraId="01914E90">
      <w:pPr>
        <w:pStyle w:val="5"/>
        <w:rPr>
          <w:rFonts w:ascii="仿宋" w:hAnsi="仿宋" w:eastAsia="仿宋"/>
          <w:color w:val="auto"/>
          <w:sz w:val="32"/>
          <w:szCs w:val="32"/>
          <w:highlight w:val="none"/>
        </w:rPr>
      </w:pPr>
    </w:p>
    <w:p w14:paraId="3A54EF1F">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623310" cy="2734945"/>
            <wp:effectExtent l="4445" t="4445" r="1079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FC486A">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14:paraId="307B9F80">
      <w:pPr>
        <w:spacing w:line="600" w:lineRule="exact"/>
        <w:ind w:firstLine="643" w:firstLineChars="200"/>
        <w:outlineLvl w:val="2"/>
        <w:rPr>
          <w:rFonts w:ascii="仿宋" w:hAnsi="仿宋" w:eastAsia="仿宋"/>
          <w:b/>
          <w:color w:val="auto"/>
          <w:sz w:val="32"/>
          <w:szCs w:val="32"/>
          <w:highlight w:val="none"/>
        </w:rPr>
      </w:pPr>
      <w:bookmarkStart w:id="54" w:name="_Toc15377211"/>
      <w:r>
        <w:rPr>
          <w:rFonts w:hint="eastAsia" w:ascii="仿宋" w:hAnsi="仿宋" w:eastAsia="仿宋"/>
          <w:b/>
          <w:color w:val="auto"/>
          <w:sz w:val="32"/>
          <w:szCs w:val="32"/>
          <w:highlight w:val="none"/>
        </w:rPr>
        <w:t>（二）一般公共预算财政拨款支出决算结构情况</w:t>
      </w:r>
      <w:bookmarkEnd w:id="54"/>
    </w:p>
    <w:p w14:paraId="2BEB52BF">
      <w:pPr>
        <w:spacing w:line="600" w:lineRule="exact"/>
        <w:ind w:firstLine="640"/>
        <w:rPr>
          <w:rFonts w:hint="eastAsia" w:ascii="仿宋" w:hAnsi="仿宋" w:eastAsia="仿宋"/>
          <w:b w:val="0"/>
          <w:bCs/>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759.15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440.57</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58.03</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258.26</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34.02</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23.07</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3.04</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37.25</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4.91</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14:paraId="21BDAFC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EF447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p>
    <w:p w14:paraId="3F168035">
      <w:pPr>
        <w:spacing w:line="600" w:lineRule="exact"/>
        <w:ind w:firstLine="643" w:firstLineChars="200"/>
        <w:outlineLvl w:val="2"/>
        <w:rPr>
          <w:rFonts w:ascii="仿宋" w:hAnsi="仿宋" w:eastAsia="仿宋"/>
          <w:b/>
          <w:color w:val="auto"/>
          <w:sz w:val="32"/>
          <w:szCs w:val="32"/>
          <w:highlight w:val="none"/>
        </w:rPr>
      </w:pPr>
      <w:bookmarkStart w:id="55" w:name="_Toc15377212"/>
      <w:r>
        <w:rPr>
          <w:rFonts w:hint="eastAsia" w:ascii="仿宋" w:hAnsi="仿宋" w:eastAsia="仿宋"/>
          <w:b/>
          <w:color w:val="auto"/>
          <w:sz w:val="32"/>
          <w:szCs w:val="32"/>
          <w:highlight w:val="none"/>
        </w:rPr>
        <w:t>（三）一般公共预算财政拨款支出决算具体情况</w:t>
      </w:r>
      <w:bookmarkEnd w:id="55"/>
    </w:p>
    <w:p w14:paraId="60E33AFF">
      <w:pPr>
        <w:spacing w:line="600" w:lineRule="exact"/>
        <w:ind w:firstLine="640" w:firstLineChars="200"/>
        <w:rPr>
          <w:rStyle w:val="14"/>
          <w:rFonts w:hint="eastAsia" w:ascii="仿宋" w:hAnsi="仿宋" w:eastAsia="仿宋"/>
          <w:b w:val="0"/>
          <w:bCs/>
          <w:color w:val="auto"/>
          <w:sz w:val="32"/>
          <w:szCs w:val="32"/>
        </w:rPr>
      </w:pPr>
      <w:bookmarkStart w:id="56" w:name="_Toc15377213"/>
      <w:bookmarkStart w:id="57" w:name="_Toc15378460"/>
      <w:bookmarkStart w:id="58" w:name="_Toc15377444"/>
      <w:r>
        <w:rPr>
          <w:rStyle w:val="14"/>
          <w:rFonts w:hint="eastAsia" w:ascii="仿宋" w:hAnsi="仿宋" w:eastAsia="仿宋"/>
          <w:b w:val="0"/>
          <w:bCs/>
          <w:color w:val="auto"/>
          <w:sz w:val="32"/>
          <w:szCs w:val="32"/>
        </w:rPr>
        <w:t>20</w:t>
      </w:r>
      <w:r>
        <w:rPr>
          <w:rStyle w:val="14"/>
          <w:rFonts w:hint="eastAsia" w:ascii="仿宋" w:hAnsi="仿宋" w:eastAsia="仿宋"/>
          <w:b w:val="0"/>
          <w:bCs/>
          <w:color w:val="auto"/>
          <w:sz w:val="32"/>
          <w:szCs w:val="32"/>
          <w:lang w:val="en-US" w:eastAsia="zh-CN"/>
        </w:rPr>
        <w:t>23</w:t>
      </w:r>
      <w:r>
        <w:rPr>
          <w:rStyle w:val="14"/>
          <w:rFonts w:hint="eastAsia" w:ascii="仿宋" w:hAnsi="仿宋" w:eastAsia="仿宋"/>
          <w:b w:val="0"/>
          <w:bCs/>
          <w:color w:val="auto"/>
          <w:sz w:val="32"/>
          <w:szCs w:val="32"/>
        </w:rPr>
        <w:t>年</w:t>
      </w:r>
      <w:r>
        <w:rPr>
          <w:rStyle w:val="14"/>
          <w:rFonts w:hint="eastAsia" w:ascii="仿宋" w:hAnsi="仿宋" w:eastAsia="仿宋"/>
          <w:b w:val="0"/>
          <w:bCs/>
          <w:color w:val="auto"/>
          <w:sz w:val="32"/>
          <w:szCs w:val="32"/>
          <w:lang w:eastAsia="zh-CN"/>
        </w:rPr>
        <w:t>一</w:t>
      </w:r>
      <w:r>
        <w:rPr>
          <w:rStyle w:val="14"/>
          <w:rFonts w:hint="eastAsia" w:ascii="仿宋" w:hAnsi="仿宋" w:eastAsia="仿宋"/>
          <w:b w:val="0"/>
          <w:bCs/>
          <w:color w:val="auto"/>
          <w:sz w:val="32"/>
          <w:szCs w:val="32"/>
        </w:rPr>
        <w:t>般公共预算支出决算数为</w:t>
      </w:r>
      <w:r>
        <w:rPr>
          <w:rStyle w:val="14"/>
          <w:rFonts w:hint="eastAsia" w:ascii="仿宋" w:hAnsi="仿宋" w:eastAsia="仿宋"/>
          <w:b w:val="0"/>
          <w:bCs/>
          <w:color w:val="auto"/>
          <w:sz w:val="32"/>
          <w:szCs w:val="32"/>
          <w:lang w:val="en-US" w:eastAsia="zh-CN"/>
        </w:rPr>
        <w:t>759.15万元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hint="eastAsia" w:ascii="仿宋" w:hAnsi="仿宋" w:eastAsia="仿宋"/>
          <w:b w:val="0"/>
          <w:bCs/>
          <w:color w:val="auto"/>
          <w:sz w:val="32"/>
          <w:szCs w:val="32"/>
        </w:rPr>
        <w:t>%。其中：</w:t>
      </w:r>
      <w:bookmarkEnd w:id="56"/>
      <w:bookmarkEnd w:id="57"/>
      <w:bookmarkEnd w:id="58"/>
    </w:p>
    <w:p w14:paraId="59815A97">
      <w:pPr>
        <w:spacing w:line="600" w:lineRule="exact"/>
        <w:ind w:firstLine="640" w:firstLineChars="200"/>
        <w:rPr>
          <w:rStyle w:val="14"/>
          <w:rFonts w:hint="eastAsia" w:ascii="仿宋" w:hAnsi="仿宋" w:eastAsia="仿宋"/>
          <w:b w:val="0"/>
          <w:bCs w:val="0"/>
          <w:color w:val="auto"/>
          <w:sz w:val="32"/>
          <w:szCs w:val="32"/>
        </w:rPr>
      </w:pP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学前</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3.54</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014BB03B">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437.04</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75AA8AC5">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事业单位离退休</w:t>
      </w:r>
      <w:r>
        <w:rPr>
          <w:rStyle w:val="14"/>
          <w:rFonts w:hint="eastAsia" w:ascii="仿宋" w:hAnsi="仿宋" w:eastAsia="仿宋"/>
          <w:b w:val="0"/>
          <w:bCs w:val="0"/>
          <w:color w:val="auto"/>
          <w:sz w:val="32"/>
          <w:szCs w:val="32"/>
        </w:rPr>
        <w:t>（0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25.11</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D40CF59">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4</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（05）机关事业单位基本养老保险缴费支出（05）:支出决算为</w:t>
      </w:r>
      <w:r>
        <w:rPr>
          <w:rStyle w:val="14"/>
          <w:rFonts w:hint="eastAsia" w:ascii="仿宋" w:hAnsi="仿宋" w:eastAsia="仿宋"/>
          <w:b w:val="0"/>
          <w:bCs w:val="0"/>
          <w:color w:val="auto"/>
          <w:sz w:val="32"/>
          <w:szCs w:val="32"/>
          <w:lang w:val="en-US" w:eastAsia="zh-CN"/>
        </w:rPr>
        <w:t>20.99</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09342E48">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5.</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机关事业单位职业年金缴费支出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06</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13.09万元，完成预算100%。</w:t>
      </w:r>
    </w:p>
    <w:p w14:paraId="70BD8D5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6.</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其他</w:t>
      </w:r>
      <w:r>
        <w:rPr>
          <w:rStyle w:val="14"/>
          <w:rFonts w:hint="eastAsia" w:ascii="仿宋" w:hAnsi="仿宋" w:eastAsia="仿宋"/>
          <w:b w:val="0"/>
          <w:bCs w:val="0"/>
          <w:color w:val="auto"/>
          <w:sz w:val="32"/>
          <w:szCs w:val="32"/>
        </w:rPr>
        <w:t>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167.57万元，完成预算100%。</w:t>
      </w:r>
    </w:p>
    <w:p w14:paraId="77A8A874">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7.</w:t>
      </w:r>
      <w:r>
        <w:rPr>
          <w:rStyle w:val="14"/>
          <w:rFonts w:hint="eastAsia" w:ascii="仿宋" w:hAnsi="仿宋" w:eastAsia="仿宋"/>
          <w:b w:val="0"/>
          <w:bCs w:val="0"/>
          <w:color w:val="auto"/>
          <w:sz w:val="32"/>
          <w:szCs w:val="32"/>
        </w:rPr>
        <w:t>社会保障和就业（208）</w:t>
      </w:r>
      <w:r>
        <w:rPr>
          <w:rStyle w:val="14"/>
          <w:rFonts w:hint="eastAsia" w:ascii="仿宋" w:hAnsi="仿宋" w:eastAsia="仿宋"/>
          <w:b w:val="0"/>
          <w:bCs w:val="0"/>
          <w:color w:val="auto"/>
          <w:sz w:val="32"/>
          <w:szCs w:val="32"/>
          <w:lang w:eastAsia="zh-CN"/>
        </w:rPr>
        <w:t>抚恤（</w:t>
      </w:r>
      <w:r>
        <w:rPr>
          <w:rStyle w:val="14"/>
          <w:rFonts w:hint="eastAsia" w:ascii="仿宋" w:hAnsi="仿宋" w:eastAsia="仿宋"/>
          <w:b w:val="0"/>
          <w:bCs w:val="0"/>
          <w:color w:val="auto"/>
          <w:sz w:val="32"/>
          <w:szCs w:val="32"/>
          <w:lang w:val="en-US" w:eastAsia="zh-CN"/>
        </w:rPr>
        <w:t>08）死亡抚恤（01）</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31.49万元，完成预算100%。</w:t>
      </w:r>
    </w:p>
    <w:p w14:paraId="19B5143D">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8</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23.07</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01A39BFA">
      <w:pPr>
        <w:spacing w:line="600" w:lineRule="exact"/>
        <w:ind w:firstLine="640" w:firstLineChars="200"/>
        <w:rPr>
          <w:rFonts w:ascii="仿宋" w:hAnsi="仿宋" w:eastAsia="仿宋"/>
          <w:color w:val="auto"/>
          <w:sz w:val="32"/>
          <w:szCs w:val="32"/>
        </w:rPr>
      </w:pPr>
      <w:r>
        <w:rPr>
          <w:rStyle w:val="14"/>
          <w:rFonts w:hint="eastAsia" w:ascii="仿宋" w:hAnsi="仿宋" w:eastAsia="仿宋"/>
          <w:b w:val="0"/>
          <w:bCs w:val="0"/>
          <w:color w:val="auto"/>
          <w:sz w:val="32"/>
          <w:szCs w:val="40"/>
          <w:lang w:val="en-US" w:eastAsia="zh-CN"/>
        </w:rPr>
        <w:t>9</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37.25</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2F895A7A">
      <w:pPr>
        <w:tabs>
          <w:tab w:val="right" w:pos="8306"/>
        </w:tabs>
        <w:spacing w:line="600" w:lineRule="exact"/>
        <w:ind w:firstLine="640"/>
        <w:outlineLvl w:val="1"/>
        <w:rPr>
          <w:rStyle w:val="25"/>
          <w:color w:val="auto"/>
          <w:highlight w:val="none"/>
        </w:rPr>
      </w:pPr>
      <w:bookmarkStart w:id="59" w:name="_Toc15377214"/>
      <w:bookmarkStart w:id="60" w:name="_Toc21484"/>
      <w:bookmarkStart w:id="6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9"/>
      <w:bookmarkEnd w:id="60"/>
      <w:bookmarkEnd w:id="61"/>
      <w:r>
        <w:rPr>
          <w:rStyle w:val="25"/>
          <w:rFonts w:ascii="黑体" w:hAnsi="黑体" w:eastAsia="黑体"/>
          <w:b w:val="0"/>
          <w:color w:val="auto"/>
          <w:highlight w:val="none"/>
        </w:rPr>
        <w:tab/>
      </w:r>
    </w:p>
    <w:p w14:paraId="058FFE6C">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745.34</w:t>
      </w:r>
      <w:r>
        <w:rPr>
          <w:rFonts w:hint="eastAsia" w:ascii="仿宋" w:hAnsi="仿宋" w:eastAsia="仿宋"/>
          <w:color w:val="auto"/>
          <w:sz w:val="32"/>
          <w:szCs w:val="32"/>
          <w:highlight w:val="none"/>
        </w:rPr>
        <w:t>万元，其中：</w:t>
      </w:r>
    </w:p>
    <w:p w14:paraId="428152BC">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660.2</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158.49万元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2.28万元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68.05万元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20.99万元</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13.09万元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职工基本医疗保险缴费23.07万元、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97.61万元</w:t>
      </w:r>
      <w:r>
        <w:rPr>
          <w:rFonts w:hint="eastAsia" w:ascii="仿宋" w:hAnsi="仿宋" w:eastAsia="仿宋"/>
          <w:color w:val="auto"/>
          <w:sz w:val="32"/>
          <w:szCs w:val="32"/>
          <w:highlight w:val="none"/>
        </w:rPr>
        <w:t>、退休费</w:t>
      </w:r>
      <w:r>
        <w:rPr>
          <w:rFonts w:hint="eastAsia" w:ascii="仿宋" w:hAnsi="仿宋" w:eastAsia="仿宋"/>
          <w:color w:val="auto"/>
          <w:sz w:val="32"/>
          <w:szCs w:val="32"/>
          <w:highlight w:val="none"/>
          <w:lang w:val="en-US" w:eastAsia="zh-CN"/>
        </w:rPr>
        <w:t>25.11万元、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31.49万元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182.74万元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0.03万元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37.25万元</w:t>
      </w:r>
      <w:r>
        <w:rPr>
          <w:rFonts w:hint="eastAsia" w:ascii="仿宋" w:hAnsi="仿宋" w:eastAsia="仿宋"/>
          <w:color w:val="auto"/>
          <w:sz w:val="32"/>
          <w:szCs w:val="32"/>
          <w:highlight w:val="none"/>
        </w:rPr>
        <w:t>。</w:t>
      </w:r>
    </w:p>
    <w:p w14:paraId="5E2A0991">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85.14</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12.77万元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0.41万元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1.17万元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1.41万元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0.53万元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1.03万元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8.58万元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0.53万元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3.61万元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16.12万元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33.11万元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5.88万元</w:t>
      </w:r>
      <w:r>
        <w:rPr>
          <w:rFonts w:hint="eastAsia" w:ascii="仿宋" w:hAnsi="仿宋" w:eastAsia="仿宋"/>
          <w:color w:val="auto"/>
          <w:sz w:val="32"/>
          <w:szCs w:val="32"/>
          <w:highlight w:val="none"/>
        </w:rPr>
        <w:t>。</w:t>
      </w:r>
    </w:p>
    <w:p w14:paraId="29C801B8">
      <w:pPr>
        <w:spacing w:line="600" w:lineRule="exact"/>
        <w:ind w:firstLine="640"/>
        <w:outlineLvl w:val="1"/>
        <w:rPr>
          <w:rStyle w:val="25"/>
          <w:rFonts w:ascii="黑体" w:hAnsi="黑体" w:eastAsia="黑体"/>
          <w:b w:val="0"/>
          <w:color w:val="auto"/>
          <w:highlight w:val="none"/>
        </w:rPr>
      </w:pPr>
      <w:bookmarkStart w:id="62" w:name="_Toc15377215"/>
      <w:bookmarkStart w:id="63" w:name="_Toc15396609"/>
      <w:bookmarkStart w:id="64" w:name="_Toc9808"/>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62"/>
      <w:bookmarkEnd w:id="63"/>
      <w:bookmarkEnd w:id="64"/>
    </w:p>
    <w:p w14:paraId="70FD20F4">
      <w:pPr>
        <w:spacing w:line="600" w:lineRule="exact"/>
        <w:ind w:firstLine="640"/>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14:paraId="164B15FF">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1ADF1E3">
      <w:pPr>
        <w:spacing w:line="600" w:lineRule="exact"/>
        <w:ind w:firstLine="640"/>
        <w:outlineLvl w:val="2"/>
        <w:rPr>
          <w:rFonts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（二）“三公”经费财政拨款支出决算具体情况说明</w:t>
      </w:r>
      <w:bookmarkEnd w:id="66"/>
    </w:p>
    <w:p w14:paraId="6F5746D3">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759C0711">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A1BBF0">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14:paraId="26032F6B">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2BEC57C5">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23427F0E">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477328D4">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377EB824">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hAnsi="仿宋_GB2312" w:eastAsia="仿宋_GB2312" w:cs="仿宋_GB2312"/>
          <w:sz w:val="32"/>
          <w:szCs w:val="32"/>
        </w:rPr>
        <w:t>主要原因是我单位节约开支，勤俭接待，</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标准接待</w:t>
      </w:r>
      <w:r>
        <w:rPr>
          <w:rFonts w:hint="eastAsia" w:ascii="仿宋_GB2312" w:eastAsia="仿宋_GB2312"/>
          <w:color w:val="auto"/>
          <w:sz w:val="32"/>
          <w:szCs w:val="32"/>
          <w:highlight w:val="none"/>
        </w:rPr>
        <w:t>。其中：</w:t>
      </w:r>
    </w:p>
    <w:p w14:paraId="5BA92F79">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国内公务</w:t>
      </w:r>
      <w:r>
        <w:rPr>
          <w:rFonts w:hint="eastAsia" w:ascii="仿宋_GB2312" w:eastAsia="仿宋_GB2312"/>
          <w:color w:val="auto"/>
          <w:sz w:val="32"/>
          <w:szCs w:val="32"/>
          <w:highlight w:val="none"/>
        </w:rPr>
        <w:t>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5462F02">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88F36F2">
      <w:pPr>
        <w:spacing w:line="600" w:lineRule="exact"/>
        <w:ind w:firstLine="640"/>
        <w:outlineLvl w:val="1"/>
        <w:rPr>
          <w:rStyle w:val="25"/>
          <w:rFonts w:ascii="黑体" w:hAnsi="黑体" w:eastAsia="黑体"/>
          <w:color w:val="auto"/>
          <w:highlight w:val="none"/>
        </w:rPr>
      </w:pPr>
      <w:bookmarkStart w:id="67" w:name="_Toc15377218"/>
      <w:bookmarkStart w:id="68" w:name="_Toc10844"/>
      <w:bookmarkStart w:id="69"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7"/>
      <w:bookmarkEnd w:id="68"/>
      <w:bookmarkEnd w:id="69"/>
    </w:p>
    <w:p w14:paraId="5F05EE53">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51BE800">
      <w:pPr>
        <w:numPr>
          <w:ilvl w:val="0"/>
          <w:numId w:val="3"/>
        </w:numPr>
        <w:spacing w:line="600" w:lineRule="exact"/>
        <w:ind w:firstLine="640"/>
        <w:outlineLvl w:val="1"/>
        <w:rPr>
          <w:rStyle w:val="25"/>
          <w:rFonts w:ascii="黑体" w:hAnsi="黑体" w:eastAsia="黑体"/>
          <w:b w:val="0"/>
          <w:color w:val="auto"/>
          <w:highlight w:val="none"/>
        </w:rPr>
      </w:pPr>
      <w:bookmarkStart w:id="70" w:name="_Toc1214"/>
      <w:bookmarkStart w:id="71" w:name="_Toc15377219"/>
      <w:bookmarkStart w:id="72" w:name="_Toc15396611"/>
      <w:r>
        <w:rPr>
          <w:rStyle w:val="25"/>
          <w:rFonts w:hint="eastAsia" w:ascii="黑体" w:hAnsi="黑体" w:eastAsia="黑体"/>
          <w:b w:val="0"/>
          <w:color w:val="auto"/>
          <w:highlight w:val="none"/>
        </w:rPr>
        <w:t>国有资本经营预算支出决算情况说明</w:t>
      </w:r>
      <w:bookmarkEnd w:id="70"/>
      <w:bookmarkEnd w:id="71"/>
      <w:bookmarkEnd w:id="72"/>
    </w:p>
    <w:p w14:paraId="33891F50">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13FE78E">
      <w:pPr>
        <w:numPr>
          <w:ilvl w:val="0"/>
          <w:numId w:val="3"/>
        </w:numPr>
        <w:spacing w:line="600" w:lineRule="exact"/>
        <w:ind w:firstLine="640"/>
        <w:outlineLvl w:val="1"/>
        <w:rPr>
          <w:rStyle w:val="25"/>
          <w:rFonts w:hint="eastAsia" w:ascii="黑体" w:hAnsi="黑体" w:eastAsia="黑体"/>
          <w:b w:val="0"/>
          <w:color w:val="auto"/>
          <w:highlight w:val="none"/>
        </w:rPr>
      </w:pPr>
      <w:bookmarkStart w:id="73" w:name="_Toc15377221"/>
      <w:bookmarkStart w:id="74" w:name="_Toc31091"/>
      <w:bookmarkStart w:id="75" w:name="_Toc15396612"/>
      <w:r>
        <w:rPr>
          <w:rStyle w:val="25"/>
          <w:rFonts w:hint="eastAsia" w:ascii="黑体" w:hAnsi="黑体" w:eastAsia="黑体"/>
          <w:b w:val="0"/>
          <w:color w:val="auto"/>
          <w:highlight w:val="none"/>
        </w:rPr>
        <w:t>其他重要事项的情况说明</w:t>
      </w:r>
      <w:bookmarkEnd w:id="73"/>
      <w:bookmarkEnd w:id="74"/>
      <w:bookmarkEnd w:id="75"/>
    </w:p>
    <w:p w14:paraId="200CCDBF">
      <w:pPr>
        <w:spacing w:line="600" w:lineRule="exact"/>
        <w:ind w:firstLine="643" w:firstLineChars="200"/>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14:paraId="46EA7E27">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3B74876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14:paraId="16CE3A7D">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第七</w:t>
      </w:r>
      <w:r>
        <w:rPr>
          <w:rFonts w:hint="eastAsia" w:ascii="仿宋_GB2312" w:eastAsia="仿宋_GB2312"/>
          <w:color w:val="auto"/>
          <w:sz w:val="32"/>
          <w:szCs w:val="32"/>
        </w:rPr>
        <w:t>小学政府采购支出总额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4D48AFD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4"/>
      <w:r>
        <w:rPr>
          <w:rFonts w:hint="eastAsia" w:ascii="仿宋" w:hAnsi="仿宋" w:eastAsia="仿宋"/>
          <w:b/>
          <w:color w:val="auto"/>
          <w:sz w:val="32"/>
          <w:szCs w:val="32"/>
          <w:highlight w:val="none"/>
        </w:rPr>
        <w:t>（三）国有资产占有使用情况</w:t>
      </w:r>
      <w:bookmarkEnd w:id="78"/>
    </w:p>
    <w:p w14:paraId="69D2565C">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第七</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3E7B026A">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34A8BAF3">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098F846F">
      <w:pPr>
        <w:pStyle w:val="5"/>
        <w:rPr>
          <w:color w:val="auto"/>
        </w:rPr>
      </w:pPr>
    </w:p>
    <w:p w14:paraId="4E03F6A8">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52BFFA90">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9" w:name="_Toc15377225"/>
      <w:bookmarkStart w:id="80" w:name="_Toc15396613"/>
      <w:bookmarkStart w:id="81" w:name="_Toc10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9"/>
      <w:bookmarkEnd w:id="80"/>
      <w:bookmarkEnd w:id="81"/>
    </w:p>
    <w:p w14:paraId="48AB8A9B">
      <w:pPr>
        <w:spacing w:line="600" w:lineRule="exact"/>
        <w:jc w:val="left"/>
        <w:rPr>
          <w:rFonts w:ascii="宋体"/>
          <w:b/>
          <w:color w:val="auto"/>
          <w:sz w:val="44"/>
          <w:szCs w:val="44"/>
          <w:highlight w:val="none"/>
        </w:rPr>
      </w:pPr>
    </w:p>
    <w:p w14:paraId="1EB262F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5698907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61E7007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4900F22F">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4.结余分配：指事业单位按照会计制度规定缴纳的所得税、提取的专用结余以及转入非财政拨款结余的金额等。</w:t>
      </w:r>
    </w:p>
    <w:p w14:paraId="4674C4F3">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3AC8E286">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66A0DE68">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503C362F">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5B7E2B02">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24D70F68">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375B7A31">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39053B5D">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07CD77E4">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3F8B3D00">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2014118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5B9427E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53EFC2E6">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4123310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9EC6D52">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96614"/>
      <w:bookmarkStart w:id="83" w:name="_Toc15377226"/>
    </w:p>
    <w:p w14:paraId="288928B5">
      <w:pPr>
        <w:spacing w:line="600" w:lineRule="exact"/>
        <w:ind w:firstLine="640"/>
        <w:rPr>
          <w:rFonts w:hint="eastAsia" w:ascii="仿宋_GB2312" w:hAnsi="Calibri" w:eastAsia="仿宋_GB2312" w:cs="仿宋"/>
          <w:color w:val="auto"/>
          <w:kern w:val="0"/>
          <w:sz w:val="32"/>
          <w:szCs w:val="32"/>
        </w:rPr>
      </w:pPr>
    </w:p>
    <w:p w14:paraId="7C5476A0">
      <w:pPr>
        <w:spacing w:line="600" w:lineRule="exact"/>
        <w:ind w:firstLine="640"/>
        <w:rPr>
          <w:rFonts w:hint="eastAsia" w:ascii="仿宋_GB2312" w:hAnsi="Calibri" w:eastAsia="仿宋_GB2312" w:cs="仿宋"/>
          <w:color w:val="auto"/>
          <w:kern w:val="0"/>
          <w:sz w:val="32"/>
          <w:szCs w:val="32"/>
        </w:rPr>
      </w:pPr>
    </w:p>
    <w:p w14:paraId="2EEB0F27">
      <w:pPr>
        <w:spacing w:line="600" w:lineRule="exact"/>
        <w:ind w:firstLine="640"/>
        <w:rPr>
          <w:rFonts w:hint="eastAsia" w:ascii="仿宋_GB2312" w:hAnsi="Calibri" w:eastAsia="仿宋_GB2312" w:cs="仿宋"/>
          <w:color w:val="auto"/>
          <w:kern w:val="0"/>
          <w:sz w:val="32"/>
          <w:szCs w:val="32"/>
        </w:rPr>
      </w:pPr>
    </w:p>
    <w:p w14:paraId="4546D95B">
      <w:pPr>
        <w:spacing w:line="600" w:lineRule="exact"/>
        <w:ind w:firstLine="640"/>
        <w:rPr>
          <w:rFonts w:hint="eastAsia" w:ascii="仿宋_GB2312" w:hAnsi="Calibri" w:eastAsia="仿宋_GB2312" w:cs="仿宋"/>
          <w:color w:val="auto"/>
          <w:kern w:val="0"/>
          <w:sz w:val="32"/>
          <w:szCs w:val="32"/>
        </w:rPr>
      </w:pPr>
    </w:p>
    <w:p w14:paraId="1604C07A">
      <w:pPr>
        <w:spacing w:line="600" w:lineRule="exact"/>
        <w:ind w:firstLine="640"/>
        <w:rPr>
          <w:rFonts w:hint="eastAsia" w:ascii="仿宋_GB2312" w:hAnsi="Calibri" w:eastAsia="仿宋_GB2312" w:cs="仿宋"/>
          <w:color w:val="auto"/>
          <w:kern w:val="0"/>
          <w:sz w:val="32"/>
          <w:szCs w:val="32"/>
        </w:rPr>
      </w:pPr>
    </w:p>
    <w:p w14:paraId="35618323">
      <w:pPr>
        <w:spacing w:line="600" w:lineRule="exact"/>
        <w:ind w:firstLine="640"/>
        <w:rPr>
          <w:rFonts w:hint="eastAsia" w:ascii="仿宋_GB2312" w:hAnsi="Calibri" w:eastAsia="仿宋_GB2312" w:cs="仿宋"/>
          <w:color w:val="auto"/>
          <w:kern w:val="0"/>
          <w:sz w:val="32"/>
          <w:szCs w:val="32"/>
        </w:rPr>
      </w:pPr>
    </w:p>
    <w:bookmarkEnd w:id="82"/>
    <w:p w14:paraId="3D70C548">
      <w:pPr>
        <w:spacing w:line="600" w:lineRule="exact"/>
        <w:ind w:firstLine="640"/>
        <w:jc w:val="center"/>
        <w:rPr>
          <w:rFonts w:hint="default" w:ascii="黑体" w:hAnsi="黑体" w:eastAsia="黑体"/>
          <w:color w:val="auto"/>
          <w:sz w:val="44"/>
          <w:szCs w:val="44"/>
          <w:highlight w:val="none"/>
          <w:lang w:val="en-US" w:eastAsia="zh-CN"/>
        </w:rPr>
      </w:pPr>
      <w:bookmarkStart w:id="84" w:name="_Toc25087"/>
      <w:bookmarkStart w:id="85" w:name="_Toc15396618"/>
      <w:r>
        <w:rPr>
          <w:rFonts w:hint="eastAsia" w:ascii="黑体" w:hAnsi="黑体" w:eastAsia="黑体"/>
          <w:color w:val="auto"/>
          <w:sz w:val="44"/>
          <w:szCs w:val="44"/>
          <w:highlight w:val="none"/>
          <w:lang w:val="en-US" w:eastAsia="zh-CN"/>
        </w:rPr>
        <w:t xml:space="preserve"> </w:t>
      </w:r>
    </w:p>
    <w:tbl>
      <w:tblPr>
        <w:tblStyle w:val="12"/>
        <w:tblpPr w:leftFromText="180" w:rightFromText="180" w:vertAnchor="text" w:horzAnchor="page" w:tblpX="1457" w:tblpY="-2"/>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365"/>
        <w:gridCol w:w="1200"/>
        <w:gridCol w:w="1140"/>
        <w:gridCol w:w="750"/>
        <w:gridCol w:w="667"/>
        <w:gridCol w:w="667"/>
        <w:gridCol w:w="667"/>
        <w:gridCol w:w="667"/>
        <w:gridCol w:w="667"/>
      </w:tblGrid>
      <w:tr w14:paraId="2C23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40" w:type="dxa"/>
            <w:gridSpan w:val="10"/>
            <w:tcBorders>
              <w:top w:val="nil"/>
              <w:left w:val="nil"/>
              <w:bottom w:val="nil"/>
              <w:right w:val="nil"/>
            </w:tcBorders>
            <w:shd w:val="clear" w:color="auto" w:fill="auto"/>
            <w:vAlign w:val="center"/>
          </w:tcPr>
          <w:p w14:paraId="6A2A7A27">
            <w:pPr>
              <w:keepNext w:val="0"/>
              <w:keepLines w:val="0"/>
              <w:widowControl/>
              <w:suppressLineNumbers w:val="0"/>
              <w:jc w:val="center"/>
              <w:textAlignment w:val="center"/>
              <w:rPr>
                <w:rFonts w:hint="eastAsia" w:ascii="黑体" w:hAnsi="黑体" w:eastAsia="黑体"/>
                <w:color w:val="auto"/>
                <w:sz w:val="44"/>
                <w:szCs w:val="44"/>
                <w:highlight w:val="none"/>
                <w:lang w:val="en-US" w:eastAsia="zh-CN"/>
              </w:rPr>
            </w:pPr>
            <w:r>
              <w:rPr>
                <w:rFonts w:hint="eastAsia" w:ascii="黑体" w:hAnsi="黑体" w:eastAsia="黑体" w:cs="黑体"/>
                <w:color w:val="auto"/>
                <w:kern w:val="0"/>
                <w:sz w:val="44"/>
                <w:szCs w:val="44"/>
              </w:rPr>
              <w:t>第四部分   附件</w:t>
            </w:r>
            <w:r>
              <w:rPr>
                <w:rFonts w:hint="eastAsia" w:ascii="黑体" w:hAnsi="黑体" w:eastAsia="黑体"/>
                <w:color w:val="auto"/>
                <w:sz w:val="44"/>
                <w:szCs w:val="44"/>
                <w:highlight w:val="none"/>
                <w:lang w:val="en-US" w:eastAsia="zh-CN"/>
              </w:rPr>
              <w:t xml:space="preserve"> </w:t>
            </w:r>
          </w:p>
          <w:p w14:paraId="0480BE64">
            <w:pPr>
              <w:keepNext w:val="0"/>
              <w:keepLines w:val="0"/>
              <w:widowControl/>
              <w:suppressLineNumbers w:val="0"/>
              <w:jc w:val="center"/>
              <w:textAlignment w:val="center"/>
              <w:rPr>
                <w:rFonts w:hint="default" w:ascii="黑体" w:hAnsi="宋体" w:eastAsia="黑体" w:cs="黑体"/>
                <w:i w:val="0"/>
                <w:iCs w:val="0"/>
                <w:color w:val="000000"/>
                <w:kern w:val="0"/>
                <w:sz w:val="30"/>
                <w:szCs w:val="30"/>
                <w:u w:val="none"/>
                <w:lang w:val="en-US" w:eastAsia="zh-CN" w:bidi="ar"/>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7EF7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40" w:type="dxa"/>
            <w:gridSpan w:val="10"/>
            <w:tcBorders>
              <w:top w:val="nil"/>
              <w:left w:val="nil"/>
              <w:bottom w:val="nil"/>
              <w:right w:val="nil"/>
            </w:tcBorders>
            <w:shd w:val="clear" w:color="auto" w:fill="auto"/>
            <w:vAlign w:val="center"/>
          </w:tcPr>
          <w:p w14:paraId="29A1D581">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（2023年度）</w:t>
            </w:r>
          </w:p>
        </w:tc>
      </w:tr>
      <w:tr w14:paraId="6524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40" w:type="dxa"/>
            <w:gridSpan w:val="10"/>
            <w:tcBorders>
              <w:top w:val="nil"/>
              <w:left w:val="nil"/>
              <w:bottom w:val="single" w:color="000000" w:sz="4" w:space="0"/>
              <w:right w:val="nil"/>
            </w:tcBorders>
            <w:shd w:val="clear" w:color="auto" w:fill="auto"/>
            <w:vAlign w:val="center"/>
          </w:tcPr>
          <w:p w14:paraId="1BFA4D29">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单位：万元</w:t>
            </w:r>
          </w:p>
        </w:tc>
      </w:tr>
      <w:tr w14:paraId="5D18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6E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6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961E43">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大竹县第七小学部门</w:t>
            </w:r>
          </w:p>
        </w:tc>
      </w:tr>
      <w:tr w14:paraId="5AD0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DD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AA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EF67E3">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其他资金</w:t>
            </w:r>
          </w:p>
        </w:tc>
      </w:tr>
      <w:tr w14:paraId="5089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D7EF8">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AAE4">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759.1</w:t>
            </w:r>
            <w:r>
              <w:rPr>
                <w:rFonts w:hint="eastAsia" w:ascii="宋体" w:hAnsi="宋体" w:cs="宋体"/>
                <w:i w:val="0"/>
                <w:iCs w:val="0"/>
                <w:color w:val="000000"/>
                <w:kern w:val="0"/>
                <w:sz w:val="18"/>
                <w:szCs w:val="18"/>
                <w:u w:val="none"/>
                <w:lang w:val="en-US" w:eastAsia="zh-CN" w:bidi="ar"/>
              </w:rPr>
              <w:t>5</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2C60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759.1</w:t>
            </w:r>
            <w:r>
              <w:rPr>
                <w:rFonts w:hint="eastAsia" w:ascii="宋体" w:hAnsi="宋体" w:cs="宋体"/>
                <w:i w:val="0"/>
                <w:iCs w:val="0"/>
                <w:color w:val="000000"/>
                <w:kern w:val="0"/>
                <w:sz w:val="18"/>
                <w:szCs w:val="18"/>
                <w:u w:val="none"/>
                <w:lang w:val="en-US" w:eastAsia="zh-CN" w:bidi="ar"/>
              </w:rPr>
              <w:t>5</w:t>
            </w:r>
            <w:bookmarkStart w:id="113" w:name="_GoBack"/>
            <w:bookmarkEnd w:id="113"/>
          </w:p>
        </w:tc>
        <w:tc>
          <w:tcPr>
            <w:tcW w:w="4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1D64E0">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14:paraId="68AD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E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77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08D185">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保障学校工作顺利正常进行。</w:t>
            </w:r>
          </w:p>
        </w:tc>
      </w:tr>
      <w:tr w14:paraId="5422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B2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8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6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E981A1">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主要内容</w:t>
            </w:r>
          </w:p>
        </w:tc>
      </w:tr>
      <w:tr w14:paraId="78A6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A7CE">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41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队伍建设工作</w:t>
            </w:r>
          </w:p>
        </w:tc>
        <w:tc>
          <w:tcPr>
            <w:tcW w:w="6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E86E0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提升全体教职员工的整体素质。</w:t>
            </w:r>
          </w:p>
        </w:tc>
      </w:tr>
      <w:tr w14:paraId="04B7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FE11">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24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党建工作</w:t>
            </w:r>
          </w:p>
        </w:tc>
        <w:tc>
          <w:tcPr>
            <w:tcW w:w="6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AB10F8">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统一思想，强化意识形态。</w:t>
            </w:r>
          </w:p>
        </w:tc>
      </w:tr>
      <w:tr w14:paraId="206B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8ED34">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47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后勤工作</w:t>
            </w:r>
          </w:p>
        </w:tc>
        <w:tc>
          <w:tcPr>
            <w:tcW w:w="6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839F1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保障学校各项顺利开展。</w:t>
            </w:r>
          </w:p>
        </w:tc>
      </w:tr>
      <w:tr w14:paraId="185B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E01D">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4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安全工作</w:t>
            </w:r>
          </w:p>
        </w:tc>
        <w:tc>
          <w:tcPr>
            <w:tcW w:w="6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CD337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加强学校安全工作，保障师生生命及财产安全。</w:t>
            </w:r>
          </w:p>
        </w:tc>
      </w:tr>
      <w:tr w14:paraId="124C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F332A">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教学工作</w:t>
            </w:r>
          </w:p>
        </w:tc>
        <w:tc>
          <w:tcPr>
            <w:tcW w:w="6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72CD5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提高教师教育教学业务水平，提升学生的素质。</w:t>
            </w:r>
          </w:p>
        </w:tc>
      </w:tr>
      <w:tr w14:paraId="69EC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9E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1B0">
            <w:pPr>
              <w:keepNext w:val="0"/>
              <w:keepLines w:val="0"/>
              <w:widowControl/>
              <w:suppressLineNumbers w:val="0"/>
              <w:jc w:val="center"/>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0F2">
            <w:pPr>
              <w:keepNext w:val="0"/>
              <w:keepLines w:val="0"/>
              <w:widowControl/>
              <w:suppressLineNumbers w:val="0"/>
              <w:jc w:val="center"/>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二级指标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14028">
            <w:pPr>
              <w:keepNext w:val="0"/>
              <w:keepLines w:val="0"/>
              <w:widowControl/>
              <w:suppressLineNumbers w:val="0"/>
              <w:jc w:val="center"/>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三级指标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9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实际完成指标值</w:t>
            </w:r>
          </w:p>
        </w:tc>
      </w:tr>
      <w:tr w14:paraId="5B5B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0085B">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06E0">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2A37">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数量指标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DD805">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教育工作覆盖人数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1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A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4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CFA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71B0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177D">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41E4">
            <w:pPr>
              <w:jc w:val="left"/>
              <w:rPr>
                <w:rFonts w:hint="eastAsia" w:ascii="宋体" w:hAnsi="宋体" w:eastAsia="宋体" w:cs="宋体"/>
                <w:i w:val="0"/>
                <w:iCs w:val="0"/>
                <w:color w:val="000000"/>
                <w:sz w:val="18"/>
                <w:szCs w:val="18"/>
                <w:u w:val="none"/>
                <w:shd w:val="clear" w:color="auto" w:fill="auto"/>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782D">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质量指标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01F1A">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较上年提升比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D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0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2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4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BA4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14:paraId="79EE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60A5">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59A98">
            <w:pPr>
              <w:jc w:val="left"/>
              <w:rPr>
                <w:rFonts w:hint="eastAsia" w:ascii="宋体" w:hAnsi="宋体" w:eastAsia="宋体" w:cs="宋体"/>
                <w:i w:val="0"/>
                <w:iCs w:val="0"/>
                <w:color w:val="000000"/>
                <w:sz w:val="18"/>
                <w:szCs w:val="18"/>
                <w:u w:val="none"/>
                <w:shd w:val="clear" w:color="auto" w:fill="auto"/>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C901">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时效指标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5E4F3">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各项工作完成时间</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8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4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12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r>
      <w:tr w14:paraId="6A1A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F3186">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C0851">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FCA">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社会效益指标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FF725">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社会对学校的认可度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3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9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1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3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23E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r>
      <w:tr w14:paraId="457C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9612">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B9B4">
            <w:pPr>
              <w:jc w:val="left"/>
              <w:rPr>
                <w:rFonts w:hint="eastAsia" w:ascii="宋体" w:hAnsi="宋体" w:eastAsia="宋体" w:cs="宋体"/>
                <w:i w:val="0"/>
                <w:iCs w:val="0"/>
                <w:color w:val="000000"/>
                <w:sz w:val="18"/>
                <w:szCs w:val="18"/>
                <w:u w:val="none"/>
                <w:shd w:val="clear" w:color="auto" w:fill="auto"/>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384">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可持续影响指标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97277">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全体师生的素质水平</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A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7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3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81C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r>
      <w:tr w14:paraId="3486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16716">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5451F">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DAFC">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服务对象满意度指标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B8376">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学生及家长满意度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F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F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8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1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A67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r>
      <w:tr w14:paraId="5A05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7882">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1100">
            <w:pPr>
              <w:jc w:val="left"/>
              <w:rPr>
                <w:rFonts w:hint="eastAsia" w:ascii="宋体" w:hAnsi="宋体" w:eastAsia="宋体" w:cs="宋体"/>
                <w:i w:val="0"/>
                <w:iCs w:val="0"/>
                <w:color w:val="000000"/>
                <w:sz w:val="18"/>
                <w:szCs w:val="18"/>
                <w:u w:val="none"/>
                <w:shd w:val="clear" w:color="auto" w:fill="auto"/>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A4BB">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帮扶对象满意度指标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04525">
            <w:pPr>
              <w:keepNext w:val="0"/>
              <w:keepLines w:val="0"/>
              <w:widowControl/>
              <w:suppressLineNumbers w:val="0"/>
              <w:jc w:val="left"/>
              <w:textAlignment w:val="center"/>
              <w:rPr>
                <w:rFonts w:ascii="宋体" w:hAnsi="宋体" w:eastAsia="宋体" w:cs="宋体"/>
                <w:i w:val="0"/>
                <w:iCs w:val="0"/>
                <w:color w:val="000000"/>
                <w:sz w:val="18"/>
                <w:szCs w:val="18"/>
                <w:u w:val="none"/>
                <w:shd w:val="clear" w:color="auto" w:fill="auto"/>
              </w:rPr>
            </w:pPr>
            <w:r>
              <w:rPr>
                <w:rFonts w:ascii="宋体" w:hAnsi="宋体" w:eastAsia="宋体" w:cs="宋体"/>
                <w:i w:val="0"/>
                <w:iCs w:val="0"/>
                <w:color w:val="000000"/>
                <w:kern w:val="0"/>
                <w:sz w:val="18"/>
                <w:szCs w:val="18"/>
                <w:u w:val="none"/>
                <w:shd w:val="clear" w:color="auto" w:fill="auto"/>
                <w:lang w:val="en-US" w:eastAsia="zh-CN" w:bidi="ar"/>
              </w:rPr>
              <w:t>资助对象满意度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A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4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1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00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r>
    </w:tbl>
    <w:p w14:paraId="338D63B0">
      <w:pPr>
        <w:numPr>
          <w:ilvl w:val="0"/>
          <w:numId w:val="0"/>
        </w:numPr>
        <w:spacing w:line="240" w:lineRule="auto"/>
        <w:ind w:leftChars="0"/>
        <w:jc w:val="both"/>
        <w:outlineLvl w:val="0"/>
        <w:rPr>
          <w:rFonts w:hint="eastAsia" w:ascii="黑体" w:hAnsi="黑体" w:eastAsia="黑体"/>
          <w:color w:val="auto"/>
          <w:sz w:val="44"/>
          <w:szCs w:val="44"/>
          <w:highlight w:val="none"/>
        </w:rPr>
        <w:sectPr>
          <w:footerReference r:id="rId7" w:type="first"/>
          <w:footerReference r:id="rId6" w:type="default"/>
          <w:pgSz w:w="11906" w:h="16838"/>
          <w:pgMar w:top="1440" w:right="1800" w:bottom="1440" w:left="1800" w:header="851" w:footer="992" w:gutter="0"/>
          <w:pgNumType w:fmt="decimal" w:start="2"/>
          <w:cols w:space="0" w:num="1"/>
          <w:rtlGutter w:val="0"/>
          <w:docGrid w:type="lines" w:linePitch="312" w:charSpace="0"/>
        </w:sectPr>
      </w:pPr>
    </w:p>
    <w:bookmarkEnd w:id="84"/>
    <w:tbl>
      <w:tblPr>
        <w:tblStyle w:val="12"/>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6"/>
        <w:gridCol w:w="1770"/>
        <w:gridCol w:w="2258"/>
        <w:gridCol w:w="521"/>
        <w:gridCol w:w="1672"/>
        <w:gridCol w:w="521"/>
        <w:gridCol w:w="1090"/>
        <w:gridCol w:w="505"/>
        <w:gridCol w:w="486"/>
        <w:gridCol w:w="2548"/>
      </w:tblGrid>
      <w:tr w14:paraId="69C6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B34ED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A7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801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A4EF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51172423T000008020370-校舍维修改造</w:t>
            </w:r>
          </w:p>
        </w:tc>
      </w:tr>
      <w:tr w14:paraId="138B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A2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0D5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大竹县第七小学部门</w:t>
            </w:r>
          </w:p>
        </w:tc>
        <w:tc>
          <w:tcPr>
            <w:tcW w:w="1091" w:type="dxa"/>
            <w:tcBorders>
              <w:top w:val="nil"/>
              <w:left w:val="nil"/>
              <w:bottom w:val="nil"/>
              <w:right w:val="nil"/>
            </w:tcBorders>
            <w:shd w:val="clear" w:color="auto" w:fill="auto"/>
            <w:vAlign w:val="center"/>
          </w:tcPr>
          <w:p w14:paraId="48CA268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62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大竹县第七小学</w:t>
            </w:r>
          </w:p>
        </w:tc>
      </w:tr>
      <w:tr w14:paraId="49B6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FD0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128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A0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8E73D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EFB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41F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2F0C2">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B83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严格执行相关政策，保障学校校舍安全。</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B294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本年度项目目标完成率 100%。严格执行相关政策，全面排查校舍安全隐患，及时进行加固和维护，有效保障了校舍的安全性，为师生创造了安全的学习和工作环境。</w:t>
            </w:r>
          </w:p>
        </w:tc>
      </w:tr>
      <w:tr w14:paraId="2484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9C15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A793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本项目严格执行政策，对校舍进行全面排查，及时修缮加固。完善安全设施，加强日常巡检，消除各类安全隐患，100%达成保障校舍安全的年度目标，为师生营造安全环境。</w:t>
            </w:r>
          </w:p>
        </w:tc>
      </w:tr>
      <w:tr w14:paraId="0077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46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A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0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A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EA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6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6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B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9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9F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DB1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0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C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5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79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B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A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DF88E">
            <w:pPr>
              <w:rPr>
                <w:rFonts w:hint="eastAsia" w:ascii="黑体" w:hAnsi="黑体" w:eastAsia="黑体" w:cs="黑体"/>
                <w:i/>
                <w:iCs/>
                <w:color w:val="000000"/>
                <w:sz w:val="18"/>
                <w:szCs w:val="18"/>
                <w:u w:val="none"/>
              </w:rPr>
            </w:pPr>
          </w:p>
        </w:tc>
      </w:tr>
      <w:tr w14:paraId="7421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CF5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6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5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07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1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4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3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1D73">
            <w:pPr>
              <w:rPr>
                <w:rFonts w:hint="eastAsia" w:ascii="黑体" w:hAnsi="黑体" w:eastAsia="黑体" w:cs="黑体"/>
                <w:i/>
                <w:iCs/>
                <w:color w:val="000000"/>
                <w:sz w:val="18"/>
                <w:szCs w:val="18"/>
                <w:u w:val="none"/>
              </w:rPr>
            </w:pPr>
          </w:p>
        </w:tc>
      </w:tr>
      <w:tr w14:paraId="111E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823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C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7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E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66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B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E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2D109">
            <w:pPr>
              <w:rPr>
                <w:rFonts w:hint="eastAsia" w:ascii="黑体" w:hAnsi="黑体" w:eastAsia="黑体" w:cs="黑体"/>
                <w:i/>
                <w:iCs/>
                <w:color w:val="000000"/>
                <w:sz w:val="18"/>
                <w:szCs w:val="18"/>
                <w:u w:val="none"/>
              </w:rPr>
            </w:pPr>
          </w:p>
        </w:tc>
      </w:tr>
      <w:tr w14:paraId="3D4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51AC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7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F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95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D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1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0B64">
            <w:pPr>
              <w:rPr>
                <w:rFonts w:hint="eastAsia" w:ascii="黑体" w:hAnsi="黑体" w:eastAsia="黑体" w:cs="黑体"/>
                <w:i/>
                <w:iCs/>
                <w:color w:val="000000"/>
                <w:sz w:val="18"/>
                <w:szCs w:val="18"/>
                <w:u w:val="none"/>
              </w:rPr>
            </w:pPr>
          </w:p>
        </w:tc>
      </w:tr>
      <w:tr w14:paraId="794C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74E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2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3CE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55F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A104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DE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A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B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A70C">
            <w:pPr>
              <w:rPr>
                <w:rFonts w:hint="eastAsia" w:ascii="黑体" w:hAnsi="黑体" w:eastAsia="黑体" w:cs="黑体"/>
                <w:i/>
                <w:iCs/>
                <w:color w:val="000000"/>
                <w:sz w:val="18"/>
                <w:szCs w:val="18"/>
                <w:u w:val="none"/>
              </w:rPr>
            </w:pPr>
          </w:p>
        </w:tc>
      </w:tr>
      <w:tr w14:paraId="4CCA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E0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2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C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8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9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D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1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5A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768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00B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46B">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B2D3">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3FAF">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B3A0">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30F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3D4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9715">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80D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237">
            <w:pPr>
              <w:jc w:val="center"/>
              <w:rPr>
                <w:rFonts w:hint="eastAsia" w:ascii="微软雅黑" w:hAnsi="微软雅黑" w:eastAsia="微软雅黑" w:cs="微软雅黑"/>
                <w:i/>
                <w:iCs/>
                <w:color w:val="000000"/>
                <w:sz w:val="16"/>
                <w:szCs w:val="16"/>
                <w:u w:val="none"/>
              </w:rPr>
            </w:pPr>
          </w:p>
        </w:tc>
      </w:tr>
      <w:tr w14:paraId="5DDC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72D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8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3EB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9343">
            <w:pPr>
              <w:rPr>
                <w:rFonts w:hint="eastAsia" w:ascii="宋体" w:hAnsi="宋体" w:eastAsia="宋体" w:cs="宋体"/>
                <w:i w:val="0"/>
                <w:iCs w:val="0"/>
                <w:color w:val="000000"/>
                <w:sz w:val="18"/>
                <w:szCs w:val="18"/>
                <w:u w:val="none"/>
              </w:rPr>
            </w:pPr>
          </w:p>
        </w:tc>
      </w:tr>
      <w:tr w14:paraId="6202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1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574A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本项目年度目标达成率 100%。严格执行相关政策，有力保障了校舍安全。整个过程管理规范，措施得当，消除了安全隐患。这充分体现了团队的执行力和责任心，为师生提供了安全可靠的学习环境，具有重要意义。</w:t>
            </w:r>
          </w:p>
        </w:tc>
      </w:tr>
      <w:tr w14:paraId="5588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D57196">
            <w:pPr>
              <w:rPr>
                <w:rFonts w:hint="eastAsia" w:ascii="微软雅黑" w:hAnsi="微软雅黑" w:eastAsia="微软雅黑" w:cs="微软雅黑"/>
                <w:i/>
                <w:iCs/>
                <w:color w:val="000000"/>
                <w:sz w:val="16"/>
                <w:szCs w:val="16"/>
                <w:u w:val="none"/>
              </w:rPr>
            </w:pPr>
          </w:p>
        </w:tc>
      </w:tr>
      <w:tr w14:paraId="3786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F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0C74B6">
            <w:pPr>
              <w:rPr>
                <w:rFonts w:hint="eastAsia" w:ascii="微软雅黑" w:hAnsi="微软雅黑" w:eastAsia="微软雅黑" w:cs="微软雅黑"/>
                <w:i/>
                <w:iCs/>
                <w:color w:val="000000"/>
                <w:sz w:val="16"/>
                <w:szCs w:val="16"/>
                <w:u w:val="none"/>
              </w:rPr>
            </w:pPr>
          </w:p>
        </w:tc>
      </w:tr>
      <w:tr w14:paraId="23C3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1CB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项目负责人：蔡乐政</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7390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财务负责人：黄光全</w:t>
            </w:r>
          </w:p>
        </w:tc>
      </w:tr>
    </w:tbl>
    <w:p w14:paraId="7FA12C45"/>
    <w:p w14:paraId="1714F143"/>
    <w:p w14:paraId="20D0A754"/>
    <w:p w14:paraId="3488630B"/>
    <w:p w14:paraId="6DF02A8E"/>
    <w:p w14:paraId="56A8EC23"/>
    <w:p w14:paraId="3D200BF3"/>
    <w:p w14:paraId="596F0544"/>
    <w:p w14:paraId="40BA1523"/>
    <w:p w14:paraId="48389310"/>
    <w:p w14:paraId="6AC25BEE"/>
    <w:p w14:paraId="4AED93CE"/>
    <w:p w14:paraId="007C1F77"/>
    <w:p w14:paraId="06C98FC0"/>
    <w:p w14:paraId="294A8A26"/>
    <w:p w14:paraId="52F6AE31"/>
    <w:p w14:paraId="2C400835"/>
    <w:p w14:paraId="5012A9F1">
      <w:pPr>
        <w:rPr>
          <w:rFonts w:hint="eastAsia" w:ascii="宋体" w:hAnsi="宋体" w:eastAsia="宋体" w:cs="宋体"/>
          <w:color w:val="auto"/>
          <w:kern w:val="0"/>
          <w:sz w:val="32"/>
          <w:szCs w:val="32"/>
          <w:highlight w:val="none"/>
          <w:lang w:val="en-US" w:eastAsia="zh-CN" w:bidi="ar-SA"/>
        </w:rPr>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pPr>
    </w:p>
    <w:bookmarkEnd w:id="83"/>
    <w:bookmarkEnd w:id="85"/>
    <w:p w14:paraId="491A0E3A">
      <w:pPr>
        <w:jc w:val="both"/>
        <w:rPr>
          <w:rFonts w:hint="eastAsia" w:ascii="黑体" w:hAnsi="黑体" w:eastAsia="黑体"/>
          <w:color w:val="auto"/>
          <w:sz w:val="44"/>
          <w:szCs w:val="44"/>
          <w:highlight w:val="none"/>
        </w:rPr>
      </w:pPr>
      <w:bookmarkStart w:id="86" w:name="_Toc31790"/>
    </w:p>
    <w:p w14:paraId="0F489076">
      <w:pPr>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6"/>
      <w:bookmarkStart w:id="87" w:name="_Toc15396619"/>
    </w:p>
    <w:p w14:paraId="35E2246D">
      <w:pPr>
        <w:pStyle w:val="3"/>
        <w:rPr>
          <w:rFonts w:ascii="仿宋" w:hAnsi="仿宋" w:eastAsia="仿宋"/>
          <w:color w:val="auto"/>
          <w:highlight w:val="none"/>
        </w:rPr>
      </w:pPr>
      <w:bookmarkStart w:id="88" w:name="_Toc21540"/>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7"/>
      <w:bookmarkEnd w:id="88"/>
    </w:p>
    <w:p w14:paraId="37D4C379">
      <w:pPr>
        <w:pStyle w:val="3"/>
        <w:rPr>
          <w:rFonts w:ascii="仿宋" w:hAnsi="仿宋" w:eastAsia="仿宋"/>
          <w:color w:val="auto"/>
          <w:highlight w:val="none"/>
        </w:rPr>
      </w:pPr>
      <w:bookmarkStart w:id="89" w:name="_Toc15396620"/>
      <w:bookmarkStart w:id="90" w:name="_Toc1474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9"/>
      <w:bookmarkEnd w:id="90"/>
    </w:p>
    <w:p w14:paraId="5D5B08DB">
      <w:pPr>
        <w:pStyle w:val="3"/>
        <w:rPr>
          <w:rFonts w:ascii="仿宋" w:hAnsi="仿宋" w:eastAsia="仿宋"/>
          <w:color w:val="auto"/>
          <w:highlight w:val="none"/>
        </w:rPr>
      </w:pPr>
      <w:bookmarkStart w:id="91" w:name="_Toc26490"/>
      <w:bookmarkStart w:id="9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1"/>
      <w:bookmarkEnd w:id="92"/>
    </w:p>
    <w:p w14:paraId="01DB7FC5">
      <w:pPr>
        <w:pStyle w:val="3"/>
        <w:rPr>
          <w:rFonts w:ascii="仿宋" w:hAnsi="仿宋" w:eastAsia="仿宋"/>
          <w:b w:val="0"/>
          <w:color w:val="auto"/>
          <w:highlight w:val="none"/>
        </w:rPr>
      </w:pPr>
      <w:bookmarkStart w:id="93" w:name="_Toc4249"/>
      <w:bookmarkStart w:id="94"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3"/>
      <w:bookmarkEnd w:id="94"/>
    </w:p>
    <w:p w14:paraId="24532F73">
      <w:pPr>
        <w:pStyle w:val="3"/>
        <w:rPr>
          <w:rStyle w:val="25"/>
          <w:rFonts w:ascii="仿宋" w:hAnsi="仿宋" w:eastAsia="仿宋"/>
          <w:b w:val="0"/>
          <w:bCs w:val="0"/>
          <w:color w:val="auto"/>
          <w:highlight w:val="none"/>
        </w:rPr>
      </w:pPr>
      <w:bookmarkStart w:id="95" w:name="_Toc21621"/>
      <w:bookmarkStart w:id="96"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5"/>
      <w:bookmarkEnd w:id="96"/>
      <w:bookmarkStart w:id="97" w:name="_Toc15396624"/>
    </w:p>
    <w:p w14:paraId="4DA6646F">
      <w:pPr>
        <w:pStyle w:val="3"/>
        <w:rPr>
          <w:rFonts w:ascii="仿宋" w:hAnsi="仿宋" w:eastAsia="仿宋"/>
          <w:color w:val="auto"/>
          <w:highlight w:val="none"/>
        </w:rPr>
      </w:pPr>
      <w:bookmarkStart w:id="98" w:name="_Toc1061"/>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7"/>
      <w:bookmarkEnd w:id="98"/>
    </w:p>
    <w:p w14:paraId="7A1BF42D">
      <w:pPr>
        <w:pStyle w:val="3"/>
        <w:rPr>
          <w:rFonts w:ascii="仿宋" w:hAnsi="仿宋" w:eastAsia="仿宋"/>
          <w:color w:val="auto"/>
          <w:highlight w:val="none"/>
        </w:rPr>
      </w:pPr>
      <w:bookmarkStart w:id="99" w:name="_Toc15396625"/>
      <w:bookmarkStart w:id="100" w:name="_Toc6268"/>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9"/>
      <w:bookmarkEnd w:id="100"/>
    </w:p>
    <w:p w14:paraId="281FD4C6">
      <w:pPr>
        <w:pStyle w:val="3"/>
        <w:rPr>
          <w:rFonts w:ascii="仿宋" w:hAnsi="仿宋" w:eastAsia="仿宋"/>
          <w:color w:val="auto"/>
          <w:highlight w:val="none"/>
        </w:rPr>
      </w:pPr>
      <w:bookmarkStart w:id="101" w:name="_Toc29111"/>
      <w:bookmarkStart w:id="102"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1"/>
      <w:bookmarkEnd w:id="102"/>
    </w:p>
    <w:p w14:paraId="4BD05BBA">
      <w:pPr>
        <w:pStyle w:val="3"/>
        <w:rPr>
          <w:rFonts w:ascii="仿宋" w:hAnsi="仿宋" w:eastAsia="仿宋"/>
          <w:color w:val="auto"/>
          <w:highlight w:val="none"/>
        </w:rPr>
      </w:pPr>
      <w:bookmarkStart w:id="103" w:name="_Toc15396627"/>
      <w:bookmarkStart w:id="104" w:name="_Toc2507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3"/>
      <w:bookmarkEnd w:id="104"/>
    </w:p>
    <w:p w14:paraId="68E6A543">
      <w:pPr>
        <w:pStyle w:val="3"/>
        <w:rPr>
          <w:rFonts w:ascii="仿宋" w:hAnsi="仿宋" w:eastAsia="仿宋"/>
          <w:color w:val="auto"/>
          <w:highlight w:val="none"/>
        </w:rPr>
      </w:pPr>
      <w:bookmarkStart w:id="105" w:name="_Toc15396628"/>
      <w:bookmarkStart w:id="106" w:name="_Toc8538"/>
      <w:r>
        <w:rPr>
          <w:rStyle w:val="25"/>
          <w:rFonts w:hint="eastAsia" w:ascii="仿宋" w:hAnsi="仿宋" w:eastAsia="仿宋"/>
          <w:b w:val="0"/>
          <w:bCs w:val="0"/>
          <w:color w:val="auto"/>
          <w:highlight w:val="none"/>
        </w:rPr>
        <w:t>十、</w:t>
      </w:r>
      <w:bookmarkEnd w:id="105"/>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6"/>
    </w:p>
    <w:p w14:paraId="5EC09B11">
      <w:pPr>
        <w:pStyle w:val="3"/>
        <w:rPr>
          <w:rFonts w:ascii="仿宋" w:hAnsi="仿宋" w:eastAsia="仿宋"/>
          <w:color w:val="auto"/>
          <w:highlight w:val="none"/>
        </w:rPr>
      </w:pPr>
      <w:bookmarkStart w:id="107" w:name="_Toc15396629"/>
      <w:bookmarkStart w:id="108" w:name="_Toc26365"/>
      <w:r>
        <w:rPr>
          <w:rStyle w:val="25"/>
          <w:rFonts w:hint="eastAsia" w:ascii="仿宋" w:hAnsi="仿宋" w:eastAsia="仿宋"/>
          <w:b w:val="0"/>
          <w:bCs w:val="0"/>
          <w:color w:val="auto"/>
          <w:highlight w:val="none"/>
        </w:rPr>
        <w:t>十一、</w:t>
      </w:r>
      <w:bookmarkEnd w:id="107"/>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8"/>
    </w:p>
    <w:p w14:paraId="04A76623">
      <w:pPr>
        <w:pStyle w:val="3"/>
        <w:rPr>
          <w:rFonts w:ascii="仿宋" w:hAnsi="仿宋" w:eastAsia="仿宋"/>
          <w:color w:val="auto"/>
          <w:highlight w:val="none"/>
        </w:rPr>
      </w:pPr>
      <w:bookmarkStart w:id="109" w:name="_Toc15396630"/>
      <w:bookmarkStart w:id="110" w:name="_Toc11791"/>
      <w:r>
        <w:rPr>
          <w:rStyle w:val="25"/>
          <w:rFonts w:hint="eastAsia" w:ascii="仿宋" w:hAnsi="仿宋" w:eastAsia="仿宋"/>
          <w:b w:val="0"/>
          <w:bCs w:val="0"/>
          <w:color w:val="auto"/>
          <w:highlight w:val="none"/>
        </w:rPr>
        <w:t>十二、</w:t>
      </w:r>
      <w:bookmarkEnd w:id="109"/>
      <w:r>
        <w:rPr>
          <w:rStyle w:val="25"/>
          <w:rFonts w:hint="eastAsia" w:ascii="仿宋" w:hAnsi="仿宋" w:eastAsia="仿宋"/>
          <w:b w:val="0"/>
          <w:bCs w:val="0"/>
          <w:color w:val="auto"/>
          <w:highlight w:val="none"/>
          <w:lang w:eastAsia="zh-CN"/>
        </w:rPr>
        <w:t>国有资本经营预算财政拨款支出决算表</w:t>
      </w:r>
      <w:bookmarkEnd w:id="110"/>
    </w:p>
    <w:p w14:paraId="7F5947A2">
      <w:pPr>
        <w:pStyle w:val="3"/>
        <w:rPr>
          <w:rFonts w:hint="eastAsia" w:eastAsia="仿宋"/>
          <w:color w:val="auto"/>
          <w:highlight w:val="none"/>
          <w:lang w:eastAsia="zh-CN"/>
        </w:rPr>
      </w:pPr>
      <w:bookmarkStart w:id="111" w:name="_Toc15396631"/>
      <w:bookmarkStart w:id="112" w:name="_Toc26267"/>
      <w:r>
        <w:rPr>
          <w:rStyle w:val="25"/>
          <w:rFonts w:hint="eastAsia" w:ascii="仿宋" w:hAnsi="仿宋" w:eastAsia="仿宋"/>
          <w:b w:val="0"/>
          <w:bCs w:val="0"/>
          <w:color w:val="auto"/>
          <w:highlight w:val="none"/>
        </w:rPr>
        <w:t>十三、</w:t>
      </w:r>
      <w:bookmarkEnd w:id="111"/>
      <w:r>
        <w:rPr>
          <w:rStyle w:val="25"/>
          <w:rFonts w:hint="eastAsia" w:ascii="仿宋" w:hAnsi="仿宋" w:eastAsia="仿宋"/>
          <w:b w:val="0"/>
          <w:bCs w:val="0"/>
          <w:color w:val="auto"/>
          <w:highlight w:val="none"/>
          <w:lang w:eastAsia="zh-CN"/>
        </w:rPr>
        <w:t>财政拨款“三公”经费支出决算表</w:t>
      </w:r>
      <w:bookmarkEnd w:id="112"/>
    </w:p>
    <w:p w14:paraId="0F9FFFDA">
      <w:pPr>
        <w:rPr>
          <w:rFonts w:hint="eastAsia" w:eastAsia="仿宋"/>
          <w:color w:val="auto"/>
          <w:highlight w:val="none"/>
          <w:lang w:eastAsia="zh-CN"/>
        </w:rPr>
      </w:pP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8C53">
    <w:pPr>
      <w:pStyle w:val="8"/>
      <w:jc w:val="center"/>
    </w:pPr>
  </w:p>
  <w:p w14:paraId="3191C8C5">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68C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C959E">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EC959E">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847F">
    <w:pPr>
      <w:pStyle w:val="8"/>
      <w:jc w:val="center"/>
    </w:pPr>
  </w:p>
  <w:p w14:paraId="2D6B8460">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A823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88A8235">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3278">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0185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A0185A">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E95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5DE951">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17CF">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A4762">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FA4762">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604968C8">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3149">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0FA5E">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F0FA5E">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DE6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35B6E9D"/>
    <w:rsid w:val="03A86DAE"/>
    <w:rsid w:val="06902E7C"/>
    <w:rsid w:val="086A485C"/>
    <w:rsid w:val="0A2032A3"/>
    <w:rsid w:val="0A953439"/>
    <w:rsid w:val="0B8A37D8"/>
    <w:rsid w:val="0C434FF4"/>
    <w:rsid w:val="0F64755C"/>
    <w:rsid w:val="0FB029A1"/>
    <w:rsid w:val="10923E54"/>
    <w:rsid w:val="10A03C51"/>
    <w:rsid w:val="10C055FF"/>
    <w:rsid w:val="11765FEF"/>
    <w:rsid w:val="118107EC"/>
    <w:rsid w:val="11DD6519"/>
    <w:rsid w:val="121A6898"/>
    <w:rsid w:val="12C0114D"/>
    <w:rsid w:val="136151FC"/>
    <w:rsid w:val="154123EF"/>
    <w:rsid w:val="15D867AD"/>
    <w:rsid w:val="160F7CF5"/>
    <w:rsid w:val="165C4B9F"/>
    <w:rsid w:val="1675334D"/>
    <w:rsid w:val="16BB723D"/>
    <w:rsid w:val="18015F3F"/>
    <w:rsid w:val="183D6D9C"/>
    <w:rsid w:val="185E3E60"/>
    <w:rsid w:val="19A10A1B"/>
    <w:rsid w:val="1BE8440E"/>
    <w:rsid w:val="1D155CEE"/>
    <w:rsid w:val="1D334A43"/>
    <w:rsid w:val="1DFA6CCA"/>
    <w:rsid w:val="1E2E5180"/>
    <w:rsid w:val="1E3429EF"/>
    <w:rsid w:val="1F274302"/>
    <w:rsid w:val="1F494278"/>
    <w:rsid w:val="1FB83C88"/>
    <w:rsid w:val="20E53DA9"/>
    <w:rsid w:val="20F57F95"/>
    <w:rsid w:val="216B0EA1"/>
    <w:rsid w:val="21CD2F3E"/>
    <w:rsid w:val="22301D3D"/>
    <w:rsid w:val="22694385"/>
    <w:rsid w:val="22C24A6D"/>
    <w:rsid w:val="240371BF"/>
    <w:rsid w:val="24E923DE"/>
    <w:rsid w:val="25C741E6"/>
    <w:rsid w:val="27842671"/>
    <w:rsid w:val="28534B6C"/>
    <w:rsid w:val="29FD04D3"/>
    <w:rsid w:val="2ABE7A3E"/>
    <w:rsid w:val="2C3826C8"/>
    <w:rsid w:val="2E673D63"/>
    <w:rsid w:val="2EFA178C"/>
    <w:rsid w:val="2F8B61E7"/>
    <w:rsid w:val="3013063D"/>
    <w:rsid w:val="30182170"/>
    <w:rsid w:val="30517430"/>
    <w:rsid w:val="30B46D73"/>
    <w:rsid w:val="319F7F4E"/>
    <w:rsid w:val="32A66287"/>
    <w:rsid w:val="335A484E"/>
    <w:rsid w:val="33765052"/>
    <w:rsid w:val="33BD7F35"/>
    <w:rsid w:val="3417170F"/>
    <w:rsid w:val="34441786"/>
    <w:rsid w:val="36687282"/>
    <w:rsid w:val="36C16A4B"/>
    <w:rsid w:val="37F76D7E"/>
    <w:rsid w:val="39A86532"/>
    <w:rsid w:val="39AE70AB"/>
    <w:rsid w:val="3A640B2C"/>
    <w:rsid w:val="3B4A3072"/>
    <w:rsid w:val="3B702D0A"/>
    <w:rsid w:val="3BC909FD"/>
    <w:rsid w:val="3C0C0783"/>
    <w:rsid w:val="3C4F581B"/>
    <w:rsid w:val="3E5C76CC"/>
    <w:rsid w:val="3E78202C"/>
    <w:rsid w:val="3F5C7D12"/>
    <w:rsid w:val="3F9F3A96"/>
    <w:rsid w:val="406B6A21"/>
    <w:rsid w:val="42666D6B"/>
    <w:rsid w:val="43CC52F4"/>
    <w:rsid w:val="43F14D5A"/>
    <w:rsid w:val="452D47A4"/>
    <w:rsid w:val="492536D2"/>
    <w:rsid w:val="493C27E9"/>
    <w:rsid w:val="496F39ED"/>
    <w:rsid w:val="49FF41D3"/>
    <w:rsid w:val="4ADD7DE7"/>
    <w:rsid w:val="4BE068DB"/>
    <w:rsid w:val="4BF6002B"/>
    <w:rsid w:val="4C2D49E9"/>
    <w:rsid w:val="4CFF4044"/>
    <w:rsid w:val="4DF931A1"/>
    <w:rsid w:val="4E6C2BC9"/>
    <w:rsid w:val="4ECE2238"/>
    <w:rsid w:val="4EF23735"/>
    <w:rsid w:val="4F97381A"/>
    <w:rsid w:val="50A767D4"/>
    <w:rsid w:val="51DB4B86"/>
    <w:rsid w:val="526811C1"/>
    <w:rsid w:val="532E7431"/>
    <w:rsid w:val="53F432F1"/>
    <w:rsid w:val="54B95421"/>
    <w:rsid w:val="55333C3E"/>
    <w:rsid w:val="55501DDF"/>
    <w:rsid w:val="558772CD"/>
    <w:rsid w:val="57391AFC"/>
    <w:rsid w:val="57A614F5"/>
    <w:rsid w:val="582C14BB"/>
    <w:rsid w:val="58382B00"/>
    <w:rsid w:val="587C0C3F"/>
    <w:rsid w:val="5AC97A40"/>
    <w:rsid w:val="5B244E93"/>
    <w:rsid w:val="5B2E1D2D"/>
    <w:rsid w:val="5B372BFB"/>
    <w:rsid w:val="5DE62663"/>
    <w:rsid w:val="5FAC19D9"/>
    <w:rsid w:val="614D6866"/>
    <w:rsid w:val="62712E97"/>
    <w:rsid w:val="63E47698"/>
    <w:rsid w:val="64486CB6"/>
    <w:rsid w:val="64BE01BC"/>
    <w:rsid w:val="64BE25DF"/>
    <w:rsid w:val="64CA39A1"/>
    <w:rsid w:val="653D52B2"/>
    <w:rsid w:val="65425D45"/>
    <w:rsid w:val="65DF609E"/>
    <w:rsid w:val="66855163"/>
    <w:rsid w:val="66E22CF2"/>
    <w:rsid w:val="67087745"/>
    <w:rsid w:val="67D56C28"/>
    <w:rsid w:val="67F4570A"/>
    <w:rsid w:val="682B7F8C"/>
    <w:rsid w:val="68EF049E"/>
    <w:rsid w:val="6B9D2F4E"/>
    <w:rsid w:val="6BB26425"/>
    <w:rsid w:val="6C4A05C8"/>
    <w:rsid w:val="6C8E6038"/>
    <w:rsid w:val="6CD75DC0"/>
    <w:rsid w:val="6E4C0C5C"/>
    <w:rsid w:val="72734D90"/>
    <w:rsid w:val="75B75ABB"/>
    <w:rsid w:val="76602158"/>
    <w:rsid w:val="7891051A"/>
    <w:rsid w:val="79E7B28D"/>
    <w:rsid w:val="7A21770D"/>
    <w:rsid w:val="7A5B16D3"/>
    <w:rsid w:val="7ACF29F8"/>
    <w:rsid w:val="7B3B62E0"/>
    <w:rsid w:val="7C58519F"/>
    <w:rsid w:val="7C606577"/>
    <w:rsid w:val="7CEE0767"/>
    <w:rsid w:val="7D0E502D"/>
    <w:rsid w:val="7D2E2907"/>
    <w:rsid w:val="7F9F20EE"/>
    <w:rsid w:val="7FD124F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 w:type="paragraph" w:customStyle="1" w:styleId="32">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568.30</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759.15</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568.3</c:v>
                </c:pt>
                <c:pt idx="1">
                  <c:v>759.15</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568.30</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759.15</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568.3</c:v>
                </c:pt>
                <c:pt idx="1">
                  <c:v>759.15</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10057c-0026-4846-8339-7f1ef87a4cd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739.07</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739.07</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1d4b5b-e4c8-4f5b-9149-f7a4a23cde8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7442839154121"/>
                  <c:y val="-0.1290554161364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745.34</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13.81万元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745.34</c:v>
                </c:pt>
                <c:pt idx="1">
                  <c:v>13.81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305d4ab-dae6-4a89-bdae-bc51285f29e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568.30</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568.30</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568.3</c:v>
                </c:pt>
                <c:pt idx="1">
                  <c:v>568.3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759.15</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759.15</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759.15</c:v>
                </c:pt>
                <c:pt idx="1">
                  <c:v>759.15</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ef9aec2-9226-4de2-a65a-21c94a9ccca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568.30</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568.3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759.15</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759.15</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0a51fb-46e9-4fcd-ad6b-1062abbd7fd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2736512776687"/>
                  <c:y val="-0.1413453675145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440.57</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258.26</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014289194349964"/>
                  <c:y val="0.01435154369587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23.07</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259593679458"/>
                      <c:h val="0.0553505535055351"/>
                    </c:manualLayout>
                  </c15:layout>
                </c:ext>
              </c:extLst>
            </c:dLbl>
            <c:dLbl>
              <c:idx val="3"/>
              <c:layout>
                <c:manualLayout>
                  <c:x val="0.0331659155311274"/>
                  <c:y val="0.02562885631902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37.25</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440.57</c:v>
                </c:pt>
                <c:pt idx="1" c:formatCode="#,##0.00">
                  <c:v>258.26</c:v>
                </c:pt>
                <c:pt idx="2" c:formatCode="#,##0.00">
                  <c:v>23.07</c:v>
                </c:pt>
                <c:pt idx="3" c:formatCode="#,##0.00">
                  <c:v>37.25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5bf6fb-0524-4fcf-8460-6d791f53ffa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0.04万元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b8d067b-8048-4a94-840e-cba432e4db9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4629</Words>
  <Characters>5220</Characters>
  <Lines>61</Lines>
  <Paragraphs>17</Paragraphs>
  <TotalTime>2</TotalTime>
  <ScaleCrop>false</ScaleCrop>
  <LinksUpToDate>false</LinksUpToDate>
  <CharactersWithSpaces>5341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2022-08-06T02:23:00Z</cp:lastPrinted>
  <dcterms:modified xsi:type="dcterms:W3CDTF">2024-10-25T08:02:34Z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E473EC59443742F8AC38D2906DD29192_13</vt:lpwstr>
  </property>
</Properties>
</file>