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55" w:rsidRDefault="00BB2F55">
      <w:pPr>
        <w:spacing w:line="600" w:lineRule="exact"/>
        <w:jc w:val="center"/>
        <w:outlineLvl w:val="0"/>
        <w:rPr>
          <w:rFonts w:ascii="方正小标宋简体" w:eastAsia="方正小标宋简体" w:hAnsi="宋体"/>
          <w:sz w:val="72"/>
          <w:szCs w:val="72"/>
        </w:rPr>
      </w:pPr>
      <w:bookmarkStart w:id="0" w:name="_Toc15306267"/>
    </w:p>
    <w:p w:rsidR="00BB2F55" w:rsidRDefault="00BB2F55">
      <w:pPr>
        <w:spacing w:line="600" w:lineRule="exact"/>
        <w:jc w:val="center"/>
        <w:outlineLvl w:val="0"/>
        <w:rPr>
          <w:rFonts w:ascii="方正小标宋简体" w:eastAsia="方正小标宋简体" w:hAnsi="宋体"/>
          <w:sz w:val="72"/>
          <w:szCs w:val="72"/>
        </w:rPr>
      </w:pPr>
    </w:p>
    <w:p w:rsidR="00BB2F55" w:rsidRDefault="00BB2F55">
      <w:pPr>
        <w:spacing w:line="600" w:lineRule="exact"/>
        <w:jc w:val="center"/>
        <w:outlineLvl w:val="0"/>
        <w:rPr>
          <w:rFonts w:ascii="方正小标宋简体" w:eastAsia="方正小标宋简体" w:hAnsi="宋体"/>
          <w:sz w:val="72"/>
          <w:szCs w:val="72"/>
        </w:rPr>
      </w:pPr>
    </w:p>
    <w:p w:rsidR="00BB2F55" w:rsidRDefault="00BB2F55">
      <w:pPr>
        <w:spacing w:line="600" w:lineRule="exact"/>
        <w:jc w:val="center"/>
        <w:outlineLvl w:val="0"/>
        <w:rPr>
          <w:rFonts w:ascii="方正小标宋简体" w:eastAsia="方正小标宋简体" w:hAnsi="宋体"/>
          <w:sz w:val="72"/>
          <w:szCs w:val="72"/>
        </w:rPr>
      </w:pPr>
    </w:p>
    <w:p w:rsidR="00BB2F55" w:rsidRDefault="002E0451">
      <w:pPr>
        <w:adjustRightInd w:val="0"/>
        <w:snapToGrid w:val="0"/>
        <w:spacing w:line="360" w:lineRule="auto"/>
        <w:jc w:val="center"/>
        <w:outlineLvl w:val="0"/>
        <w:rPr>
          <w:rFonts w:ascii="方正小标宋简体" w:eastAsia="方正小标宋简体" w:hAnsi="宋体"/>
          <w:sz w:val="72"/>
          <w:szCs w:val="72"/>
        </w:rPr>
      </w:pPr>
      <w:bookmarkStart w:id="1" w:name="_Toc15378441"/>
      <w:bookmarkStart w:id="2" w:name="_Toc15377193"/>
      <w:bookmarkStart w:id="3" w:name="_Toc15377425"/>
      <w:bookmarkStart w:id="4" w:name="_Toc15396475"/>
      <w:bookmarkStart w:id="5" w:name="_Toc15396597"/>
      <w:bookmarkEnd w:id="0"/>
      <w:r>
        <w:rPr>
          <w:rFonts w:ascii="黑体" w:eastAsia="黑体" w:hAnsi="黑体"/>
          <w:sz w:val="72"/>
          <w:szCs w:val="72"/>
        </w:rPr>
        <w:t>20</w:t>
      </w:r>
      <w:r>
        <w:rPr>
          <w:rFonts w:ascii="黑体" w:eastAsia="黑体" w:hAnsi="黑体" w:hint="eastAsia"/>
          <w:sz w:val="72"/>
          <w:szCs w:val="72"/>
        </w:rPr>
        <w:t>23</w:t>
      </w:r>
      <w:r>
        <w:rPr>
          <w:rFonts w:ascii="方正小标宋简体" w:eastAsia="方正小标宋简体" w:hAnsi="宋体" w:hint="eastAsia"/>
          <w:sz w:val="72"/>
          <w:szCs w:val="72"/>
        </w:rPr>
        <w:t>年度</w:t>
      </w:r>
      <w:bookmarkEnd w:id="1"/>
      <w:bookmarkEnd w:id="2"/>
      <w:bookmarkEnd w:id="3"/>
      <w:bookmarkEnd w:id="4"/>
      <w:bookmarkEnd w:id="5"/>
    </w:p>
    <w:p w:rsidR="00BB2F55" w:rsidRDefault="002E0451">
      <w:pPr>
        <w:adjustRightInd w:val="0"/>
        <w:snapToGrid w:val="0"/>
        <w:spacing w:line="360" w:lineRule="auto"/>
        <w:jc w:val="center"/>
        <w:outlineLvl w:val="0"/>
        <w:rPr>
          <w:rFonts w:ascii="方正小标宋简体" w:eastAsia="方正小标宋简体" w:hAnsi="宋体"/>
          <w:sz w:val="48"/>
          <w:szCs w:val="48"/>
        </w:rPr>
      </w:pPr>
      <w:bookmarkStart w:id="6" w:name="_Toc15377426"/>
      <w:bookmarkStart w:id="7" w:name="_Toc15396476"/>
      <w:bookmarkStart w:id="8" w:name="_Toc15378442"/>
      <w:bookmarkStart w:id="9" w:name="_Toc15377194"/>
      <w:bookmarkStart w:id="10" w:name="_Toc15396598"/>
      <w:r>
        <w:rPr>
          <w:rFonts w:ascii="方正小标宋简体" w:eastAsia="方正小标宋简体" w:hAnsi="宋体" w:hint="eastAsia"/>
          <w:sz w:val="72"/>
          <w:szCs w:val="72"/>
        </w:rPr>
        <w:t>大竹县</w:t>
      </w:r>
      <w:bookmarkStart w:id="11" w:name="_Toc15306268"/>
      <w:r>
        <w:rPr>
          <w:rFonts w:ascii="方正小标宋简体" w:eastAsia="方正小标宋简体" w:hAnsi="宋体" w:hint="eastAsia"/>
          <w:sz w:val="72"/>
          <w:szCs w:val="72"/>
        </w:rPr>
        <w:t>投资促进服务中心部门决算</w:t>
      </w:r>
      <w:bookmarkEnd w:id="6"/>
      <w:bookmarkEnd w:id="7"/>
      <w:bookmarkEnd w:id="8"/>
      <w:bookmarkEnd w:id="9"/>
      <w:bookmarkEnd w:id="10"/>
      <w:bookmarkEnd w:id="11"/>
      <w:r>
        <w:rPr>
          <w:rFonts w:ascii="方正小标宋简体" w:eastAsia="方正小标宋简体" w:hAnsi="宋体" w:hint="eastAsia"/>
          <w:sz w:val="72"/>
          <w:szCs w:val="72"/>
        </w:rPr>
        <w:t>公开</w:t>
      </w:r>
    </w:p>
    <w:p w:rsidR="00BB2F55" w:rsidRDefault="002E0451">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BB2F55" w:rsidRDefault="00CB7DCA">
      <w:pPr>
        <w:widowControl/>
        <w:jc w:val="center"/>
        <w:rPr>
          <w:rFonts w:ascii="黑体" w:eastAsia="黑体" w:hAnsi="黑体" w:cstheme="minorBidi"/>
          <w:sz w:val="32"/>
          <w:szCs w:val="32"/>
        </w:rPr>
      </w:pPr>
      <w:r w:rsidRPr="00CB7DCA">
        <w:rPr>
          <w:rFonts w:ascii="黑体" w:eastAsia="黑体" w:hAnsi="黑体"/>
          <w:sz w:val="32"/>
          <w:szCs w:val="32"/>
        </w:rPr>
        <w:fldChar w:fldCharType="begin"/>
      </w:r>
      <w:r w:rsidR="002E0451">
        <w:rPr>
          <w:rFonts w:ascii="黑体" w:eastAsia="黑体" w:hAnsi="黑体"/>
          <w:sz w:val="32"/>
          <w:szCs w:val="32"/>
        </w:rPr>
        <w:instrText xml:space="preserve"> TOC \o "1-2" \h \z \u </w:instrText>
      </w:r>
      <w:r w:rsidRPr="00CB7DCA">
        <w:rPr>
          <w:rFonts w:ascii="黑体" w:eastAsia="黑体" w:hAnsi="黑体"/>
          <w:sz w:val="32"/>
          <w:szCs w:val="32"/>
        </w:rPr>
        <w:fldChar w:fldCharType="separate"/>
      </w:r>
    </w:p>
    <w:p w:rsidR="00BB2F55" w:rsidRDefault="002E0451">
      <w:pPr>
        <w:pStyle w:val="10"/>
        <w:rPr>
          <w:sz w:val="32"/>
          <w:szCs w:val="32"/>
        </w:rPr>
      </w:pPr>
      <w:r>
        <w:rPr>
          <w:rFonts w:hint="eastAsia"/>
          <w:sz w:val="32"/>
          <w:szCs w:val="32"/>
        </w:rPr>
        <w:t>公开时间：2024年10月18日</w:t>
      </w:r>
    </w:p>
    <w:p w:rsidR="00BB2F55" w:rsidRDefault="00BB2F55">
      <w:pPr>
        <w:rPr>
          <w:sz w:val="32"/>
          <w:szCs w:val="32"/>
        </w:rPr>
      </w:pPr>
    </w:p>
    <w:p w:rsidR="00BB2F55" w:rsidRDefault="00CB7DCA">
      <w:pPr>
        <w:pStyle w:val="10"/>
        <w:rPr>
          <w:rFonts w:cstheme="minorBidi"/>
          <w:sz w:val="32"/>
          <w:szCs w:val="32"/>
        </w:rPr>
      </w:pPr>
      <w:hyperlink w:anchor="_Toc15396599" w:history="1">
        <w:r w:rsidR="002E0451">
          <w:rPr>
            <w:rStyle w:val="a9"/>
            <w:rFonts w:hint="eastAsia"/>
            <w:color w:val="auto"/>
            <w:sz w:val="32"/>
            <w:szCs w:val="32"/>
          </w:rPr>
          <w:t>第一部分部门概况</w:t>
        </w:r>
        <w:r w:rsidR="002E0451">
          <w:rPr>
            <w:sz w:val="32"/>
            <w:szCs w:val="32"/>
          </w:rPr>
          <w:tab/>
        </w:r>
        <w:r w:rsidR="002E0451">
          <w:rPr>
            <w:rFonts w:hint="eastAsia"/>
            <w:sz w:val="32"/>
            <w:szCs w:val="32"/>
          </w:rPr>
          <w:t>4</w:t>
        </w:r>
      </w:hyperlink>
    </w:p>
    <w:p w:rsidR="00BB2F55" w:rsidRDefault="00CB7DCA">
      <w:pPr>
        <w:pStyle w:val="20"/>
        <w:rPr>
          <w:rFonts w:ascii="仿宋" w:eastAsia="仿宋" w:hAnsi="仿宋" w:cstheme="minorBidi"/>
          <w:sz w:val="32"/>
          <w:szCs w:val="32"/>
        </w:rPr>
      </w:pPr>
      <w:hyperlink w:anchor="_Toc15396600" w:history="1">
        <w:r w:rsidR="002E0451">
          <w:rPr>
            <w:rStyle w:val="a9"/>
            <w:rFonts w:ascii="仿宋" w:eastAsia="仿宋" w:hAnsi="仿宋" w:hint="eastAsia"/>
            <w:color w:val="auto"/>
            <w:sz w:val="32"/>
            <w:szCs w:val="32"/>
          </w:rPr>
          <w:t>一、基本职能及主要工作</w:t>
        </w:r>
        <w:r w:rsidR="002E0451">
          <w:rPr>
            <w:rFonts w:ascii="仿宋" w:eastAsia="仿宋" w:hAnsi="仿宋"/>
            <w:sz w:val="32"/>
            <w:szCs w:val="32"/>
          </w:rPr>
          <w:tab/>
        </w:r>
        <w:r w:rsidR="002E0451">
          <w:rPr>
            <w:rFonts w:ascii="仿宋" w:eastAsia="仿宋" w:hAnsi="仿宋" w:hint="eastAsia"/>
            <w:sz w:val="32"/>
            <w:szCs w:val="32"/>
          </w:rPr>
          <w:t>4</w:t>
        </w:r>
      </w:hyperlink>
    </w:p>
    <w:p w:rsidR="00BB2F55" w:rsidRDefault="00CB7DCA">
      <w:pPr>
        <w:pStyle w:val="20"/>
        <w:rPr>
          <w:rFonts w:ascii="仿宋" w:eastAsia="仿宋" w:hAnsi="仿宋" w:cstheme="minorBidi"/>
          <w:sz w:val="32"/>
          <w:szCs w:val="32"/>
        </w:rPr>
      </w:pPr>
      <w:hyperlink w:anchor="_Toc15396601" w:history="1">
        <w:r w:rsidR="002E0451">
          <w:rPr>
            <w:rStyle w:val="a9"/>
            <w:rFonts w:ascii="仿宋" w:eastAsia="仿宋" w:hAnsi="仿宋" w:hint="eastAsia"/>
            <w:color w:val="auto"/>
            <w:sz w:val="32"/>
            <w:szCs w:val="32"/>
          </w:rPr>
          <w:t>二、机构设置</w:t>
        </w:r>
        <w:r w:rsidR="002E0451">
          <w:rPr>
            <w:rFonts w:ascii="仿宋" w:eastAsia="仿宋" w:hAnsi="仿宋"/>
            <w:sz w:val="32"/>
            <w:szCs w:val="32"/>
          </w:rPr>
          <w:tab/>
        </w:r>
        <w:r>
          <w:rPr>
            <w:rFonts w:ascii="仿宋" w:eastAsia="仿宋" w:hAnsi="仿宋"/>
            <w:sz w:val="32"/>
            <w:szCs w:val="32"/>
          </w:rPr>
          <w:fldChar w:fldCharType="begin"/>
        </w:r>
        <w:r w:rsidR="002E0451">
          <w:rPr>
            <w:rFonts w:ascii="仿宋" w:eastAsia="仿宋" w:hAnsi="仿宋"/>
            <w:sz w:val="32"/>
            <w:szCs w:val="32"/>
          </w:rPr>
          <w:instrText xml:space="preserve"> PAGEREF _Toc15396601 \h </w:instrText>
        </w:r>
        <w:r>
          <w:rPr>
            <w:rFonts w:ascii="仿宋" w:eastAsia="仿宋" w:hAnsi="仿宋"/>
            <w:sz w:val="32"/>
            <w:szCs w:val="32"/>
          </w:rPr>
        </w:r>
        <w:r>
          <w:rPr>
            <w:rFonts w:ascii="仿宋" w:eastAsia="仿宋" w:hAnsi="仿宋"/>
            <w:sz w:val="32"/>
            <w:szCs w:val="32"/>
          </w:rPr>
          <w:fldChar w:fldCharType="separate"/>
        </w:r>
        <w:r w:rsidR="002E0451">
          <w:rPr>
            <w:rFonts w:ascii="仿宋" w:eastAsia="仿宋" w:hAnsi="仿宋"/>
            <w:sz w:val="32"/>
            <w:szCs w:val="32"/>
          </w:rPr>
          <w:t>8</w:t>
        </w:r>
        <w:r>
          <w:rPr>
            <w:rFonts w:ascii="仿宋" w:eastAsia="仿宋" w:hAnsi="仿宋"/>
            <w:sz w:val="32"/>
            <w:szCs w:val="32"/>
          </w:rPr>
          <w:fldChar w:fldCharType="end"/>
        </w:r>
      </w:hyperlink>
    </w:p>
    <w:p w:rsidR="00BB2F55" w:rsidRDefault="00CB7DCA">
      <w:pPr>
        <w:pStyle w:val="10"/>
        <w:rPr>
          <w:sz w:val="32"/>
          <w:szCs w:val="32"/>
        </w:rPr>
      </w:pPr>
      <w:hyperlink w:anchor="_Toc15396602" w:history="1">
        <w:r w:rsidR="002E0451">
          <w:rPr>
            <w:rStyle w:val="a9"/>
            <w:rFonts w:hint="eastAsia"/>
            <w:color w:val="auto"/>
            <w:sz w:val="32"/>
            <w:szCs w:val="32"/>
          </w:rPr>
          <w:t>第二部分</w:t>
        </w:r>
        <w:r w:rsidR="002E0451">
          <w:rPr>
            <w:rStyle w:val="a9"/>
            <w:color w:val="auto"/>
            <w:sz w:val="32"/>
            <w:szCs w:val="32"/>
          </w:rPr>
          <w:t xml:space="preserve"> 20</w:t>
        </w:r>
        <w:r w:rsidR="002E0451">
          <w:rPr>
            <w:rStyle w:val="a9"/>
            <w:rFonts w:hint="eastAsia"/>
            <w:color w:val="auto"/>
            <w:sz w:val="32"/>
            <w:szCs w:val="32"/>
          </w:rPr>
          <w:t>2</w:t>
        </w:r>
        <w:r w:rsidR="00D5097F">
          <w:rPr>
            <w:rStyle w:val="a9"/>
            <w:rFonts w:hint="eastAsia"/>
            <w:color w:val="auto"/>
            <w:sz w:val="32"/>
            <w:szCs w:val="32"/>
          </w:rPr>
          <w:t>3</w:t>
        </w:r>
        <w:r w:rsidR="002E0451">
          <w:rPr>
            <w:rStyle w:val="a9"/>
            <w:rFonts w:hint="eastAsia"/>
            <w:color w:val="auto"/>
            <w:sz w:val="32"/>
            <w:szCs w:val="32"/>
          </w:rPr>
          <w:t>年度部门决算情况说明</w:t>
        </w:r>
        <w:r w:rsidR="002E0451">
          <w:rPr>
            <w:sz w:val="32"/>
            <w:szCs w:val="32"/>
          </w:rPr>
          <w:tab/>
        </w:r>
        <w:r w:rsidR="002E0451">
          <w:rPr>
            <w:rFonts w:hint="eastAsia"/>
            <w:sz w:val="32"/>
            <w:szCs w:val="32"/>
          </w:rPr>
          <w:t>9</w:t>
        </w:r>
      </w:hyperlink>
    </w:p>
    <w:p w:rsidR="00BB2F55" w:rsidRDefault="00CB7DCA">
      <w:pPr>
        <w:pStyle w:val="20"/>
        <w:rPr>
          <w:rFonts w:ascii="仿宋" w:eastAsia="仿宋" w:hAnsi="仿宋" w:cstheme="minorBidi"/>
          <w:sz w:val="32"/>
          <w:szCs w:val="32"/>
        </w:rPr>
      </w:pPr>
      <w:hyperlink w:anchor="_Toc15396603" w:history="1">
        <w:r w:rsidR="002E0451">
          <w:rPr>
            <w:rStyle w:val="a9"/>
            <w:rFonts w:ascii="仿宋" w:eastAsia="仿宋" w:hAnsi="仿宋" w:cstheme="majorBidi" w:hint="eastAsia"/>
            <w:bCs/>
            <w:color w:val="auto"/>
            <w:sz w:val="32"/>
            <w:szCs w:val="32"/>
          </w:rPr>
          <w:t>一、</w:t>
        </w:r>
        <w:r w:rsidR="002E0451">
          <w:rPr>
            <w:rStyle w:val="a9"/>
            <w:rFonts w:ascii="仿宋" w:eastAsia="仿宋" w:hAnsi="仿宋" w:hint="eastAsia"/>
            <w:color w:val="auto"/>
            <w:sz w:val="32"/>
            <w:szCs w:val="32"/>
          </w:rPr>
          <w:t>收</w:t>
        </w:r>
        <w:r w:rsidR="002E0451">
          <w:rPr>
            <w:rStyle w:val="a9"/>
            <w:rFonts w:ascii="仿宋" w:eastAsia="仿宋" w:hAnsi="仿宋" w:cstheme="majorBidi" w:hint="eastAsia"/>
            <w:bCs/>
            <w:color w:val="auto"/>
            <w:sz w:val="32"/>
            <w:szCs w:val="32"/>
          </w:rPr>
          <w:t>入支出决算总体情况说明</w:t>
        </w:r>
        <w:r w:rsidR="002E0451">
          <w:rPr>
            <w:rFonts w:ascii="仿宋" w:eastAsia="仿宋" w:hAnsi="仿宋"/>
            <w:sz w:val="32"/>
            <w:szCs w:val="32"/>
          </w:rPr>
          <w:tab/>
        </w:r>
        <w:r w:rsidR="002E0451">
          <w:rPr>
            <w:rFonts w:ascii="仿宋" w:eastAsia="仿宋" w:hAnsi="仿宋" w:hint="eastAsia"/>
            <w:sz w:val="32"/>
            <w:szCs w:val="32"/>
          </w:rPr>
          <w:t>9</w:t>
        </w:r>
      </w:hyperlink>
    </w:p>
    <w:p w:rsidR="00BB2F55" w:rsidRDefault="00CB7DCA">
      <w:pPr>
        <w:pStyle w:val="20"/>
        <w:rPr>
          <w:rFonts w:ascii="仿宋" w:eastAsia="仿宋" w:hAnsi="仿宋" w:cstheme="minorBidi"/>
          <w:sz w:val="32"/>
          <w:szCs w:val="32"/>
        </w:rPr>
      </w:pPr>
      <w:hyperlink w:anchor="_Toc15396604" w:history="1">
        <w:r w:rsidR="002E0451">
          <w:rPr>
            <w:rStyle w:val="a9"/>
            <w:rFonts w:ascii="仿宋" w:eastAsia="仿宋" w:hAnsi="仿宋" w:cstheme="majorBidi" w:hint="eastAsia"/>
            <w:bCs/>
            <w:color w:val="auto"/>
            <w:sz w:val="32"/>
            <w:szCs w:val="32"/>
          </w:rPr>
          <w:t>二、</w:t>
        </w:r>
        <w:r w:rsidR="002E0451">
          <w:rPr>
            <w:rStyle w:val="a9"/>
            <w:rFonts w:ascii="仿宋" w:eastAsia="仿宋" w:hAnsi="仿宋" w:hint="eastAsia"/>
            <w:color w:val="auto"/>
            <w:sz w:val="32"/>
            <w:szCs w:val="32"/>
          </w:rPr>
          <w:t>收</w:t>
        </w:r>
        <w:r w:rsidR="002E0451">
          <w:rPr>
            <w:rStyle w:val="a9"/>
            <w:rFonts w:ascii="仿宋" w:eastAsia="仿宋" w:hAnsi="仿宋" w:cstheme="majorBidi" w:hint="eastAsia"/>
            <w:bCs/>
            <w:color w:val="auto"/>
            <w:sz w:val="32"/>
            <w:szCs w:val="32"/>
          </w:rPr>
          <w:t>入决算情况说明</w:t>
        </w:r>
        <w:r w:rsidR="002E0451">
          <w:rPr>
            <w:rFonts w:ascii="仿宋" w:eastAsia="仿宋" w:hAnsi="仿宋"/>
            <w:sz w:val="32"/>
            <w:szCs w:val="32"/>
          </w:rPr>
          <w:tab/>
        </w:r>
        <w:r w:rsidR="002E0451">
          <w:rPr>
            <w:rFonts w:ascii="仿宋" w:eastAsia="仿宋" w:hAnsi="仿宋" w:hint="eastAsia"/>
            <w:sz w:val="32"/>
            <w:szCs w:val="32"/>
          </w:rPr>
          <w:t>10</w:t>
        </w:r>
      </w:hyperlink>
    </w:p>
    <w:p w:rsidR="00BB2F55" w:rsidRDefault="00CB7DCA">
      <w:pPr>
        <w:pStyle w:val="20"/>
        <w:rPr>
          <w:rFonts w:ascii="仿宋" w:eastAsia="仿宋" w:hAnsi="仿宋" w:cstheme="minorBidi"/>
          <w:sz w:val="32"/>
          <w:szCs w:val="32"/>
        </w:rPr>
      </w:pPr>
      <w:hyperlink w:anchor="_Toc15396605" w:history="1">
        <w:r w:rsidR="002E0451">
          <w:rPr>
            <w:rStyle w:val="a9"/>
            <w:rFonts w:ascii="仿宋" w:eastAsia="仿宋" w:hAnsi="仿宋" w:cstheme="majorBidi" w:hint="eastAsia"/>
            <w:bCs/>
            <w:color w:val="auto"/>
            <w:sz w:val="32"/>
            <w:szCs w:val="32"/>
          </w:rPr>
          <w:t>三、</w:t>
        </w:r>
        <w:r w:rsidR="002E0451">
          <w:rPr>
            <w:rStyle w:val="a9"/>
            <w:rFonts w:ascii="仿宋" w:eastAsia="仿宋" w:hAnsi="仿宋" w:hint="eastAsia"/>
            <w:color w:val="auto"/>
            <w:sz w:val="32"/>
            <w:szCs w:val="32"/>
          </w:rPr>
          <w:t>支</w:t>
        </w:r>
        <w:r w:rsidR="002E0451">
          <w:rPr>
            <w:rStyle w:val="a9"/>
            <w:rFonts w:ascii="仿宋" w:eastAsia="仿宋" w:hAnsi="仿宋" w:cstheme="majorBidi" w:hint="eastAsia"/>
            <w:bCs/>
            <w:color w:val="auto"/>
            <w:sz w:val="32"/>
            <w:szCs w:val="32"/>
          </w:rPr>
          <w:t>出决算情况说明</w:t>
        </w:r>
        <w:r w:rsidR="002E0451">
          <w:rPr>
            <w:rFonts w:ascii="仿宋" w:eastAsia="仿宋" w:hAnsi="仿宋"/>
            <w:sz w:val="32"/>
            <w:szCs w:val="32"/>
          </w:rPr>
          <w:tab/>
        </w:r>
        <w:r w:rsidR="002E0451">
          <w:rPr>
            <w:rFonts w:ascii="仿宋" w:eastAsia="仿宋" w:hAnsi="仿宋" w:hint="eastAsia"/>
            <w:sz w:val="32"/>
            <w:szCs w:val="32"/>
          </w:rPr>
          <w:t>11</w:t>
        </w:r>
      </w:hyperlink>
    </w:p>
    <w:p w:rsidR="00BB2F55" w:rsidRDefault="00CB7DCA">
      <w:pPr>
        <w:pStyle w:val="20"/>
        <w:rPr>
          <w:rFonts w:ascii="仿宋" w:eastAsia="仿宋" w:hAnsi="仿宋" w:cstheme="minorBidi"/>
          <w:sz w:val="32"/>
          <w:szCs w:val="32"/>
        </w:rPr>
      </w:pPr>
      <w:hyperlink w:anchor="_Toc15396606" w:history="1">
        <w:r w:rsidR="002E0451">
          <w:rPr>
            <w:rStyle w:val="a9"/>
            <w:rFonts w:ascii="仿宋" w:eastAsia="仿宋" w:hAnsi="仿宋" w:hint="eastAsia"/>
            <w:color w:val="auto"/>
            <w:sz w:val="32"/>
            <w:szCs w:val="32"/>
          </w:rPr>
          <w:t>四、财</w:t>
        </w:r>
        <w:r w:rsidR="002E0451">
          <w:rPr>
            <w:rStyle w:val="a9"/>
            <w:rFonts w:ascii="仿宋" w:eastAsia="仿宋" w:hAnsi="仿宋" w:cstheme="majorBidi" w:hint="eastAsia"/>
            <w:bCs/>
            <w:color w:val="auto"/>
            <w:sz w:val="32"/>
            <w:szCs w:val="32"/>
          </w:rPr>
          <w:t>政拨款收入支出决算总体情况说明</w:t>
        </w:r>
        <w:r w:rsidR="002E0451">
          <w:rPr>
            <w:rFonts w:ascii="仿宋" w:eastAsia="仿宋" w:hAnsi="仿宋"/>
            <w:sz w:val="32"/>
            <w:szCs w:val="32"/>
          </w:rPr>
          <w:tab/>
        </w:r>
        <w:r w:rsidR="002E0451">
          <w:rPr>
            <w:rFonts w:ascii="仿宋" w:eastAsia="仿宋" w:hAnsi="仿宋" w:hint="eastAsia"/>
            <w:sz w:val="32"/>
            <w:szCs w:val="32"/>
          </w:rPr>
          <w:t>11</w:t>
        </w:r>
      </w:hyperlink>
    </w:p>
    <w:p w:rsidR="00BB2F55" w:rsidRDefault="00CB7DCA">
      <w:pPr>
        <w:pStyle w:val="20"/>
        <w:rPr>
          <w:rFonts w:ascii="仿宋" w:eastAsia="仿宋" w:hAnsi="仿宋" w:cstheme="minorBidi"/>
          <w:sz w:val="32"/>
          <w:szCs w:val="32"/>
        </w:rPr>
      </w:pPr>
      <w:hyperlink w:anchor="_Toc15396607" w:history="1">
        <w:r w:rsidR="002E0451">
          <w:rPr>
            <w:rStyle w:val="a9"/>
            <w:rFonts w:ascii="仿宋" w:eastAsia="仿宋" w:hAnsi="仿宋" w:hint="eastAsia"/>
            <w:color w:val="auto"/>
            <w:sz w:val="32"/>
            <w:szCs w:val="32"/>
          </w:rPr>
          <w:t>五、一</w:t>
        </w:r>
        <w:r w:rsidR="002E0451">
          <w:rPr>
            <w:rStyle w:val="a9"/>
            <w:rFonts w:ascii="仿宋" w:eastAsia="仿宋" w:hAnsi="仿宋" w:cstheme="majorBidi" w:hint="eastAsia"/>
            <w:bCs/>
            <w:color w:val="auto"/>
            <w:sz w:val="32"/>
            <w:szCs w:val="32"/>
          </w:rPr>
          <w:t>般公共预算财政拨款支出决算情况说明</w:t>
        </w:r>
        <w:r w:rsidR="002E0451">
          <w:rPr>
            <w:rFonts w:ascii="仿宋" w:eastAsia="仿宋" w:hAnsi="仿宋"/>
            <w:sz w:val="32"/>
            <w:szCs w:val="32"/>
          </w:rPr>
          <w:tab/>
        </w:r>
        <w:r>
          <w:rPr>
            <w:rFonts w:ascii="仿宋" w:eastAsia="仿宋" w:hAnsi="仿宋"/>
            <w:sz w:val="32"/>
            <w:szCs w:val="32"/>
          </w:rPr>
          <w:fldChar w:fldCharType="begin"/>
        </w:r>
        <w:r w:rsidR="002E0451">
          <w:rPr>
            <w:rFonts w:ascii="仿宋" w:eastAsia="仿宋" w:hAnsi="仿宋"/>
            <w:sz w:val="32"/>
            <w:szCs w:val="32"/>
          </w:rPr>
          <w:instrText xml:space="preserve"> PAGEREF _Toc15396607 \h </w:instrText>
        </w:r>
        <w:r>
          <w:rPr>
            <w:rFonts w:ascii="仿宋" w:eastAsia="仿宋" w:hAnsi="仿宋"/>
            <w:sz w:val="32"/>
            <w:szCs w:val="32"/>
          </w:rPr>
        </w:r>
        <w:r>
          <w:rPr>
            <w:rFonts w:ascii="仿宋" w:eastAsia="仿宋" w:hAnsi="仿宋"/>
            <w:sz w:val="32"/>
            <w:szCs w:val="32"/>
          </w:rPr>
          <w:fldChar w:fldCharType="separate"/>
        </w:r>
        <w:r w:rsidR="002E0451">
          <w:rPr>
            <w:rFonts w:ascii="仿宋" w:eastAsia="仿宋" w:hAnsi="仿宋"/>
            <w:sz w:val="32"/>
            <w:szCs w:val="32"/>
          </w:rPr>
          <w:t>1</w:t>
        </w:r>
        <w:r w:rsidR="002E0451">
          <w:rPr>
            <w:rFonts w:ascii="仿宋" w:eastAsia="仿宋" w:hAnsi="仿宋" w:hint="eastAsia"/>
            <w:sz w:val="32"/>
            <w:szCs w:val="32"/>
          </w:rPr>
          <w:t>2</w:t>
        </w:r>
        <w:r>
          <w:rPr>
            <w:rFonts w:ascii="仿宋" w:eastAsia="仿宋" w:hAnsi="仿宋"/>
            <w:sz w:val="32"/>
            <w:szCs w:val="32"/>
          </w:rPr>
          <w:fldChar w:fldCharType="end"/>
        </w:r>
      </w:hyperlink>
    </w:p>
    <w:p w:rsidR="00BB2F55" w:rsidRDefault="00CB7DCA">
      <w:pPr>
        <w:pStyle w:val="20"/>
        <w:rPr>
          <w:rFonts w:ascii="仿宋" w:eastAsia="仿宋" w:hAnsi="仿宋" w:cstheme="minorBidi"/>
          <w:sz w:val="32"/>
          <w:szCs w:val="32"/>
        </w:rPr>
      </w:pPr>
      <w:hyperlink w:anchor="_Toc15396608" w:history="1">
        <w:r w:rsidR="002E0451">
          <w:rPr>
            <w:rStyle w:val="a9"/>
            <w:rFonts w:ascii="仿宋" w:eastAsia="仿宋" w:hAnsi="仿宋" w:hint="eastAsia"/>
            <w:color w:val="auto"/>
            <w:sz w:val="32"/>
            <w:szCs w:val="32"/>
          </w:rPr>
          <w:t>六、一</w:t>
        </w:r>
        <w:r w:rsidR="002E0451">
          <w:rPr>
            <w:rStyle w:val="a9"/>
            <w:rFonts w:ascii="仿宋" w:eastAsia="仿宋" w:hAnsi="仿宋" w:cstheme="majorBidi" w:hint="eastAsia"/>
            <w:bCs/>
            <w:color w:val="auto"/>
            <w:sz w:val="32"/>
            <w:szCs w:val="32"/>
          </w:rPr>
          <w:t>般公共预算财政拨款基本支出决算情况说明</w:t>
        </w:r>
        <w:r w:rsidR="002E0451">
          <w:rPr>
            <w:rFonts w:ascii="仿宋" w:eastAsia="仿宋" w:hAnsi="仿宋"/>
            <w:sz w:val="32"/>
            <w:szCs w:val="32"/>
          </w:rPr>
          <w:tab/>
        </w:r>
        <w:r>
          <w:rPr>
            <w:rFonts w:ascii="仿宋" w:eastAsia="仿宋" w:hAnsi="仿宋"/>
            <w:sz w:val="32"/>
            <w:szCs w:val="32"/>
          </w:rPr>
          <w:fldChar w:fldCharType="begin"/>
        </w:r>
        <w:r w:rsidR="002E0451">
          <w:rPr>
            <w:rFonts w:ascii="仿宋" w:eastAsia="仿宋" w:hAnsi="仿宋"/>
            <w:sz w:val="32"/>
            <w:szCs w:val="32"/>
          </w:rPr>
          <w:instrText xml:space="preserve"> PAGEREF _Toc15396608 \h </w:instrText>
        </w:r>
        <w:r>
          <w:rPr>
            <w:rFonts w:ascii="仿宋" w:eastAsia="仿宋" w:hAnsi="仿宋"/>
            <w:sz w:val="32"/>
            <w:szCs w:val="32"/>
          </w:rPr>
        </w:r>
        <w:r>
          <w:rPr>
            <w:rFonts w:ascii="仿宋" w:eastAsia="仿宋" w:hAnsi="仿宋"/>
            <w:sz w:val="32"/>
            <w:szCs w:val="32"/>
          </w:rPr>
          <w:fldChar w:fldCharType="separate"/>
        </w:r>
        <w:r w:rsidR="002E0451">
          <w:rPr>
            <w:rFonts w:ascii="仿宋" w:eastAsia="仿宋" w:hAnsi="仿宋"/>
            <w:sz w:val="32"/>
            <w:szCs w:val="32"/>
          </w:rPr>
          <w:t>1</w:t>
        </w:r>
        <w:r w:rsidR="002E0451">
          <w:rPr>
            <w:rFonts w:ascii="仿宋" w:eastAsia="仿宋" w:hAnsi="仿宋" w:hint="eastAsia"/>
            <w:sz w:val="32"/>
            <w:szCs w:val="32"/>
          </w:rPr>
          <w:t>5</w:t>
        </w:r>
        <w:r>
          <w:rPr>
            <w:rFonts w:ascii="仿宋" w:eastAsia="仿宋" w:hAnsi="仿宋"/>
            <w:sz w:val="32"/>
            <w:szCs w:val="32"/>
          </w:rPr>
          <w:fldChar w:fldCharType="end"/>
        </w:r>
      </w:hyperlink>
    </w:p>
    <w:p w:rsidR="00BB2F55" w:rsidRDefault="00CB7DCA">
      <w:pPr>
        <w:pStyle w:val="20"/>
        <w:rPr>
          <w:rFonts w:ascii="仿宋" w:eastAsia="仿宋" w:hAnsi="仿宋" w:cstheme="minorBidi"/>
          <w:sz w:val="32"/>
          <w:szCs w:val="32"/>
        </w:rPr>
      </w:pPr>
      <w:hyperlink w:anchor="_Toc15396609" w:history="1">
        <w:r w:rsidR="002E0451">
          <w:rPr>
            <w:rStyle w:val="a9"/>
            <w:rFonts w:ascii="仿宋" w:eastAsia="仿宋" w:hAnsi="仿宋" w:hint="eastAsia"/>
            <w:color w:val="auto"/>
            <w:sz w:val="32"/>
            <w:szCs w:val="32"/>
          </w:rPr>
          <w:t>七、</w:t>
        </w:r>
        <w:r w:rsidR="002E0451">
          <w:rPr>
            <w:rStyle w:val="a9"/>
            <w:rFonts w:ascii="仿宋" w:eastAsia="仿宋" w:hAnsi="仿宋"/>
            <w:color w:val="auto"/>
            <w:sz w:val="32"/>
            <w:szCs w:val="32"/>
          </w:rPr>
          <w:t>“</w:t>
        </w:r>
        <w:r w:rsidR="002E0451">
          <w:rPr>
            <w:rStyle w:val="a9"/>
            <w:rFonts w:ascii="仿宋" w:eastAsia="仿宋" w:hAnsi="仿宋" w:cstheme="majorBidi" w:hint="eastAsia"/>
            <w:bCs/>
            <w:color w:val="auto"/>
            <w:sz w:val="32"/>
            <w:szCs w:val="32"/>
          </w:rPr>
          <w:t>三公”经费财政拨款支出决算情况说明</w:t>
        </w:r>
        <w:r w:rsidR="002E0451">
          <w:rPr>
            <w:rFonts w:ascii="仿宋" w:eastAsia="仿宋" w:hAnsi="仿宋"/>
            <w:sz w:val="32"/>
            <w:szCs w:val="32"/>
          </w:rPr>
          <w:tab/>
        </w:r>
        <w:r>
          <w:rPr>
            <w:rFonts w:ascii="仿宋" w:eastAsia="仿宋" w:hAnsi="仿宋"/>
            <w:sz w:val="32"/>
            <w:szCs w:val="32"/>
          </w:rPr>
          <w:fldChar w:fldCharType="begin"/>
        </w:r>
        <w:r w:rsidR="002E0451">
          <w:rPr>
            <w:rFonts w:ascii="仿宋" w:eastAsia="仿宋" w:hAnsi="仿宋"/>
            <w:sz w:val="32"/>
            <w:szCs w:val="32"/>
          </w:rPr>
          <w:instrText xml:space="preserve"> PAGEREF _Toc15396609 \h </w:instrText>
        </w:r>
        <w:r>
          <w:rPr>
            <w:rFonts w:ascii="仿宋" w:eastAsia="仿宋" w:hAnsi="仿宋"/>
            <w:sz w:val="32"/>
            <w:szCs w:val="32"/>
          </w:rPr>
        </w:r>
        <w:r>
          <w:rPr>
            <w:rFonts w:ascii="仿宋" w:eastAsia="仿宋" w:hAnsi="仿宋"/>
            <w:sz w:val="32"/>
            <w:szCs w:val="32"/>
          </w:rPr>
          <w:fldChar w:fldCharType="separate"/>
        </w:r>
        <w:r w:rsidR="002E0451">
          <w:rPr>
            <w:rFonts w:ascii="仿宋" w:eastAsia="仿宋" w:hAnsi="仿宋"/>
            <w:sz w:val="32"/>
            <w:szCs w:val="32"/>
          </w:rPr>
          <w:t>1</w:t>
        </w:r>
        <w:r w:rsidR="002E0451">
          <w:rPr>
            <w:rFonts w:ascii="仿宋" w:eastAsia="仿宋" w:hAnsi="仿宋" w:hint="eastAsia"/>
            <w:sz w:val="32"/>
            <w:szCs w:val="32"/>
          </w:rPr>
          <w:t>6</w:t>
        </w:r>
        <w:r>
          <w:rPr>
            <w:rFonts w:ascii="仿宋" w:eastAsia="仿宋" w:hAnsi="仿宋"/>
            <w:sz w:val="32"/>
            <w:szCs w:val="32"/>
          </w:rPr>
          <w:fldChar w:fldCharType="end"/>
        </w:r>
      </w:hyperlink>
    </w:p>
    <w:p w:rsidR="00BB2F55" w:rsidRDefault="00CB7DCA">
      <w:pPr>
        <w:pStyle w:val="20"/>
        <w:rPr>
          <w:rFonts w:ascii="仿宋" w:eastAsia="仿宋" w:hAnsi="仿宋" w:cstheme="minorBidi"/>
          <w:sz w:val="32"/>
          <w:szCs w:val="32"/>
        </w:rPr>
      </w:pPr>
      <w:hyperlink w:anchor="_Toc15396610" w:history="1">
        <w:r w:rsidR="002E0451">
          <w:rPr>
            <w:rStyle w:val="a9"/>
            <w:rFonts w:ascii="仿宋" w:eastAsia="仿宋" w:hAnsi="仿宋" w:hint="eastAsia"/>
            <w:color w:val="auto"/>
            <w:sz w:val="32"/>
            <w:szCs w:val="32"/>
          </w:rPr>
          <w:t>八、</w:t>
        </w:r>
        <w:r w:rsidR="002E0451">
          <w:rPr>
            <w:rStyle w:val="a9"/>
            <w:rFonts w:ascii="仿宋" w:eastAsia="仿宋" w:hAnsi="仿宋" w:cstheme="majorBidi" w:hint="eastAsia"/>
            <w:bCs/>
            <w:color w:val="auto"/>
            <w:sz w:val="32"/>
            <w:szCs w:val="32"/>
          </w:rPr>
          <w:t>政府性基金预算支出决算情况说明</w:t>
        </w:r>
        <w:r w:rsidR="002E0451">
          <w:rPr>
            <w:rFonts w:ascii="仿宋" w:eastAsia="仿宋" w:hAnsi="仿宋"/>
            <w:sz w:val="32"/>
            <w:szCs w:val="32"/>
          </w:rPr>
          <w:tab/>
        </w:r>
        <w:r>
          <w:rPr>
            <w:rFonts w:ascii="仿宋" w:eastAsia="仿宋" w:hAnsi="仿宋"/>
            <w:sz w:val="32"/>
            <w:szCs w:val="32"/>
          </w:rPr>
          <w:fldChar w:fldCharType="begin"/>
        </w:r>
        <w:r w:rsidR="002E0451">
          <w:rPr>
            <w:rFonts w:ascii="仿宋" w:eastAsia="仿宋" w:hAnsi="仿宋"/>
            <w:sz w:val="32"/>
            <w:szCs w:val="32"/>
          </w:rPr>
          <w:instrText xml:space="preserve"> PAGEREF _Toc15396610 \h </w:instrText>
        </w:r>
        <w:r>
          <w:rPr>
            <w:rFonts w:ascii="仿宋" w:eastAsia="仿宋" w:hAnsi="仿宋"/>
            <w:sz w:val="32"/>
            <w:szCs w:val="32"/>
          </w:rPr>
        </w:r>
        <w:r>
          <w:rPr>
            <w:rFonts w:ascii="仿宋" w:eastAsia="仿宋" w:hAnsi="仿宋"/>
            <w:sz w:val="32"/>
            <w:szCs w:val="32"/>
          </w:rPr>
          <w:fldChar w:fldCharType="separate"/>
        </w:r>
        <w:r w:rsidR="002E0451">
          <w:rPr>
            <w:rFonts w:ascii="仿宋" w:eastAsia="仿宋" w:hAnsi="仿宋"/>
            <w:sz w:val="32"/>
            <w:szCs w:val="32"/>
          </w:rPr>
          <w:t>17</w:t>
        </w:r>
        <w:r>
          <w:rPr>
            <w:rFonts w:ascii="仿宋" w:eastAsia="仿宋" w:hAnsi="仿宋"/>
            <w:sz w:val="32"/>
            <w:szCs w:val="32"/>
          </w:rPr>
          <w:fldChar w:fldCharType="end"/>
        </w:r>
      </w:hyperlink>
    </w:p>
    <w:p w:rsidR="00BB2F55" w:rsidRDefault="00CB7DCA">
      <w:pPr>
        <w:pStyle w:val="20"/>
        <w:rPr>
          <w:rStyle w:val="a9"/>
          <w:color w:val="auto"/>
          <w:u w:val="none"/>
        </w:rPr>
      </w:pPr>
      <w:hyperlink w:anchor="_Toc15396611" w:history="1">
        <w:r w:rsidR="002E0451">
          <w:rPr>
            <w:rStyle w:val="a9"/>
            <w:rFonts w:ascii="仿宋" w:eastAsia="仿宋" w:hAnsi="仿宋" w:cstheme="majorBidi" w:hint="eastAsia"/>
            <w:bCs/>
            <w:color w:val="auto"/>
            <w:sz w:val="32"/>
            <w:szCs w:val="32"/>
          </w:rPr>
          <w:t>九、</w:t>
        </w:r>
        <w:r w:rsidR="002E0451">
          <w:rPr>
            <w:rStyle w:val="a9"/>
            <w:rFonts w:ascii="仿宋" w:eastAsia="仿宋" w:hAnsi="仿宋" w:hint="eastAsia"/>
            <w:color w:val="auto"/>
            <w:sz w:val="32"/>
            <w:szCs w:val="32"/>
          </w:rPr>
          <w:t xml:space="preserve"> 国</w:t>
        </w:r>
        <w:r w:rsidR="002E0451">
          <w:rPr>
            <w:rStyle w:val="a9"/>
            <w:rFonts w:ascii="仿宋" w:eastAsia="仿宋" w:hAnsi="仿宋" w:cstheme="majorBidi" w:hint="eastAsia"/>
            <w:bCs/>
            <w:color w:val="auto"/>
            <w:sz w:val="32"/>
            <w:szCs w:val="32"/>
          </w:rPr>
          <w:t>有资本经营预算支出决算情况说明</w:t>
        </w:r>
        <w:r w:rsidR="002E0451">
          <w:rPr>
            <w:rFonts w:ascii="仿宋" w:eastAsia="仿宋" w:hAnsi="仿宋"/>
            <w:sz w:val="32"/>
            <w:szCs w:val="32"/>
          </w:rPr>
          <w:tab/>
        </w:r>
        <w:r>
          <w:rPr>
            <w:rFonts w:ascii="仿宋" w:eastAsia="仿宋" w:hAnsi="仿宋"/>
            <w:sz w:val="32"/>
            <w:szCs w:val="32"/>
          </w:rPr>
          <w:fldChar w:fldCharType="begin"/>
        </w:r>
        <w:r w:rsidR="002E0451">
          <w:rPr>
            <w:rFonts w:ascii="仿宋" w:eastAsia="仿宋" w:hAnsi="仿宋"/>
            <w:sz w:val="32"/>
            <w:szCs w:val="32"/>
          </w:rPr>
          <w:instrText xml:space="preserve"> PAGEREF _Toc15396611 \h </w:instrText>
        </w:r>
        <w:r>
          <w:rPr>
            <w:rFonts w:ascii="仿宋" w:eastAsia="仿宋" w:hAnsi="仿宋"/>
            <w:sz w:val="32"/>
            <w:szCs w:val="32"/>
          </w:rPr>
        </w:r>
        <w:r>
          <w:rPr>
            <w:rFonts w:ascii="仿宋" w:eastAsia="仿宋" w:hAnsi="仿宋"/>
            <w:sz w:val="32"/>
            <w:szCs w:val="32"/>
          </w:rPr>
          <w:fldChar w:fldCharType="separate"/>
        </w:r>
        <w:r w:rsidR="002E0451">
          <w:rPr>
            <w:rFonts w:ascii="仿宋" w:eastAsia="仿宋" w:hAnsi="仿宋"/>
            <w:sz w:val="32"/>
            <w:szCs w:val="32"/>
          </w:rPr>
          <w:t>1</w:t>
        </w:r>
        <w:r w:rsidR="002E0451">
          <w:rPr>
            <w:rFonts w:ascii="仿宋" w:eastAsia="仿宋" w:hAnsi="仿宋" w:hint="eastAsia"/>
            <w:sz w:val="32"/>
            <w:szCs w:val="32"/>
          </w:rPr>
          <w:t>8</w:t>
        </w:r>
        <w:r>
          <w:rPr>
            <w:rFonts w:ascii="仿宋" w:eastAsia="仿宋" w:hAnsi="仿宋"/>
            <w:sz w:val="32"/>
            <w:szCs w:val="32"/>
          </w:rPr>
          <w:fldChar w:fldCharType="end"/>
        </w:r>
      </w:hyperlink>
    </w:p>
    <w:p w:rsidR="00BB2F55" w:rsidRDefault="00CB7DCA">
      <w:pPr>
        <w:pStyle w:val="20"/>
        <w:rPr>
          <w:rFonts w:ascii="仿宋" w:eastAsia="仿宋" w:hAnsi="仿宋" w:cstheme="minorBidi"/>
          <w:sz w:val="32"/>
          <w:szCs w:val="32"/>
        </w:rPr>
      </w:pPr>
      <w:hyperlink w:anchor="_Toc15396612" w:history="1">
        <w:r w:rsidR="002E0451">
          <w:rPr>
            <w:rStyle w:val="a9"/>
            <w:rFonts w:ascii="仿宋" w:eastAsia="仿宋" w:hAnsi="仿宋" w:hint="eastAsia"/>
            <w:color w:val="auto"/>
            <w:sz w:val="32"/>
            <w:szCs w:val="32"/>
          </w:rPr>
          <w:t>十</w:t>
        </w:r>
        <w:r w:rsidR="002E0451">
          <w:rPr>
            <w:rStyle w:val="a9"/>
            <w:rFonts w:ascii="仿宋" w:eastAsia="仿宋" w:hAnsi="仿宋" w:cstheme="majorBidi" w:hint="eastAsia"/>
            <w:bCs/>
            <w:color w:val="auto"/>
            <w:sz w:val="32"/>
            <w:szCs w:val="32"/>
          </w:rPr>
          <w:t>、其他重要事项的情况说明</w:t>
        </w:r>
        <w:r w:rsidR="002E0451">
          <w:rPr>
            <w:rFonts w:ascii="仿宋" w:eastAsia="仿宋" w:hAnsi="仿宋"/>
            <w:sz w:val="32"/>
            <w:szCs w:val="32"/>
          </w:rPr>
          <w:tab/>
        </w:r>
        <w:r w:rsidR="002E0451">
          <w:rPr>
            <w:rFonts w:ascii="仿宋" w:eastAsia="仿宋" w:hAnsi="仿宋" w:hint="eastAsia"/>
            <w:sz w:val="32"/>
            <w:szCs w:val="32"/>
          </w:rPr>
          <w:t>19</w:t>
        </w:r>
      </w:hyperlink>
    </w:p>
    <w:p w:rsidR="00BB2F55" w:rsidRDefault="00CB7DCA">
      <w:pPr>
        <w:pStyle w:val="10"/>
        <w:rPr>
          <w:rFonts w:cstheme="minorBidi"/>
          <w:sz w:val="32"/>
          <w:szCs w:val="32"/>
        </w:rPr>
      </w:pPr>
      <w:hyperlink w:anchor="_Toc15396613" w:history="1">
        <w:r w:rsidR="002E0451">
          <w:rPr>
            <w:rStyle w:val="a9"/>
            <w:rFonts w:hint="eastAsia"/>
            <w:bCs/>
            <w:color w:val="auto"/>
            <w:kern w:val="44"/>
            <w:sz w:val="32"/>
            <w:szCs w:val="32"/>
          </w:rPr>
          <w:t>第三部分</w:t>
        </w:r>
        <w:r w:rsidR="002E0451">
          <w:rPr>
            <w:rStyle w:val="a9"/>
            <w:rFonts w:hint="eastAsia"/>
            <w:color w:val="auto"/>
            <w:sz w:val="32"/>
            <w:szCs w:val="32"/>
          </w:rPr>
          <w:t xml:space="preserve"> 名</w:t>
        </w:r>
        <w:r w:rsidR="002E0451">
          <w:rPr>
            <w:rStyle w:val="a9"/>
            <w:rFonts w:hint="eastAsia"/>
            <w:bCs/>
            <w:color w:val="auto"/>
            <w:kern w:val="44"/>
            <w:sz w:val="32"/>
            <w:szCs w:val="32"/>
          </w:rPr>
          <w:t>词解释</w:t>
        </w:r>
        <w:r w:rsidR="002E0451">
          <w:rPr>
            <w:sz w:val="32"/>
            <w:szCs w:val="32"/>
          </w:rPr>
          <w:tab/>
        </w:r>
        <w:r>
          <w:rPr>
            <w:sz w:val="32"/>
            <w:szCs w:val="32"/>
          </w:rPr>
          <w:fldChar w:fldCharType="begin"/>
        </w:r>
        <w:r w:rsidR="002E0451">
          <w:rPr>
            <w:sz w:val="32"/>
            <w:szCs w:val="32"/>
          </w:rPr>
          <w:instrText xml:space="preserve"> PAGEREF _Toc15396613 \h </w:instrText>
        </w:r>
        <w:r>
          <w:rPr>
            <w:sz w:val="32"/>
            <w:szCs w:val="32"/>
          </w:rPr>
        </w:r>
        <w:r>
          <w:rPr>
            <w:sz w:val="32"/>
            <w:szCs w:val="32"/>
          </w:rPr>
          <w:fldChar w:fldCharType="separate"/>
        </w:r>
        <w:r w:rsidR="002E0451">
          <w:rPr>
            <w:sz w:val="32"/>
            <w:szCs w:val="32"/>
          </w:rPr>
          <w:t>2</w:t>
        </w:r>
        <w:r w:rsidR="002E0451">
          <w:rPr>
            <w:rFonts w:hint="eastAsia"/>
            <w:sz w:val="32"/>
            <w:szCs w:val="32"/>
          </w:rPr>
          <w:t>4</w:t>
        </w:r>
        <w:r>
          <w:rPr>
            <w:sz w:val="32"/>
            <w:szCs w:val="32"/>
          </w:rPr>
          <w:fldChar w:fldCharType="end"/>
        </w:r>
      </w:hyperlink>
    </w:p>
    <w:p w:rsidR="00BB2F55" w:rsidRDefault="00CB7DCA">
      <w:pPr>
        <w:pStyle w:val="10"/>
        <w:rPr>
          <w:rFonts w:cstheme="minorBidi"/>
          <w:sz w:val="32"/>
          <w:szCs w:val="32"/>
        </w:rPr>
      </w:pPr>
      <w:hyperlink w:anchor="_Toc15396614" w:history="1">
        <w:r w:rsidR="002E0451">
          <w:rPr>
            <w:rStyle w:val="a9"/>
            <w:rFonts w:hint="eastAsia"/>
            <w:color w:val="auto"/>
            <w:sz w:val="32"/>
            <w:szCs w:val="32"/>
          </w:rPr>
          <w:t>第</w:t>
        </w:r>
        <w:r w:rsidR="002E0451">
          <w:rPr>
            <w:rStyle w:val="a9"/>
            <w:rFonts w:hint="eastAsia"/>
            <w:bCs/>
            <w:color w:val="auto"/>
            <w:kern w:val="44"/>
            <w:sz w:val="32"/>
            <w:szCs w:val="32"/>
          </w:rPr>
          <w:t>四部分附件</w:t>
        </w:r>
        <w:r w:rsidR="002E0451">
          <w:rPr>
            <w:sz w:val="32"/>
            <w:szCs w:val="32"/>
          </w:rPr>
          <w:tab/>
        </w:r>
        <w:r>
          <w:rPr>
            <w:sz w:val="32"/>
            <w:szCs w:val="32"/>
          </w:rPr>
          <w:fldChar w:fldCharType="begin"/>
        </w:r>
        <w:r w:rsidR="002E0451">
          <w:rPr>
            <w:sz w:val="32"/>
            <w:szCs w:val="32"/>
          </w:rPr>
          <w:instrText xml:space="preserve"> PAGEREF _Toc15396614 \h </w:instrText>
        </w:r>
        <w:r>
          <w:rPr>
            <w:sz w:val="32"/>
            <w:szCs w:val="32"/>
          </w:rPr>
        </w:r>
        <w:r>
          <w:rPr>
            <w:sz w:val="32"/>
            <w:szCs w:val="32"/>
          </w:rPr>
          <w:fldChar w:fldCharType="separate"/>
        </w:r>
        <w:r w:rsidR="002E0451">
          <w:rPr>
            <w:sz w:val="32"/>
            <w:szCs w:val="32"/>
          </w:rPr>
          <w:t>2</w:t>
        </w:r>
        <w:r w:rsidR="002E0451">
          <w:rPr>
            <w:rFonts w:hint="eastAsia"/>
            <w:sz w:val="32"/>
            <w:szCs w:val="32"/>
          </w:rPr>
          <w:t>8</w:t>
        </w:r>
        <w:r>
          <w:rPr>
            <w:sz w:val="32"/>
            <w:szCs w:val="32"/>
          </w:rPr>
          <w:fldChar w:fldCharType="end"/>
        </w:r>
      </w:hyperlink>
    </w:p>
    <w:p w:rsidR="00BB2F55" w:rsidRDefault="00CB7DCA">
      <w:pPr>
        <w:pStyle w:val="20"/>
        <w:rPr>
          <w:rFonts w:ascii="仿宋" w:eastAsia="仿宋" w:hAnsi="仿宋" w:cstheme="minorBidi"/>
          <w:sz w:val="32"/>
          <w:szCs w:val="32"/>
        </w:rPr>
      </w:pPr>
      <w:hyperlink w:anchor="_Toc15396615" w:history="1">
        <w:r w:rsidR="002E0451">
          <w:rPr>
            <w:rStyle w:val="a9"/>
            <w:rFonts w:ascii="仿宋" w:eastAsia="仿宋" w:hAnsi="仿宋" w:hint="eastAsia"/>
            <w:color w:val="auto"/>
            <w:kern w:val="44"/>
            <w:sz w:val="32"/>
            <w:szCs w:val="32"/>
          </w:rPr>
          <w:t>附件</w:t>
        </w:r>
        <w:r w:rsidR="002E0451">
          <w:rPr>
            <w:rStyle w:val="a9"/>
            <w:rFonts w:ascii="仿宋" w:eastAsia="仿宋" w:hAnsi="仿宋"/>
            <w:color w:val="auto"/>
            <w:kern w:val="44"/>
            <w:sz w:val="32"/>
            <w:szCs w:val="32"/>
          </w:rPr>
          <w:t>1</w:t>
        </w:r>
        <w:r w:rsidR="002E0451">
          <w:rPr>
            <w:rFonts w:ascii="仿宋" w:eastAsia="仿宋" w:hAnsi="仿宋"/>
            <w:sz w:val="32"/>
            <w:szCs w:val="32"/>
          </w:rPr>
          <w:tab/>
        </w:r>
        <w:r>
          <w:rPr>
            <w:rFonts w:ascii="仿宋" w:eastAsia="仿宋" w:hAnsi="仿宋"/>
            <w:sz w:val="32"/>
            <w:szCs w:val="32"/>
          </w:rPr>
          <w:fldChar w:fldCharType="begin"/>
        </w:r>
        <w:r w:rsidR="002E0451">
          <w:rPr>
            <w:rFonts w:ascii="仿宋" w:eastAsia="仿宋" w:hAnsi="仿宋"/>
            <w:sz w:val="32"/>
            <w:szCs w:val="32"/>
          </w:rPr>
          <w:instrText xml:space="preserve"> PAGEREF _Toc15396615 \h </w:instrText>
        </w:r>
        <w:r>
          <w:rPr>
            <w:rFonts w:ascii="仿宋" w:eastAsia="仿宋" w:hAnsi="仿宋"/>
            <w:sz w:val="32"/>
            <w:szCs w:val="32"/>
          </w:rPr>
        </w:r>
        <w:r>
          <w:rPr>
            <w:rFonts w:ascii="仿宋" w:eastAsia="仿宋" w:hAnsi="仿宋"/>
            <w:sz w:val="32"/>
            <w:szCs w:val="32"/>
          </w:rPr>
          <w:fldChar w:fldCharType="separate"/>
        </w:r>
        <w:r w:rsidR="002E0451">
          <w:rPr>
            <w:rFonts w:ascii="仿宋" w:eastAsia="仿宋" w:hAnsi="仿宋"/>
            <w:sz w:val="32"/>
            <w:szCs w:val="32"/>
          </w:rPr>
          <w:t>2</w:t>
        </w:r>
        <w:r w:rsidR="002E0451">
          <w:rPr>
            <w:rFonts w:ascii="仿宋" w:eastAsia="仿宋" w:hAnsi="仿宋" w:hint="eastAsia"/>
            <w:sz w:val="32"/>
            <w:szCs w:val="32"/>
          </w:rPr>
          <w:t>8</w:t>
        </w:r>
        <w:r>
          <w:rPr>
            <w:rFonts w:ascii="仿宋" w:eastAsia="仿宋" w:hAnsi="仿宋"/>
            <w:sz w:val="32"/>
            <w:szCs w:val="32"/>
          </w:rPr>
          <w:fldChar w:fldCharType="end"/>
        </w:r>
      </w:hyperlink>
    </w:p>
    <w:p w:rsidR="00BB2F55" w:rsidRDefault="00CB7DCA">
      <w:pPr>
        <w:pStyle w:val="20"/>
        <w:rPr>
          <w:rFonts w:ascii="仿宋" w:eastAsia="仿宋" w:hAnsi="仿宋" w:cstheme="minorBidi"/>
          <w:sz w:val="32"/>
          <w:szCs w:val="32"/>
        </w:rPr>
      </w:pPr>
      <w:hyperlink w:anchor="_Toc15396617" w:history="1">
        <w:r w:rsidR="002E0451">
          <w:rPr>
            <w:rStyle w:val="a9"/>
            <w:rFonts w:ascii="仿宋" w:eastAsia="仿宋" w:hAnsi="仿宋" w:hint="eastAsia"/>
            <w:color w:val="auto"/>
            <w:kern w:val="44"/>
            <w:sz w:val="32"/>
            <w:szCs w:val="32"/>
          </w:rPr>
          <w:t>附件</w:t>
        </w:r>
        <w:r w:rsidR="002E0451">
          <w:rPr>
            <w:rStyle w:val="a9"/>
            <w:rFonts w:ascii="仿宋" w:eastAsia="仿宋" w:hAnsi="仿宋"/>
            <w:color w:val="auto"/>
            <w:kern w:val="44"/>
            <w:sz w:val="32"/>
            <w:szCs w:val="32"/>
          </w:rPr>
          <w:t>2</w:t>
        </w:r>
        <w:r w:rsidR="002E0451">
          <w:rPr>
            <w:rFonts w:ascii="仿宋" w:eastAsia="仿宋" w:hAnsi="仿宋"/>
            <w:sz w:val="32"/>
            <w:szCs w:val="32"/>
          </w:rPr>
          <w:tab/>
        </w:r>
        <w:r>
          <w:rPr>
            <w:rFonts w:ascii="仿宋" w:eastAsia="仿宋" w:hAnsi="仿宋"/>
            <w:sz w:val="32"/>
            <w:szCs w:val="32"/>
          </w:rPr>
          <w:fldChar w:fldCharType="begin"/>
        </w:r>
        <w:r w:rsidR="002E0451">
          <w:rPr>
            <w:rFonts w:ascii="仿宋" w:eastAsia="仿宋" w:hAnsi="仿宋"/>
            <w:sz w:val="32"/>
            <w:szCs w:val="32"/>
          </w:rPr>
          <w:instrText xml:space="preserve"> PAGEREF _Toc15396617 \h </w:instrText>
        </w:r>
        <w:r>
          <w:rPr>
            <w:rFonts w:ascii="仿宋" w:eastAsia="仿宋" w:hAnsi="仿宋"/>
            <w:sz w:val="32"/>
            <w:szCs w:val="32"/>
          </w:rPr>
        </w:r>
        <w:r>
          <w:rPr>
            <w:rFonts w:ascii="仿宋" w:eastAsia="仿宋" w:hAnsi="仿宋"/>
            <w:sz w:val="32"/>
            <w:szCs w:val="32"/>
          </w:rPr>
          <w:fldChar w:fldCharType="separate"/>
        </w:r>
        <w:r w:rsidR="002E0451">
          <w:rPr>
            <w:rFonts w:ascii="仿宋" w:eastAsia="仿宋" w:hAnsi="仿宋" w:hint="eastAsia"/>
            <w:sz w:val="32"/>
            <w:szCs w:val="32"/>
          </w:rPr>
          <w:t>41</w:t>
        </w:r>
        <w:r>
          <w:rPr>
            <w:rFonts w:ascii="仿宋" w:eastAsia="仿宋" w:hAnsi="仿宋"/>
            <w:sz w:val="32"/>
            <w:szCs w:val="32"/>
          </w:rPr>
          <w:fldChar w:fldCharType="end"/>
        </w:r>
      </w:hyperlink>
    </w:p>
    <w:p w:rsidR="00BB2F55" w:rsidRDefault="00CB7DCA">
      <w:pPr>
        <w:pStyle w:val="10"/>
        <w:rPr>
          <w:rFonts w:cstheme="minorBidi"/>
          <w:sz w:val="32"/>
          <w:szCs w:val="32"/>
        </w:rPr>
      </w:pPr>
      <w:hyperlink w:anchor="_Toc15396618" w:history="1">
        <w:r w:rsidR="002E0451">
          <w:rPr>
            <w:rStyle w:val="a9"/>
            <w:rFonts w:hint="eastAsia"/>
            <w:color w:val="auto"/>
            <w:sz w:val="32"/>
            <w:szCs w:val="32"/>
          </w:rPr>
          <w:t>第</w:t>
        </w:r>
        <w:r w:rsidR="002E0451">
          <w:rPr>
            <w:rStyle w:val="a9"/>
            <w:rFonts w:hint="eastAsia"/>
            <w:bCs/>
            <w:color w:val="auto"/>
            <w:kern w:val="44"/>
            <w:sz w:val="32"/>
            <w:szCs w:val="32"/>
          </w:rPr>
          <w:t>五部分附表</w:t>
        </w:r>
        <w:r w:rsidR="002E0451">
          <w:rPr>
            <w:sz w:val="32"/>
            <w:szCs w:val="32"/>
          </w:rPr>
          <w:tab/>
        </w:r>
        <w:r w:rsidR="002E0451">
          <w:rPr>
            <w:rFonts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一、</w:t>
      </w:r>
      <w:hyperlink w:anchor="_Toc15396619" w:history="1">
        <w:r>
          <w:rPr>
            <w:rStyle w:val="a9"/>
            <w:rFonts w:ascii="仿宋" w:eastAsia="仿宋" w:hAnsi="仿宋" w:hint="eastAsia"/>
            <w:color w:val="auto"/>
            <w:sz w:val="32"/>
            <w:szCs w:val="32"/>
          </w:rPr>
          <w:t>收入支出决算总表</w:t>
        </w:r>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二、</w:t>
      </w:r>
      <w:hyperlink w:anchor="_Toc15396620" w:history="1">
        <w:r>
          <w:rPr>
            <w:rStyle w:val="a9"/>
            <w:rFonts w:ascii="仿宋" w:eastAsia="仿宋" w:hAnsi="仿宋" w:hint="eastAsia"/>
            <w:color w:val="auto"/>
            <w:sz w:val="32"/>
            <w:szCs w:val="32"/>
          </w:rPr>
          <w:t>收入决算表</w:t>
        </w:r>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三、</w:t>
      </w:r>
      <w:hyperlink w:anchor="_Toc15396621" w:history="1">
        <w:r>
          <w:rPr>
            <w:rStyle w:val="a9"/>
            <w:rFonts w:ascii="仿宋" w:eastAsia="仿宋" w:hAnsi="仿宋" w:hint="eastAsia"/>
            <w:color w:val="auto"/>
            <w:sz w:val="32"/>
            <w:szCs w:val="32"/>
          </w:rPr>
          <w:t>支出决算表</w:t>
        </w:r>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lastRenderedPageBreak/>
        <w:t>四、</w:t>
      </w:r>
      <w:hyperlink w:anchor="_Toc15396622" w:history="1">
        <w:r>
          <w:rPr>
            <w:rStyle w:val="a9"/>
            <w:rFonts w:ascii="仿宋" w:eastAsia="仿宋" w:hAnsi="仿宋" w:hint="eastAsia"/>
            <w:color w:val="auto"/>
            <w:sz w:val="32"/>
            <w:szCs w:val="32"/>
          </w:rPr>
          <w:t>财政拨款收入支出决算总表</w:t>
        </w:r>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sz w:val="32"/>
          <w:szCs w:val="32"/>
        </w:rPr>
      </w:pPr>
      <w:r>
        <w:rPr>
          <w:rFonts w:ascii="仿宋" w:eastAsia="仿宋" w:hAnsi="仿宋" w:hint="eastAsia"/>
          <w:sz w:val="32"/>
          <w:szCs w:val="32"/>
        </w:rPr>
        <w:t>五、</w:t>
      </w:r>
      <w:hyperlink w:anchor="_Toc15396623" w:history="1">
        <w:r>
          <w:rPr>
            <w:rFonts w:ascii="仿宋" w:eastAsia="仿宋" w:hAnsi="仿宋" w:hint="eastAsia"/>
            <w:sz w:val="32"/>
            <w:szCs w:val="32"/>
          </w:rPr>
          <w:t>财政拨款支出决算明细表（政府经济分类科目）</w:t>
        </w:r>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六、</w:t>
      </w:r>
      <w:hyperlink w:anchor="_Toc15396624" w:history="1">
        <w:r>
          <w:rPr>
            <w:rStyle w:val="a9"/>
            <w:rFonts w:ascii="仿宋" w:eastAsia="仿宋" w:hAnsi="仿宋" w:hint="eastAsia"/>
            <w:color w:val="auto"/>
            <w:sz w:val="32"/>
            <w:szCs w:val="32"/>
          </w:rPr>
          <w:t>一般公共预算财政拨款支出决算表</w:t>
        </w:r>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七、</w:t>
      </w:r>
      <w:hyperlink w:anchor="_Toc15396625" w:history="1">
        <w:r>
          <w:rPr>
            <w:rStyle w:val="a9"/>
            <w:rFonts w:ascii="仿宋" w:eastAsia="仿宋" w:hAnsi="仿宋" w:hint="eastAsia"/>
            <w:color w:val="auto"/>
            <w:sz w:val="32"/>
            <w:szCs w:val="32"/>
          </w:rPr>
          <w:t>一般公共预算财政拨款支出决算明细表</w:t>
        </w:r>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八、</w:t>
      </w:r>
      <w:hyperlink w:anchor="_Toc15396626" w:history="1">
        <w:r>
          <w:rPr>
            <w:rStyle w:val="a9"/>
            <w:rFonts w:ascii="仿宋" w:eastAsia="仿宋" w:hAnsi="仿宋" w:hint="eastAsia"/>
            <w:color w:val="auto"/>
            <w:sz w:val="32"/>
            <w:szCs w:val="32"/>
          </w:rPr>
          <w:t>一般公共预算财政拨款基本支出决算表</w:t>
        </w:r>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九、</w:t>
      </w:r>
      <w:hyperlink w:anchor="_Toc15396627" w:history="1">
        <w:r>
          <w:rPr>
            <w:rStyle w:val="a9"/>
            <w:rFonts w:ascii="仿宋" w:eastAsia="仿宋" w:hAnsi="仿宋" w:hint="eastAsia"/>
            <w:color w:val="auto"/>
            <w:sz w:val="32"/>
            <w:szCs w:val="32"/>
          </w:rPr>
          <w:t>一般公共预算财政拨款项目支出决算表</w:t>
        </w:r>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十、</w:t>
      </w:r>
      <w:r>
        <w:rPr>
          <w:rStyle w:val="a9"/>
          <w:rFonts w:ascii="仿宋" w:eastAsia="仿宋" w:hAnsi="仿宋" w:hint="eastAsia"/>
          <w:color w:val="auto"/>
          <w:sz w:val="32"/>
          <w:szCs w:val="32"/>
          <w:u w:val="none"/>
        </w:rPr>
        <w:t>政府性基金预算财政拨款收入支出决算表</w:t>
      </w:r>
      <w:hyperlink w:anchor="_Toc15396628" w:history="1">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十一、</w:t>
      </w:r>
      <w:r>
        <w:rPr>
          <w:rStyle w:val="a9"/>
          <w:rFonts w:ascii="仿宋" w:eastAsia="仿宋" w:hAnsi="仿宋" w:hint="eastAsia"/>
          <w:color w:val="auto"/>
          <w:sz w:val="32"/>
          <w:szCs w:val="32"/>
          <w:u w:val="none"/>
        </w:rPr>
        <w:t>国有资本经营预算财政拨款收入支出决算表</w:t>
      </w:r>
      <w:hyperlink w:anchor="_Toc15396629" w:history="1">
        <w:r>
          <w:rPr>
            <w:rFonts w:ascii="仿宋" w:eastAsia="仿宋" w:hAnsi="仿宋"/>
            <w:sz w:val="32"/>
            <w:szCs w:val="32"/>
          </w:rPr>
          <w:tab/>
        </w:r>
        <w:r>
          <w:rPr>
            <w:rFonts w:ascii="仿宋" w:eastAsia="仿宋" w:hAnsi="仿宋" w:hint="eastAsia"/>
            <w:sz w:val="32"/>
            <w:szCs w:val="32"/>
          </w:rPr>
          <w:t>42</w:t>
        </w:r>
      </w:hyperlink>
    </w:p>
    <w:p w:rsidR="00BB2F55" w:rsidRDefault="002E0451">
      <w:pPr>
        <w:pStyle w:val="20"/>
        <w:rPr>
          <w:rFonts w:ascii="仿宋" w:eastAsia="仿宋" w:hAnsi="仿宋" w:cstheme="minorBidi"/>
          <w:sz w:val="32"/>
          <w:szCs w:val="32"/>
        </w:rPr>
      </w:pPr>
      <w:r>
        <w:rPr>
          <w:rFonts w:ascii="仿宋" w:eastAsia="仿宋" w:hAnsi="仿宋" w:hint="eastAsia"/>
          <w:sz w:val="32"/>
          <w:szCs w:val="32"/>
        </w:rPr>
        <w:t>十二、</w:t>
      </w:r>
      <w:hyperlink w:anchor="_Toc15396630" w:history="1">
        <w:r>
          <w:rPr>
            <w:rStyle w:val="a9"/>
            <w:rFonts w:ascii="仿宋" w:eastAsia="仿宋" w:hAnsi="仿宋" w:hint="eastAsia"/>
            <w:color w:val="auto"/>
            <w:sz w:val="32"/>
            <w:szCs w:val="32"/>
            <w:u w:val="none"/>
          </w:rPr>
          <w:t>国有资本经营预算财政拨款支出决算表</w:t>
        </w:r>
        <w:r>
          <w:rPr>
            <w:rFonts w:ascii="仿宋" w:eastAsia="仿宋" w:hAnsi="仿宋"/>
            <w:sz w:val="32"/>
            <w:szCs w:val="32"/>
          </w:rPr>
          <w:tab/>
        </w:r>
        <w:r>
          <w:rPr>
            <w:rFonts w:ascii="仿宋" w:eastAsia="仿宋" w:hAnsi="仿宋" w:hint="eastAsia"/>
            <w:sz w:val="32"/>
            <w:szCs w:val="32"/>
          </w:rPr>
          <w:t>4</w:t>
        </w:r>
      </w:hyperlink>
      <w:r>
        <w:rPr>
          <w:rFonts w:hint="eastAsia"/>
          <w:sz w:val="32"/>
          <w:szCs w:val="32"/>
        </w:rPr>
        <w:t>2</w:t>
      </w:r>
    </w:p>
    <w:p w:rsidR="00BB2F55" w:rsidRDefault="002E0451">
      <w:pPr>
        <w:pStyle w:val="20"/>
        <w:rPr>
          <w:rFonts w:ascii="黑体" w:eastAsia="黑体" w:hAnsi="黑体"/>
          <w:bCs/>
          <w:kern w:val="44"/>
          <w:sz w:val="32"/>
          <w:szCs w:val="32"/>
        </w:rPr>
      </w:pPr>
      <w:r>
        <w:rPr>
          <w:rFonts w:ascii="仿宋" w:eastAsia="仿宋" w:hAnsi="仿宋" w:hint="eastAsia"/>
          <w:sz w:val="32"/>
          <w:szCs w:val="32"/>
        </w:rPr>
        <w:t>十三、</w:t>
      </w:r>
      <w:hyperlink w:anchor="_Toc15396631" w:history="1">
        <w:r>
          <w:rPr>
            <w:rStyle w:val="a9"/>
            <w:rFonts w:ascii="仿宋" w:eastAsia="仿宋" w:hAnsi="仿宋" w:hint="eastAsia"/>
            <w:color w:val="auto"/>
            <w:sz w:val="32"/>
            <w:szCs w:val="32"/>
            <w:u w:val="none"/>
          </w:rPr>
          <w:t>财政拨款“三公”经费支出决算表</w:t>
        </w:r>
        <w:r>
          <w:rPr>
            <w:rFonts w:ascii="仿宋" w:eastAsia="仿宋" w:hAnsi="仿宋"/>
            <w:sz w:val="32"/>
            <w:szCs w:val="32"/>
          </w:rPr>
          <w:tab/>
        </w:r>
        <w:r>
          <w:rPr>
            <w:rFonts w:ascii="仿宋" w:eastAsia="仿宋" w:hAnsi="仿宋" w:hint="eastAsia"/>
            <w:sz w:val="32"/>
            <w:szCs w:val="32"/>
          </w:rPr>
          <w:t>42</w:t>
        </w:r>
      </w:hyperlink>
      <w:r w:rsidR="00CB7DCA">
        <w:rPr>
          <w:rFonts w:ascii="仿宋" w:eastAsia="仿宋" w:hAnsi="仿宋"/>
          <w:sz w:val="32"/>
          <w:szCs w:val="32"/>
        </w:rPr>
        <w:fldChar w:fldCharType="end"/>
      </w:r>
      <w:bookmarkStart w:id="12" w:name="_Toc15377196"/>
      <w:bookmarkStart w:id="13" w:name="_Toc15396599"/>
    </w:p>
    <w:p w:rsidR="00BB2F55" w:rsidRDefault="00BB2F55">
      <w:pPr>
        <w:rPr>
          <w:sz w:val="32"/>
          <w:szCs w:val="32"/>
        </w:rPr>
      </w:pPr>
    </w:p>
    <w:p w:rsidR="00BB2F55" w:rsidRDefault="00BB2F55"/>
    <w:p w:rsidR="00BB2F55" w:rsidRDefault="00BB2F55"/>
    <w:p w:rsidR="00BB2F55" w:rsidRDefault="00BB2F55"/>
    <w:p w:rsidR="00BB2F55" w:rsidRDefault="00BB2F55">
      <w:pPr>
        <w:pStyle w:val="1"/>
        <w:rPr>
          <w:b w:val="0"/>
          <w:bCs w:val="0"/>
          <w:kern w:val="2"/>
          <w:sz w:val="21"/>
          <w:szCs w:val="24"/>
        </w:rPr>
      </w:pPr>
    </w:p>
    <w:p w:rsidR="00BB2F55" w:rsidRDefault="00BB2F55"/>
    <w:p w:rsidR="00BB2F55" w:rsidRDefault="00BB2F55"/>
    <w:p w:rsidR="00BB2F55" w:rsidRDefault="002E0451">
      <w:pPr>
        <w:pStyle w:val="1"/>
        <w:jc w:val="center"/>
        <w:rPr>
          <w:rFonts w:ascii="黑体" w:eastAsia="黑体"/>
          <w:sz w:val="32"/>
          <w:szCs w:val="32"/>
        </w:rPr>
      </w:pPr>
      <w:r>
        <w:rPr>
          <w:rFonts w:ascii="黑体" w:eastAsia="黑体" w:hAnsi="黑体" w:hint="eastAsia"/>
          <w:b w:val="0"/>
        </w:rPr>
        <w:t xml:space="preserve">第一部分 </w:t>
      </w:r>
      <w:r>
        <w:rPr>
          <w:rStyle w:val="1Char"/>
          <w:rFonts w:ascii="黑体" w:eastAsia="黑体" w:hAnsi="黑体" w:hint="eastAsia"/>
        </w:rPr>
        <w:t>部门概况</w:t>
      </w:r>
      <w:bookmarkEnd w:id="12"/>
      <w:bookmarkEnd w:id="13"/>
    </w:p>
    <w:p w:rsidR="00BB2F55" w:rsidRDefault="002E0451">
      <w:pPr>
        <w:pStyle w:val="2"/>
        <w:spacing w:before="0" w:after="0" w:line="578" w:lineRule="exact"/>
        <w:rPr>
          <w:rStyle w:val="2Char"/>
          <w:rFonts w:ascii="仿宋" w:eastAsia="仿宋" w:hAnsi="仿宋"/>
        </w:rPr>
      </w:pPr>
      <w:bookmarkStart w:id="14" w:name="_Toc15396600"/>
      <w:bookmarkStart w:id="15" w:name="_Toc15377197"/>
      <w:r>
        <w:rPr>
          <w:rFonts w:ascii="黑体" w:eastAsia="黑体" w:hAnsi="黑体" w:hint="eastAsia"/>
          <w:b w:val="0"/>
        </w:rPr>
        <w:t>一、基</w:t>
      </w:r>
      <w:r>
        <w:rPr>
          <w:rStyle w:val="2Char"/>
          <w:rFonts w:ascii="黑体" w:eastAsia="黑体" w:hAnsi="黑体" w:hint="eastAsia"/>
        </w:rPr>
        <w:t>本职能及主要工作</w:t>
      </w:r>
      <w:bookmarkEnd w:id="14"/>
      <w:bookmarkEnd w:id="15"/>
    </w:p>
    <w:p w:rsidR="00BB2F55" w:rsidRDefault="002E0451">
      <w:pPr>
        <w:spacing w:line="540" w:lineRule="exact"/>
        <w:ind w:firstLineChars="200" w:firstLine="640"/>
        <w:rPr>
          <w:rFonts w:ascii="仿宋" w:eastAsia="仿宋" w:hAnsi="仿宋"/>
          <w:bCs/>
          <w:sz w:val="32"/>
          <w:szCs w:val="32"/>
        </w:rPr>
      </w:pPr>
      <w:bookmarkStart w:id="16" w:name="_Toc15378445"/>
      <w:bookmarkStart w:id="17" w:name="_Toc15377198"/>
      <w:r>
        <w:rPr>
          <w:rFonts w:ascii="仿宋" w:eastAsia="仿宋" w:hAnsi="仿宋" w:hint="eastAsia"/>
          <w:bCs/>
          <w:sz w:val="32"/>
          <w:szCs w:val="32"/>
        </w:rPr>
        <w:t>（一）主要职能。</w:t>
      </w:r>
    </w:p>
    <w:p w:rsidR="00BB2F55" w:rsidRDefault="002E0451">
      <w:pPr>
        <w:spacing w:line="540" w:lineRule="exact"/>
        <w:ind w:firstLineChars="200" w:firstLine="640"/>
        <w:rPr>
          <w:rFonts w:ascii="仿宋_GB2312" w:eastAsia="仿宋_GB2312"/>
          <w:sz w:val="32"/>
          <w:szCs w:val="32"/>
        </w:rPr>
      </w:pPr>
      <w:r>
        <w:rPr>
          <w:rFonts w:ascii="仿宋_GB2312" w:eastAsia="仿宋_GB2312" w:hint="eastAsia"/>
          <w:sz w:val="32"/>
          <w:szCs w:val="32"/>
        </w:rPr>
        <w:t>1.贯彻执行党和国家、省委、省政府、市委、市政府、县委、县政府进一步扩大开放和实施西部大开发的方针政策；负责全县对内对外开放、招商引资、经济合作工作的统筹、组织和服务；负责起草制定全县招商引资工作的总体规划、年度目标和年度重大招商活动的计划、方案；拟订我县招商引资、经济合作的有关政策和规定。</w:t>
      </w:r>
    </w:p>
    <w:p w:rsidR="00BB2F55" w:rsidRDefault="002E0451">
      <w:pPr>
        <w:spacing w:line="540" w:lineRule="exact"/>
        <w:ind w:firstLineChars="200" w:firstLine="640"/>
        <w:rPr>
          <w:rFonts w:ascii="仿宋_GB2312" w:eastAsia="仿宋_GB2312"/>
          <w:sz w:val="32"/>
          <w:szCs w:val="32"/>
        </w:rPr>
      </w:pPr>
      <w:r>
        <w:rPr>
          <w:rFonts w:ascii="仿宋_GB2312" w:eastAsia="仿宋_GB2312" w:hint="eastAsia"/>
          <w:sz w:val="32"/>
          <w:szCs w:val="32"/>
        </w:rPr>
        <w:t>2.负责组织和实施我县招商引资项目的收集、筛选、整理、翻译、包装、储备、推介、洽谈和跟踪服务。</w:t>
      </w:r>
    </w:p>
    <w:p w:rsidR="00BB2F55" w:rsidRDefault="002E0451">
      <w:pPr>
        <w:spacing w:line="540" w:lineRule="exact"/>
        <w:ind w:firstLineChars="200" w:firstLine="640"/>
        <w:rPr>
          <w:rFonts w:ascii="仿宋_GB2312" w:eastAsia="仿宋_GB2312"/>
          <w:sz w:val="32"/>
          <w:szCs w:val="32"/>
        </w:rPr>
      </w:pPr>
      <w:r>
        <w:rPr>
          <w:rFonts w:ascii="仿宋_GB2312" w:eastAsia="仿宋_GB2312" w:hint="eastAsia"/>
          <w:sz w:val="32"/>
          <w:szCs w:val="32"/>
        </w:rPr>
        <w:t>3.负责拟订全县招商引资工作考核意见和招商引资目标任务分解方案，开展对县级部门和各乡镇</w:t>
      </w:r>
      <w:r>
        <w:rPr>
          <w:rFonts w:ascii="仿宋_GB2312" w:eastAsia="仿宋_GB2312" w:hint="eastAsia"/>
          <w:sz w:val="32"/>
          <w:szCs w:val="32"/>
        </w:rPr>
        <w:lastRenderedPageBreak/>
        <w:t>招商引资工作的督查和考核。</w:t>
      </w:r>
    </w:p>
    <w:p w:rsidR="00BB2F55" w:rsidRDefault="002E0451">
      <w:pPr>
        <w:spacing w:line="540" w:lineRule="exact"/>
        <w:ind w:firstLineChars="200" w:firstLine="640"/>
        <w:rPr>
          <w:rFonts w:ascii="仿宋_GB2312" w:eastAsia="仿宋_GB2312"/>
          <w:sz w:val="32"/>
          <w:szCs w:val="32"/>
        </w:rPr>
      </w:pPr>
      <w:r>
        <w:rPr>
          <w:rFonts w:ascii="仿宋_GB2312" w:eastAsia="仿宋_GB2312" w:hint="eastAsia"/>
          <w:sz w:val="32"/>
          <w:szCs w:val="32"/>
        </w:rPr>
        <w:t>4.指导和组织全县区域经济合作工作。负责国内外友好城市的缔结、联络和大竹方的日常工作。</w:t>
      </w:r>
    </w:p>
    <w:p w:rsidR="00BB2F55" w:rsidRDefault="002E0451">
      <w:pPr>
        <w:spacing w:line="540" w:lineRule="exact"/>
        <w:ind w:firstLineChars="200" w:firstLine="640"/>
        <w:rPr>
          <w:rFonts w:ascii="仿宋_GB2312" w:eastAsia="仿宋_GB2312"/>
          <w:sz w:val="32"/>
          <w:szCs w:val="32"/>
        </w:rPr>
      </w:pPr>
      <w:r>
        <w:rPr>
          <w:rFonts w:ascii="仿宋_GB2312" w:eastAsia="仿宋_GB2312" w:hint="eastAsia"/>
          <w:sz w:val="32"/>
          <w:szCs w:val="32"/>
        </w:rPr>
        <w:t>5.调查研究、搜集信息、搞好统计，建立和完善招商引资信息网络，提供相关的咨询服务。</w:t>
      </w:r>
    </w:p>
    <w:p w:rsidR="00BB2F55" w:rsidRDefault="002E0451">
      <w:pPr>
        <w:spacing w:line="540" w:lineRule="exact"/>
        <w:ind w:firstLineChars="200" w:firstLine="640"/>
        <w:rPr>
          <w:rFonts w:ascii="仿宋_GB2312" w:eastAsia="仿宋_GB2312"/>
          <w:sz w:val="32"/>
          <w:szCs w:val="32"/>
        </w:rPr>
      </w:pPr>
      <w:r>
        <w:rPr>
          <w:rFonts w:ascii="仿宋_GB2312" w:eastAsia="仿宋_GB2312" w:hint="eastAsia"/>
          <w:sz w:val="32"/>
          <w:szCs w:val="32"/>
        </w:rPr>
        <w:t>6.负责我县企事业单位在外设经济窗口的考察、呈报、联系工作；研究提出加强我县驻外机构管理的有关规定和办法，并组织实施。</w:t>
      </w:r>
    </w:p>
    <w:p w:rsidR="00BB2F55" w:rsidRDefault="002E0451">
      <w:pPr>
        <w:spacing w:line="540" w:lineRule="exact"/>
        <w:ind w:firstLineChars="200" w:firstLine="640"/>
        <w:rPr>
          <w:rFonts w:ascii="仿宋_GB2312" w:eastAsia="仿宋_GB2312"/>
          <w:sz w:val="32"/>
          <w:szCs w:val="32"/>
        </w:rPr>
      </w:pPr>
      <w:r>
        <w:rPr>
          <w:rFonts w:ascii="仿宋_GB2312" w:eastAsia="仿宋_GB2312" w:hint="eastAsia"/>
          <w:sz w:val="32"/>
          <w:szCs w:val="32"/>
        </w:rPr>
        <w:t>7.负责外县（区）政府设置驻我县办事机构的联络、呈报、服务工作；负责县外企事业单位来我县设非经营性机构的联系和服务工作。</w:t>
      </w:r>
    </w:p>
    <w:p w:rsidR="00BB2F55" w:rsidRDefault="002E0451">
      <w:pPr>
        <w:spacing w:line="540" w:lineRule="exact"/>
        <w:ind w:firstLineChars="200" w:firstLine="640"/>
        <w:rPr>
          <w:rFonts w:ascii="仿宋_GB2312" w:eastAsia="仿宋_GB2312"/>
          <w:sz w:val="32"/>
          <w:szCs w:val="32"/>
        </w:rPr>
      </w:pPr>
      <w:r>
        <w:rPr>
          <w:rFonts w:ascii="仿宋_GB2312" w:eastAsia="仿宋_GB2312" w:hint="eastAsia"/>
          <w:sz w:val="32"/>
          <w:szCs w:val="32"/>
        </w:rPr>
        <w:t>8.负责“县政府外商投资服务中心”的日常管理工作；会同有关部门搞好服务中心“一站式”服务；会同有关部门督查投资环境改善的落实情况，并提出相关改进建议；协助解决外来投资企业所反映的问题、意见和合理要求。</w:t>
      </w:r>
    </w:p>
    <w:p w:rsidR="00BB2F55" w:rsidRDefault="002E0451">
      <w:pPr>
        <w:spacing w:line="540" w:lineRule="exact"/>
        <w:ind w:firstLineChars="200" w:firstLine="640"/>
        <w:rPr>
          <w:rFonts w:ascii="仿宋_GB2312" w:eastAsia="仿宋_GB2312"/>
          <w:sz w:val="32"/>
          <w:szCs w:val="32"/>
        </w:rPr>
      </w:pPr>
      <w:r>
        <w:rPr>
          <w:rFonts w:ascii="仿宋_GB2312" w:eastAsia="仿宋_GB2312" w:hint="eastAsia"/>
          <w:sz w:val="32"/>
          <w:szCs w:val="32"/>
        </w:rPr>
        <w:t>9.负责我县外来投资企业协会或商会的联系和服务工作。</w:t>
      </w:r>
    </w:p>
    <w:p w:rsidR="00BB2F55" w:rsidRDefault="002E0451">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10.承办县政府交办的其它事项。</w:t>
      </w:r>
    </w:p>
    <w:p w:rsidR="00BB2F55" w:rsidRDefault="002E0451">
      <w:pPr>
        <w:pStyle w:val="a3"/>
        <w:adjustRightInd w:val="0"/>
        <w:snapToGrid w:val="0"/>
        <w:spacing w:beforeLines="0" w:line="578" w:lineRule="exact"/>
        <w:ind w:firstLineChars="210" w:firstLine="672"/>
        <w:outlineLvl w:val="2"/>
        <w:rPr>
          <w:rFonts w:ascii="Times New Roman" w:eastAsia="黑体"/>
          <w:kern w:val="2"/>
          <w:sz w:val="32"/>
          <w:szCs w:val="32"/>
        </w:rPr>
      </w:pPr>
      <w:bookmarkStart w:id="18" w:name="_Toc15377199"/>
      <w:bookmarkStart w:id="19" w:name="_Toc15378446"/>
      <w:bookmarkEnd w:id="16"/>
      <w:bookmarkEnd w:id="17"/>
      <w:r>
        <w:rPr>
          <w:rFonts w:ascii="Times New Roman" w:eastAsia="黑体" w:hint="eastAsia"/>
          <w:kern w:val="2"/>
          <w:sz w:val="32"/>
          <w:szCs w:val="32"/>
        </w:rPr>
        <w:t>（二）</w:t>
      </w:r>
      <w:r>
        <w:rPr>
          <w:rFonts w:ascii="Times New Roman" w:eastAsia="黑体"/>
          <w:kern w:val="2"/>
          <w:sz w:val="32"/>
          <w:szCs w:val="32"/>
        </w:rPr>
        <w:t>20</w:t>
      </w:r>
      <w:r>
        <w:rPr>
          <w:rFonts w:ascii="Times New Roman" w:eastAsia="黑体" w:hint="eastAsia"/>
          <w:kern w:val="2"/>
          <w:sz w:val="32"/>
          <w:szCs w:val="32"/>
        </w:rPr>
        <w:t>23</w:t>
      </w:r>
      <w:r>
        <w:rPr>
          <w:rFonts w:ascii="Times New Roman" w:eastAsia="黑体" w:hint="eastAsia"/>
          <w:kern w:val="2"/>
          <w:sz w:val="32"/>
          <w:szCs w:val="32"/>
        </w:rPr>
        <w:t>年重点工作完成情况。</w:t>
      </w:r>
      <w:bookmarkEnd w:id="18"/>
      <w:bookmarkEnd w:id="19"/>
    </w:p>
    <w:p w:rsidR="00BB2F55" w:rsidRDefault="002E0451">
      <w:pPr>
        <w:spacing w:line="578" w:lineRule="exact"/>
        <w:ind w:firstLineChars="200" w:firstLine="640"/>
        <w:rPr>
          <w:rFonts w:eastAsia="黑体"/>
          <w:sz w:val="32"/>
          <w:szCs w:val="32"/>
        </w:rPr>
      </w:pPr>
      <w:bookmarkStart w:id="20" w:name="_Toc15396601"/>
      <w:bookmarkStart w:id="21" w:name="_Toc15377200"/>
      <w:r>
        <w:rPr>
          <w:rFonts w:eastAsia="黑体" w:hint="eastAsia"/>
          <w:sz w:val="32"/>
          <w:szCs w:val="32"/>
        </w:rPr>
        <w:t>1.</w:t>
      </w:r>
      <w:r>
        <w:rPr>
          <w:rFonts w:eastAsia="黑体"/>
          <w:sz w:val="32"/>
          <w:szCs w:val="32"/>
        </w:rPr>
        <w:t>20</w:t>
      </w:r>
      <w:r>
        <w:rPr>
          <w:rFonts w:eastAsia="黑体" w:hint="eastAsia"/>
          <w:sz w:val="32"/>
          <w:szCs w:val="32"/>
        </w:rPr>
        <w:t>23</w:t>
      </w:r>
      <w:r>
        <w:rPr>
          <w:rFonts w:eastAsia="黑体"/>
          <w:sz w:val="32"/>
          <w:szCs w:val="32"/>
        </w:rPr>
        <w:t>年目标任务完成情况</w:t>
      </w:r>
    </w:p>
    <w:p w:rsidR="00BB2F55" w:rsidRDefault="002E0451">
      <w:pPr>
        <w:spacing w:line="582" w:lineRule="exact"/>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12</w:t>
      </w:r>
      <w:r>
        <w:rPr>
          <w:rFonts w:eastAsia="仿宋_GB2312" w:hint="eastAsia"/>
          <w:sz w:val="32"/>
          <w:szCs w:val="32"/>
        </w:rPr>
        <w:t>月，全县招商引资到位资金</w:t>
      </w:r>
      <w:r>
        <w:rPr>
          <w:rFonts w:eastAsia="仿宋_GB2312" w:hint="eastAsia"/>
          <w:sz w:val="32"/>
          <w:szCs w:val="32"/>
        </w:rPr>
        <w:t>130.1</w:t>
      </w:r>
      <w:r>
        <w:rPr>
          <w:rFonts w:eastAsia="仿宋_GB2312" w:hint="eastAsia"/>
          <w:sz w:val="32"/>
          <w:szCs w:val="32"/>
        </w:rPr>
        <w:t>亿元，完成目标任务的</w:t>
      </w:r>
      <w:r>
        <w:rPr>
          <w:rFonts w:eastAsia="仿宋_GB2312" w:hint="eastAsia"/>
          <w:sz w:val="32"/>
          <w:szCs w:val="32"/>
        </w:rPr>
        <w:t>108.42%</w:t>
      </w:r>
      <w:r>
        <w:rPr>
          <w:rFonts w:eastAsia="仿宋_GB2312" w:hint="eastAsia"/>
          <w:sz w:val="32"/>
          <w:szCs w:val="32"/>
        </w:rPr>
        <w:t>；省外固定资产投资</w:t>
      </w:r>
      <w:r>
        <w:rPr>
          <w:rFonts w:eastAsia="仿宋_GB2312" w:hint="eastAsia"/>
          <w:sz w:val="32"/>
          <w:szCs w:val="32"/>
        </w:rPr>
        <w:lastRenderedPageBreak/>
        <w:t>101.13</w:t>
      </w:r>
      <w:r>
        <w:rPr>
          <w:rFonts w:eastAsia="仿宋_GB2312" w:hint="eastAsia"/>
          <w:sz w:val="32"/>
          <w:szCs w:val="32"/>
        </w:rPr>
        <w:t>亿元，完成目标任务的</w:t>
      </w:r>
      <w:r>
        <w:rPr>
          <w:rFonts w:eastAsia="仿宋_GB2312" w:hint="eastAsia"/>
          <w:sz w:val="32"/>
          <w:szCs w:val="32"/>
        </w:rPr>
        <w:t>119%</w:t>
      </w:r>
      <w:r>
        <w:rPr>
          <w:rFonts w:eastAsia="仿宋_GB2312" w:hint="eastAsia"/>
          <w:sz w:val="32"/>
          <w:szCs w:val="32"/>
        </w:rPr>
        <w:t>；引进</w:t>
      </w:r>
      <w:r>
        <w:rPr>
          <w:rFonts w:eastAsia="仿宋_GB2312" w:hint="eastAsia"/>
          <w:sz w:val="32"/>
          <w:szCs w:val="32"/>
        </w:rPr>
        <w:t>10</w:t>
      </w:r>
      <w:r>
        <w:rPr>
          <w:rFonts w:eastAsia="仿宋_GB2312" w:hint="eastAsia"/>
          <w:sz w:val="32"/>
          <w:szCs w:val="32"/>
        </w:rPr>
        <w:t>—</w:t>
      </w:r>
      <w:r>
        <w:rPr>
          <w:rFonts w:eastAsia="仿宋_GB2312" w:hint="eastAsia"/>
          <w:sz w:val="32"/>
          <w:szCs w:val="32"/>
        </w:rPr>
        <w:t>30</w:t>
      </w:r>
      <w:r>
        <w:rPr>
          <w:rFonts w:eastAsia="仿宋_GB2312" w:hint="eastAsia"/>
          <w:sz w:val="32"/>
          <w:szCs w:val="32"/>
        </w:rPr>
        <w:t>亿元项目</w:t>
      </w:r>
      <w:r>
        <w:rPr>
          <w:rFonts w:eastAsia="仿宋_GB2312" w:hint="eastAsia"/>
          <w:sz w:val="32"/>
          <w:szCs w:val="32"/>
        </w:rPr>
        <w:t>21</w:t>
      </w:r>
      <w:r>
        <w:rPr>
          <w:rFonts w:eastAsia="仿宋_GB2312" w:hint="eastAsia"/>
          <w:sz w:val="32"/>
          <w:szCs w:val="32"/>
        </w:rPr>
        <w:t>个、</w:t>
      </w:r>
      <w:r>
        <w:rPr>
          <w:rFonts w:eastAsia="仿宋_GB2312" w:hint="eastAsia"/>
          <w:sz w:val="32"/>
          <w:szCs w:val="32"/>
        </w:rPr>
        <w:t>30</w:t>
      </w:r>
      <w:r>
        <w:rPr>
          <w:rFonts w:eastAsia="仿宋_GB2312" w:hint="eastAsia"/>
          <w:sz w:val="32"/>
          <w:szCs w:val="32"/>
        </w:rPr>
        <w:t>—</w:t>
      </w:r>
      <w:r>
        <w:rPr>
          <w:rFonts w:eastAsia="仿宋_GB2312" w:hint="eastAsia"/>
          <w:sz w:val="32"/>
          <w:szCs w:val="32"/>
        </w:rPr>
        <w:t>50</w:t>
      </w:r>
      <w:r>
        <w:rPr>
          <w:rFonts w:eastAsia="仿宋_GB2312" w:hint="eastAsia"/>
          <w:sz w:val="32"/>
          <w:szCs w:val="32"/>
        </w:rPr>
        <w:t>亿元项目</w:t>
      </w:r>
      <w:r>
        <w:rPr>
          <w:rFonts w:eastAsia="仿宋_GB2312" w:hint="eastAsia"/>
          <w:sz w:val="32"/>
          <w:szCs w:val="32"/>
        </w:rPr>
        <w:t>2</w:t>
      </w:r>
      <w:r>
        <w:rPr>
          <w:rFonts w:eastAsia="仿宋_GB2312" w:hint="eastAsia"/>
          <w:sz w:val="32"/>
          <w:szCs w:val="32"/>
        </w:rPr>
        <w:t>个、</w:t>
      </w:r>
      <w:r>
        <w:rPr>
          <w:rFonts w:eastAsia="仿宋_GB2312" w:hint="eastAsia"/>
          <w:sz w:val="32"/>
          <w:szCs w:val="32"/>
        </w:rPr>
        <w:t>50-100</w:t>
      </w:r>
      <w:r>
        <w:rPr>
          <w:rFonts w:eastAsia="仿宋_GB2312" w:hint="eastAsia"/>
          <w:sz w:val="32"/>
          <w:szCs w:val="32"/>
        </w:rPr>
        <w:t>亿项目</w:t>
      </w:r>
      <w:r>
        <w:rPr>
          <w:rFonts w:eastAsia="仿宋_GB2312" w:hint="eastAsia"/>
          <w:sz w:val="32"/>
          <w:szCs w:val="32"/>
        </w:rPr>
        <w:t>1</w:t>
      </w:r>
      <w:r>
        <w:rPr>
          <w:rFonts w:eastAsia="仿宋_GB2312" w:hint="eastAsia"/>
          <w:sz w:val="32"/>
          <w:szCs w:val="32"/>
        </w:rPr>
        <w:t>个，</w:t>
      </w:r>
      <w:r>
        <w:rPr>
          <w:rFonts w:eastAsia="仿宋_GB2312" w:hint="eastAsia"/>
          <w:sz w:val="32"/>
          <w:szCs w:val="32"/>
        </w:rPr>
        <w:t>25</w:t>
      </w:r>
      <w:r>
        <w:rPr>
          <w:rFonts w:eastAsia="仿宋_GB2312" w:hint="eastAsia"/>
          <w:sz w:val="32"/>
          <w:szCs w:val="32"/>
        </w:rPr>
        <w:t>亿元以上项目</w:t>
      </w:r>
      <w:r>
        <w:rPr>
          <w:rFonts w:eastAsia="仿宋_GB2312" w:hint="eastAsia"/>
          <w:sz w:val="32"/>
          <w:szCs w:val="32"/>
        </w:rPr>
        <w:t>15</w:t>
      </w:r>
      <w:r>
        <w:rPr>
          <w:rFonts w:eastAsia="仿宋_GB2312" w:hint="eastAsia"/>
          <w:sz w:val="32"/>
          <w:szCs w:val="32"/>
        </w:rPr>
        <w:t>个；</w:t>
      </w:r>
      <w:r>
        <w:rPr>
          <w:rFonts w:eastAsia="仿宋_GB2312" w:hint="eastAsia"/>
          <w:sz w:val="32"/>
          <w:szCs w:val="32"/>
        </w:rPr>
        <w:t>FDI</w:t>
      </w:r>
      <w:r>
        <w:rPr>
          <w:rFonts w:eastAsia="仿宋_GB2312" w:hint="eastAsia"/>
          <w:sz w:val="32"/>
          <w:szCs w:val="32"/>
        </w:rPr>
        <w:t>到资</w:t>
      </w:r>
      <w:r>
        <w:rPr>
          <w:rFonts w:eastAsia="仿宋_GB2312" w:hint="eastAsia"/>
          <w:sz w:val="32"/>
          <w:szCs w:val="32"/>
        </w:rPr>
        <w:t>10</w:t>
      </w:r>
      <w:r>
        <w:rPr>
          <w:rFonts w:eastAsia="仿宋_GB2312" w:hint="eastAsia"/>
          <w:sz w:val="32"/>
          <w:szCs w:val="32"/>
        </w:rPr>
        <w:t>万港币，新注册成立外资公司</w:t>
      </w:r>
      <w:r>
        <w:rPr>
          <w:rFonts w:eastAsia="仿宋_GB2312" w:hint="eastAsia"/>
          <w:sz w:val="32"/>
          <w:szCs w:val="32"/>
        </w:rPr>
        <w:t>1</w:t>
      </w:r>
      <w:r>
        <w:rPr>
          <w:rFonts w:eastAsia="仿宋_GB2312" w:hint="eastAsia"/>
          <w:sz w:val="32"/>
          <w:szCs w:val="32"/>
        </w:rPr>
        <w:t>家。</w:t>
      </w:r>
      <w:r>
        <w:rPr>
          <w:rFonts w:eastAsia="仿宋_GB2312" w:hint="eastAsia"/>
          <w:sz w:val="32"/>
          <w:szCs w:val="32"/>
        </w:rPr>
        <w:t>2023</w:t>
      </w:r>
      <w:r>
        <w:rPr>
          <w:rFonts w:eastAsia="仿宋_GB2312" w:hint="eastAsia"/>
          <w:sz w:val="32"/>
          <w:szCs w:val="32"/>
        </w:rPr>
        <w:t>年督办项目综合“三率”（履约率、开工率、投产率）分别达到</w:t>
      </w:r>
      <w:r>
        <w:rPr>
          <w:rFonts w:eastAsia="仿宋_GB2312" w:hint="eastAsia"/>
          <w:sz w:val="32"/>
          <w:szCs w:val="32"/>
        </w:rPr>
        <w:t>93.33%</w:t>
      </w:r>
      <w:r>
        <w:rPr>
          <w:rFonts w:eastAsia="仿宋_GB2312" w:hint="eastAsia"/>
          <w:sz w:val="32"/>
          <w:szCs w:val="32"/>
        </w:rPr>
        <w:t>、</w:t>
      </w:r>
      <w:r>
        <w:rPr>
          <w:rFonts w:eastAsia="仿宋_GB2312" w:hint="eastAsia"/>
          <w:sz w:val="32"/>
          <w:szCs w:val="32"/>
        </w:rPr>
        <w:t>80%</w:t>
      </w:r>
      <w:r>
        <w:rPr>
          <w:rFonts w:eastAsia="仿宋_GB2312" w:hint="eastAsia"/>
          <w:sz w:val="32"/>
          <w:szCs w:val="32"/>
        </w:rPr>
        <w:t>、</w:t>
      </w:r>
      <w:r>
        <w:rPr>
          <w:rFonts w:eastAsia="仿宋_GB2312" w:hint="eastAsia"/>
          <w:sz w:val="32"/>
          <w:szCs w:val="32"/>
        </w:rPr>
        <w:t>53.33%</w:t>
      </w:r>
      <w:r>
        <w:rPr>
          <w:rFonts w:eastAsia="仿宋_GB2312" w:hint="eastAsia"/>
          <w:sz w:val="32"/>
          <w:szCs w:val="32"/>
        </w:rPr>
        <w:t>。获评省外产业项目新增实际投资先进单位、全市招商引资工作先进集体，</w:t>
      </w:r>
      <w:r>
        <w:rPr>
          <w:rFonts w:eastAsia="仿宋_GB2312" w:hint="eastAsia"/>
          <w:sz w:val="32"/>
          <w:szCs w:val="32"/>
        </w:rPr>
        <w:t>4</w:t>
      </w:r>
      <w:r>
        <w:rPr>
          <w:rFonts w:eastAsia="仿宋_GB2312" w:hint="eastAsia"/>
          <w:sz w:val="32"/>
          <w:szCs w:val="32"/>
        </w:rPr>
        <w:t>次荣获市对县招商引资月度考核第一名。成功签约引进单晶硅新能源电池、悦迪（雅迪）大竹高新技术产业园、鹤明宏华全产业链建设、中农储</w:t>
      </w:r>
      <w:r>
        <w:rPr>
          <w:rFonts w:ascii="宋体" w:hAnsi="宋体" w:cs="宋体" w:hint="eastAsia"/>
          <w:sz w:val="32"/>
          <w:szCs w:val="32"/>
        </w:rPr>
        <w:t>•</w:t>
      </w:r>
      <w:r>
        <w:rPr>
          <w:rFonts w:ascii="仿宋_GB2312" w:eastAsia="仿宋_GB2312" w:hAnsi="仿宋_GB2312" w:cs="仿宋_GB2312" w:hint="eastAsia"/>
          <w:sz w:val="32"/>
          <w:szCs w:val="32"/>
        </w:rPr>
        <w:t>川东国际农贸城等项目。</w:t>
      </w:r>
    </w:p>
    <w:p w:rsidR="00BB2F55" w:rsidRDefault="002E0451">
      <w:pPr>
        <w:spacing w:line="582" w:lineRule="exact"/>
        <w:ind w:firstLineChars="200" w:firstLine="640"/>
        <w:rPr>
          <w:rFonts w:eastAsia="仿宋_GB2312"/>
          <w:sz w:val="32"/>
          <w:szCs w:val="32"/>
        </w:rPr>
      </w:pPr>
      <w:r>
        <w:rPr>
          <w:rFonts w:eastAsia="楷体_GB2312" w:hint="eastAsia"/>
          <w:sz w:val="32"/>
          <w:szCs w:val="32"/>
        </w:rPr>
        <w:t>2</w:t>
      </w:r>
      <w:r>
        <w:rPr>
          <w:rFonts w:eastAsia="楷体_GB2312" w:hint="eastAsia"/>
          <w:sz w:val="32"/>
          <w:szCs w:val="32"/>
        </w:rPr>
        <w:t>、</w:t>
      </w:r>
      <w:r>
        <w:rPr>
          <w:rFonts w:eastAsia="楷体_GB2312"/>
          <w:sz w:val="32"/>
          <w:szCs w:val="32"/>
        </w:rPr>
        <w:t>主要工作举措。</w:t>
      </w:r>
      <w:r>
        <w:rPr>
          <w:rFonts w:eastAsia="仿宋_GB2312"/>
          <w:b/>
          <w:bCs/>
          <w:sz w:val="32"/>
          <w:szCs w:val="32"/>
        </w:rPr>
        <w:t>一是创新工作机制。</w:t>
      </w:r>
      <w:r>
        <w:rPr>
          <w:rFonts w:eastAsia="仿宋_GB2312"/>
          <w:sz w:val="32"/>
          <w:szCs w:val="32"/>
        </w:rPr>
        <w:t>坚持</w:t>
      </w:r>
      <w:r>
        <w:rPr>
          <w:rFonts w:eastAsia="仿宋_GB2312"/>
          <w:sz w:val="32"/>
          <w:szCs w:val="32"/>
        </w:rPr>
        <w:t>“</w:t>
      </w:r>
      <w:r>
        <w:rPr>
          <w:rFonts w:eastAsia="仿宋_GB2312"/>
          <w:sz w:val="32"/>
          <w:szCs w:val="32"/>
        </w:rPr>
        <w:t>聚力招大引强、推进开放合作</w:t>
      </w:r>
      <w:r>
        <w:rPr>
          <w:rFonts w:eastAsia="仿宋_GB2312"/>
          <w:sz w:val="32"/>
          <w:szCs w:val="32"/>
        </w:rPr>
        <w:t>”</w:t>
      </w:r>
      <w:r>
        <w:rPr>
          <w:rFonts w:eastAsia="仿宋_GB2312"/>
          <w:sz w:val="32"/>
          <w:szCs w:val="32"/>
        </w:rPr>
        <w:t>，高标准筹备召开对外开放大会。创新</w:t>
      </w:r>
      <w:r>
        <w:rPr>
          <w:rFonts w:eastAsia="仿宋_GB2312"/>
          <w:sz w:val="32"/>
          <w:szCs w:val="32"/>
        </w:rPr>
        <w:t>“1135”</w:t>
      </w:r>
      <w:r>
        <w:rPr>
          <w:rFonts w:eastAsia="仿宋_GB2312"/>
          <w:sz w:val="32"/>
          <w:szCs w:val="32"/>
        </w:rPr>
        <w:t>招商机制，成立重大招商引资项目推进工作组，持续完善</w:t>
      </w:r>
      <w:r>
        <w:rPr>
          <w:rFonts w:eastAsia="仿宋_GB2312"/>
          <w:sz w:val="32"/>
          <w:szCs w:val="32"/>
        </w:rPr>
        <w:t>“</w:t>
      </w:r>
      <w:r>
        <w:rPr>
          <w:rFonts w:eastAsia="仿宋_GB2312"/>
          <w:sz w:val="32"/>
          <w:szCs w:val="32"/>
        </w:rPr>
        <w:t>链长制</w:t>
      </w:r>
      <w:r>
        <w:rPr>
          <w:rFonts w:eastAsia="仿宋_GB2312"/>
          <w:sz w:val="32"/>
          <w:szCs w:val="32"/>
        </w:rPr>
        <w:t>”</w:t>
      </w:r>
      <w:r>
        <w:rPr>
          <w:rFonts w:eastAsia="仿宋_GB2312"/>
          <w:sz w:val="32"/>
          <w:szCs w:val="32"/>
        </w:rPr>
        <w:t>招商、驻点招商、以商招商，不断凝聚招商合力。</w:t>
      </w:r>
      <w:r>
        <w:rPr>
          <w:rFonts w:eastAsia="仿宋_GB2312"/>
          <w:b/>
          <w:bCs/>
          <w:sz w:val="32"/>
          <w:szCs w:val="32"/>
        </w:rPr>
        <w:t>二是坚持高位推动。</w:t>
      </w:r>
      <w:r>
        <w:rPr>
          <w:rFonts w:eastAsia="仿宋_GB2312"/>
          <w:sz w:val="32"/>
          <w:szCs w:val="32"/>
        </w:rPr>
        <w:t>落实县委常委会每月听取招商引资工作汇报制度，定期组织召开项目会商会。组织县委、县政府主要领导外出招商</w:t>
      </w:r>
      <w:r>
        <w:rPr>
          <w:rFonts w:eastAsia="仿宋_GB2312"/>
          <w:sz w:val="32"/>
          <w:szCs w:val="32"/>
        </w:rPr>
        <w:t>18</w:t>
      </w:r>
      <w:r>
        <w:rPr>
          <w:rFonts w:eastAsia="仿宋_GB2312"/>
          <w:sz w:val="32"/>
          <w:szCs w:val="32"/>
        </w:rPr>
        <w:t>次，深度对接洽谈单晶硅新能源电池、理文造纸、竹缠绕加工、鹤明宏华全产业链建设等重大项目，全力推动项目落地。</w:t>
      </w:r>
      <w:r>
        <w:rPr>
          <w:rFonts w:eastAsia="仿宋_GB2312"/>
          <w:b/>
          <w:bCs/>
          <w:sz w:val="32"/>
          <w:szCs w:val="32"/>
        </w:rPr>
        <w:t>三是做好宣传推介。</w:t>
      </w:r>
      <w:r>
        <w:rPr>
          <w:rFonts w:eastAsia="仿宋_GB2312"/>
          <w:sz w:val="32"/>
          <w:szCs w:val="32"/>
        </w:rPr>
        <w:t>举办</w:t>
      </w:r>
      <w:r>
        <w:rPr>
          <w:rFonts w:eastAsia="仿宋_GB2312"/>
          <w:sz w:val="32"/>
          <w:szCs w:val="32"/>
        </w:rPr>
        <w:t>2023</w:t>
      </w:r>
      <w:r>
        <w:rPr>
          <w:rFonts w:eastAsia="仿宋_GB2312"/>
          <w:sz w:val="32"/>
          <w:szCs w:val="32"/>
        </w:rPr>
        <w:t>年达州市重大招商引资项目现场推进活动、达州市招商引资推介会暨合作项目签约仪式大竹县专场，用好西博会、西洽会、中外知名企业四川行等重大投资促进活动平台，全方位宣传推介大竹，拓展对外合作空间。</w:t>
      </w:r>
      <w:r>
        <w:rPr>
          <w:rFonts w:eastAsia="仿宋_GB2312"/>
          <w:b/>
          <w:bCs/>
          <w:sz w:val="32"/>
          <w:szCs w:val="32"/>
        </w:rPr>
        <w:t>四是落实政策保障。</w:t>
      </w:r>
      <w:r>
        <w:rPr>
          <w:rFonts w:eastAsia="仿宋_GB2312"/>
          <w:sz w:val="32"/>
          <w:szCs w:val="32"/>
        </w:rPr>
        <w:t>及时更新《大竹县加快电子信息产业</w:t>
      </w:r>
      <w:r>
        <w:rPr>
          <w:rFonts w:eastAsia="仿宋_GB2312"/>
          <w:sz w:val="32"/>
          <w:szCs w:val="32"/>
        </w:rPr>
        <w:lastRenderedPageBreak/>
        <w:t>发展的十五条措施》《大竹县支持智能装备制造产业发展的十三条措施》《大竹县支持轻纺鞋服产业发展十二条措施》等优惠政策，加强沟通协调，强化要素保障，推动项目引得进、做得强。</w:t>
      </w:r>
      <w:r>
        <w:rPr>
          <w:rFonts w:eastAsia="仿宋_GB2312"/>
          <w:b/>
          <w:bCs/>
          <w:sz w:val="32"/>
          <w:szCs w:val="32"/>
        </w:rPr>
        <w:t>五是抓好月度考核。</w:t>
      </w:r>
      <w:r>
        <w:rPr>
          <w:rFonts w:eastAsia="仿宋_GB2312"/>
          <w:sz w:val="32"/>
          <w:szCs w:val="32"/>
        </w:rPr>
        <w:t>坚持在项目储备、资料审核、向上汇报上下功夫、出实效，抓好市对县招商引资月度考核工作。按要求做好县内招商引资月度考核，收集商情商源信息、激发全员招商活力，为开展外出招商、对接洽谈项目、推动项目落地打牢基础。</w:t>
      </w:r>
    </w:p>
    <w:p w:rsidR="00BB2F55" w:rsidRDefault="002E0451">
      <w:pPr>
        <w:spacing w:line="578" w:lineRule="exact"/>
        <w:ind w:firstLineChars="200" w:firstLine="640"/>
        <w:rPr>
          <w:rFonts w:eastAsia="黑体"/>
          <w:sz w:val="32"/>
          <w:szCs w:val="32"/>
        </w:rPr>
      </w:pPr>
      <w:r>
        <w:rPr>
          <w:rFonts w:eastAsia="黑体" w:hint="eastAsia"/>
          <w:sz w:val="32"/>
          <w:szCs w:val="32"/>
        </w:rPr>
        <w:t>3.</w:t>
      </w:r>
      <w:r>
        <w:rPr>
          <w:rFonts w:eastAsia="黑体" w:hint="eastAsia"/>
          <w:sz w:val="32"/>
          <w:szCs w:val="32"/>
        </w:rPr>
        <w:t>下一步工作打算</w:t>
      </w:r>
    </w:p>
    <w:p w:rsidR="00BB2F55" w:rsidRDefault="002E0451">
      <w:pPr>
        <w:spacing w:line="582" w:lineRule="exact"/>
        <w:ind w:firstLineChars="200" w:firstLine="640"/>
        <w:rPr>
          <w:rFonts w:eastAsia="仿宋_GB2312"/>
          <w:sz w:val="32"/>
          <w:szCs w:val="32"/>
        </w:rPr>
      </w:pPr>
      <w:r>
        <w:rPr>
          <w:rFonts w:eastAsia="楷体_GB2312"/>
          <w:sz w:val="32"/>
          <w:szCs w:val="32"/>
        </w:rPr>
        <w:t>（一）统筹联动，整合招商力量。</w:t>
      </w:r>
      <w:r>
        <w:rPr>
          <w:rFonts w:eastAsia="仿宋_GB2312"/>
          <w:b/>
          <w:bCs/>
          <w:sz w:val="32"/>
          <w:szCs w:val="32"/>
        </w:rPr>
        <w:t>一是统筹商会助力。</w:t>
      </w:r>
      <w:r>
        <w:rPr>
          <w:rFonts w:eastAsia="仿宋_GB2312"/>
          <w:sz w:val="32"/>
          <w:szCs w:val="32"/>
        </w:rPr>
        <w:t>发挥商会、智力支乡联谊会作用，通过统筹本地与异地，充分发挥商会在对外交流、开放合作中的桥梁纽带作用。</w:t>
      </w:r>
      <w:r>
        <w:rPr>
          <w:rFonts w:eastAsia="仿宋_GB2312"/>
          <w:b/>
          <w:bCs/>
          <w:sz w:val="32"/>
          <w:szCs w:val="32"/>
        </w:rPr>
        <w:t>二是统筹平台借力。</w:t>
      </w:r>
      <w:r>
        <w:rPr>
          <w:rFonts w:eastAsia="仿宋_GB2312"/>
          <w:sz w:val="32"/>
          <w:szCs w:val="32"/>
        </w:rPr>
        <w:t>利用西博会、西洽会、中外知名企业四川行等专业平台，探索线上招商、平台招商等形式，通过统筹传统与新兴，充分发挥平台在宣传推介、项目招引中的示范带动作用。</w:t>
      </w:r>
      <w:r>
        <w:rPr>
          <w:rFonts w:eastAsia="仿宋_GB2312"/>
          <w:b/>
          <w:bCs/>
          <w:sz w:val="32"/>
          <w:szCs w:val="32"/>
        </w:rPr>
        <w:t>三是统筹部门合力。</w:t>
      </w:r>
      <w:r>
        <w:rPr>
          <w:rFonts w:eastAsia="仿宋_GB2312"/>
          <w:sz w:val="32"/>
          <w:szCs w:val="32"/>
        </w:rPr>
        <w:t>加强与各部门间联动配合，通过统筹分工与合作，充分发挥部门在项目对接、签约落地中的服务保障作用。</w:t>
      </w:r>
    </w:p>
    <w:p w:rsidR="00BB2F55" w:rsidRDefault="002E0451">
      <w:pPr>
        <w:spacing w:line="582" w:lineRule="exact"/>
        <w:ind w:firstLine="640"/>
        <w:rPr>
          <w:rFonts w:eastAsia="仿宋_GB2312"/>
          <w:sz w:val="32"/>
          <w:szCs w:val="32"/>
        </w:rPr>
      </w:pPr>
      <w:r>
        <w:rPr>
          <w:rFonts w:eastAsia="楷体_GB2312"/>
          <w:sz w:val="32"/>
          <w:szCs w:val="32"/>
        </w:rPr>
        <w:t>（二）聚焦重点，攻坚项目招引。</w:t>
      </w:r>
      <w:r>
        <w:rPr>
          <w:rFonts w:eastAsia="仿宋_GB2312"/>
          <w:b/>
          <w:bCs/>
          <w:sz w:val="32"/>
          <w:szCs w:val="32"/>
        </w:rPr>
        <w:t>一是聚焦主导产业。</w:t>
      </w:r>
      <w:r>
        <w:rPr>
          <w:rFonts w:eastAsia="仿宋_GB2312"/>
          <w:sz w:val="32"/>
          <w:szCs w:val="32"/>
        </w:rPr>
        <w:t>围绕</w:t>
      </w:r>
      <w:r>
        <w:rPr>
          <w:rFonts w:eastAsia="仿宋_GB2312"/>
          <w:sz w:val="32"/>
          <w:szCs w:val="32"/>
        </w:rPr>
        <w:t>“1+2+N”</w:t>
      </w:r>
      <w:r>
        <w:rPr>
          <w:rFonts w:eastAsia="仿宋_GB2312"/>
          <w:sz w:val="32"/>
          <w:szCs w:val="32"/>
        </w:rPr>
        <w:t>重点产业，聚力招引产业引领型、配套补链型、税收贡献型企业，抓实补链、延链、强链等环节，力争在产业集群上实现新突破。</w:t>
      </w:r>
      <w:r>
        <w:rPr>
          <w:rFonts w:eastAsia="仿宋_GB2312"/>
          <w:b/>
          <w:bCs/>
          <w:sz w:val="32"/>
          <w:szCs w:val="32"/>
        </w:rPr>
        <w:t>二是聚焦延链配套。</w:t>
      </w:r>
      <w:r>
        <w:rPr>
          <w:rFonts w:eastAsia="仿宋_GB2312"/>
          <w:sz w:val="32"/>
          <w:szCs w:val="32"/>
        </w:rPr>
        <w:t>支持已落地龙头企业上下游配套企业引进，深化企业上下游、企业间、企地间合</w:t>
      </w:r>
      <w:r>
        <w:rPr>
          <w:rFonts w:eastAsia="仿宋_GB2312"/>
          <w:sz w:val="32"/>
          <w:szCs w:val="32"/>
        </w:rPr>
        <w:lastRenderedPageBreak/>
        <w:t>作，形成产业聚合优势，促进全产业链顺畅运转。</w:t>
      </w:r>
      <w:r>
        <w:rPr>
          <w:rFonts w:eastAsia="仿宋_GB2312"/>
          <w:b/>
          <w:bCs/>
          <w:sz w:val="32"/>
          <w:szCs w:val="32"/>
        </w:rPr>
        <w:t>三是聚焦行业龙头。</w:t>
      </w:r>
      <w:r>
        <w:rPr>
          <w:rFonts w:eastAsia="仿宋_GB2312"/>
          <w:sz w:val="32"/>
          <w:szCs w:val="32"/>
        </w:rPr>
        <w:t>加大力度对接</w:t>
      </w:r>
      <w:r>
        <w:rPr>
          <w:rFonts w:eastAsia="仿宋_GB2312"/>
          <w:sz w:val="32"/>
          <w:szCs w:val="32"/>
        </w:rPr>
        <w:t>“</w:t>
      </w:r>
      <w:r>
        <w:rPr>
          <w:rFonts w:eastAsia="仿宋_GB2312"/>
          <w:sz w:val="32"/>
          <w:szCs w:val="32"/>
        </w:rPr>
        <w:t>三类</w:t>
      </w:r>
      <w:r>
        <w:rPr>
          <w:rFonts w:eastAsia="仿宋_GB2312"/>
          <w:sz w:val="32"/>
          <w:szCs w:val="32"/>
        </w:rPr>
        <w:t>500</w:t>
      </w:r>
      <w:r>
        <w:rPr>
          <w:rFonts w:eastAsia="仿宋_GB2312"/>
          <w:sz w:val="32"/>
          <w:szCs w:val="32"/>
        </w:rPr>
        <w:t>强</w:t>
      </w:r>
      <w:r>
        <w:rPr>
          <w:rFonts w:eastAsia="仿宋_GB2312"/>
          <w:sz w:val="32"/>
          <w:szCs w:val="32"/>
        </w:rPr>
        <w:t>”</w:t>
      </w:r>
      <w:r>
        <w:rPr>
          <w:rFonts w:eastAsia="仿宋_GB2312"/>
          <w:sz w:val="32"/>
          <w:szCs w:val="32"/>
        </w:rPr>
        <w:t>、上市公司、隐形冠军等优质企业，持续发力百亿级项目对接，全力推动项目签约落地，力争实现引进一个企业带动一个产业发展的局面</w:t>
      </w:r>
      <w:r>
        <w:rPr>
          <w:rFonts w:eastAsia="仿宋_GB2312" w:hint="eastAsia"/>
          <w:sz w:val="32"/>
          <w:szCs w:val="32"/>
        </w:rPr>
        <w:t>。</w:t>
      </w:r>
    </w:p>
    <w:bookmarkEnd w:id="20"/>
    <w:bookmarkEnd w:id="21"/>
    <w:p w:rsidR="00BB2F55" w:rsidRDefault="002E0451">
      <w:pPr>
        <w:spacing w:line="560" w:lineRule="exact"/>
        <w:ind w:firstLineChars="200" w:firstLine="640"/>
        <w:rPr>
          <w:rFonts w:eastAsia="黑体"/>
          <w:sz w:val="32"/>
          <w:szCs w:val="32"/>
        </w:rPr>
      </w:pPr>
      <w:r>
        <w:rPr>
          <w:rFonts w:ascii="黑体" w:eastAsia="黑体" w:hAnsi="黑体" w:hint="eastAsia"/>
          <w:sz w:val="32"/>
          <w:szCs w:val="32"/>
        </w:rPr>
        <w:t>二、</w:t>
      </w:r>
      <w:r>
        <w:rPr>
          <w:rFonts w:eastAsia="黑体" w:hint="eastAsia"/>
          <w:sz w:val="32"/>
          <w:szCs w:val="32"/>
        </w:rPr>
        <w:t>机构设置</w:t>
      </w:r>
    </w:p>
    <w:p w:rsidR="00BB2F55" w:rsidRDefault="002E0451">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1．我中心是全额拨款的参照公务员管理事业单位，下设投资促进联系服务中心，执行事业单位会计制度，单位参公管理编制15人，事业编制26人。</w:t>
      </w:r>
    </w:p>
    <w:p w:rsidR="00BB2F55" w:rsidRDefault="002E0451">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2．人员情况，包括当年变动情况及原因。</w:t>
      </w:r>
    </w:p>
    <w:p w:rsidR="00372A58" w:rsidRDefault="002E0451" w:rsidP="00372A5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2023年末职工人数41人，其中在职35人，退休6人。较2022年在职人员调入8人。</w:t>
      </w:r>
      <w:bookmarkStart w:id="22" w:name="_Toc15396602"/>
      <w:bookmarkStart w:id="23" w:name="_Toc15377204"/>
    </w:p>
    <w:p w:rsidR="00C10541" w:rsidRDefault="00C10541" w:rsidP="00372A58">
      <w:pPr>
        <w:snapToGrid w:val="0"/>
        <w:spacing w:line="520" w:lineRule="exact"/>
        <w:ind w:firstLineChars="200" w:firstLine="640"/>
        <w:rPr>
          <w:rFonts w:ascii="仿宋_GB2312" w:eastAsia="仿宋_GB2312" w:hAnsi="仿宋"/>
          <w:sz w:val="32"/>
          <w:szCs w:val="32"/>
        </w:rPr>
      </w:pPr>
    </w:p>
    <w:p w:rsidR="00C10541" w:rsidRDefault="00C10541" w:rsidP="00372A58">
      <w:pPr>
        <w:snapToGrid w:val="0"/>
        <w:spacing w:line="520" w:lineRule="exact"/>
        <w:ind w:firstLineChars="200" w:firstLine="640"/>
        <w:rPr>
          <w:rFonts w:ascii="仿宋_GB2312" w:eastAsia="仿宋_GB2312" w:hAnsi="仿宋"/>
          <w:sz w:val="32"/>
          <w:szCs w:val="32"/>
        </w:rPr>
      </w:pPr>
    </w:p>
    <w:p w:rsidR="00BB2F55" w:rsidRPr="00C10541" w:rsidRDefault="002E0451" w:rsidP="00C10541">
      <w:pPr>
        <w:snapToGrid w:val="0"/>
        <w:spacing w:line="520" w:lineRule="exact"/>
        <w:ind w:firstLineChars="200" w:firstLine="880"/>
        <w:rPr>
          <w:rStyle w:val="1Char"/>
          <w:rFonts w:ascii="黑体" w:eastAsia="黑体" w:hAnsi="黑体"/>
          <w:b w:val="0"/>
        </w:rPr>
      </w:pPr>
      <w:r w:rsidRPr="00C10541">
        <w:rPr>
          <w:rStyle w:val="1Char"/>
          <w:rFonts w:ascii="黑体" w:eastAsia="黑体" w:hAnsi="黑体" w:hint="eastAsia"/>
          <w:b w:val="0"/>
        </w:rPr>
        <w:t>第二部分2023年度部门决算情况说明</w:t>
      </w:r>
      <w:bookmarkEnd w:id="22"/>
      <w:bookmarkEnd w:id="23"/>
    </w:p>
    <w:p w:rsidR="00BB2F55" w:rsidRDefault="002E0451">
      <w:pPr>
        <w:pStyle w:val="11"/>
        <w:snapToGrid w:val="0"/>
        <w:spacing w:line="560" w:lineRule="exact"/>
        <w:ind w:firstLineChars="0" w:firstLine="0"/>
        <w:outlineLvl w:val="1"/>
        <w:rPr>
          <w:rStyle w:val="2Char"/>
          <w:rFonts w:ascii="黑体" w:eastAsia="黑体" w:hAnsi="黑体"/>
          <w:b w:val="0"/>
        </w:rPr>
      </w:pPr>
      <w:bookmarkStart w:id="24" w:name="_Toc15377205"/>
      <w:bookmarkStart w:id="25" w:name="_Toc15396603"/>
      <w:r>
        <w:rPr>
          <w:rFonts w:ascii="黑体" w:eastAsia="黑体" w:hAnsi="黑体" w:hint="eastAsia"/>
          <w:sz w:val="32"/>
          <w:szCs w:val="32"/>
        </w:rPr>
        <w:t>一、收</w:t>
      </w:r>
      <w:r>
        <w:rPr>
          <w:rStyle w:val="2Char"/>
          <w:rFonts w:ascii="黑体" w:eastAsia="黑体" w:hAnsi="黑体" w:hint="eastAsia"/>
          <w:b w:val="0"/>
        </w:rPr>
        <w:t>入支出决算总体情况说明</w:t>
      </w:r>
      <w:bookmarkEnd w:id="24"/>
      <w:bookmarkEnd w:id="25"/>
    </w:p>
    <w:p w:rsidR="00BB2F55" w:rsidRDefault="002E0451" w:rsidP="00E90D5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2023年度投资促进服务中心收入共计1,289.56万元，较去年收入699.47万元增加590.09万元，增加84.36%。具体增加财政拨款收入主要原因是</w:t>
      </w:r>
      <w:r>
        <w:rPr>
          <w:rFonts w:eastAsia="仿宋_GB2312" w:hint="eastAsia"/>
          <w:sz w:val="32"/>
          <w:szCs w:val="32"/>
        </w:rPr>
        <w:t>：</w:t>
      </w:r>
      <w:r>
        <w:rPr>
          <w:rFonts w:ascii="仿宋_GB2312" w:eastAsia="仿宋_GB2312" w:hAnsi="仿宋" w:hint="eastAsia"/>
          <w:sz w:val="32"/>
          <w:szCs w:val="32"/>
        </w:rPr>
        <w:t>人员增加8人及新增5个外派驻点工作组和今年的招商市对县考核招商任务重，增加招商力度，招商经费相应增加导致。</w:t>
      </w:r>
    </w:p>
    <w:p w:rsidR="00BB2F55" w:rsidRDefault="00C10541" w:rsidP="00372A58">
      <w:pPr>
        <w:ind w:firstLineChars="200" w:firstLine="640"/>
        <w:rPr>
          <w:rFonts w:ascii="宋体" w:hAnsi="宋体" w:cs="宋体"/>
          <w:kern w:val="0"/>
          <w:sz w:val="22"/>
          <w:szCs w:val="22"/>
        </w:rPr>
      </w:pPr>
      <w:r>
        <w:rPr>
          <w:rFonts w:ascii="仿宋_GB2312" w:eastAsia="仿宋_GB2312" w:hAnsi="仿宋" w:hint="eastAsia"/>
          <w:noProof/>
          <w:sz w:val="32"/>
          <w:szCs w:val="32"/>
        </w:rPr>
        <w:lastRenderedPageBreak/>
        <w:drawing>
          <wp:anchor distT="0" distB="0" distL="114300" distR="114300" simplePos="0" relativeHeight="251666432" behindDoc="0" locked="0" layoutInCell="1" allowOverlap="1">
            <wp:simplePos x="0" y="0"/>
            <wp:positionH relativeFrom="column">
              <wp:posOffset>85725</wp:posOffset>
            </wp:positionH>
            <wp:positionV relativeFrom="page">
              <wp:posOffset>5412740</wp:posOffset>
            </wp:positionV>
            <wp:extent cx="5127625" cy="2421255"/>
            <wp:effectExtent l="0" t="0" r="0" b="0"/>
            <wp:wrapSquare wrapText="bothSides"/>
            <wp:docPr id="3"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E0451">
        <w:rPr>
          <w:rFonts w:ascii="仿宋_GB2312" w:eastAsia="仿宋_GB2312" w:hAnsi="仿宋" w:hint="eastAsia"/>
          <w:sz w:val="32"/>
          <w:szCs w:val="32"/>
        </w:rPr>
        <w:t>2023年度投资促进服务中心共支出1,303.41万元 ，较去年支出742.37万元增加561.04万元，增加75.57%。具体主要原因是：支出增加是因为人员增加8人及新增5个外派驻点工作组和今年的招商市对县考核招商任务重，增加招商力度，招商经费相应增加。</w:t>
      </w:r>
    </w:p>
    <w:p w:rsidR="00372A58" w:rsidRDefault="002E0451" w:rsidP="00372A5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（图1：收、支决算总体情况图）（柱状图）</w:t>
      </w:r>
    </w:p>
    <w:p w:rsidR="00372A58" w:rsidRDefault="002E0451" w:rsidP="00E90D58">
      <w:pPr>
        <w:pStyle w:val="11"/>
        <w:spacing w:line="578" w:lineRule="exact"/>
        <w:ind w:firstLineChars="0" w:firstLine="0"/>
        <w:outlineLvl w:val="1"/>
        <w:rPr>
          <w:rStyle w:val="2Char"/>
          <w:rFonts w:ascii="黑体" w:eastAsia="黑体" w:hAnsi="黑体"/>
          <w:b w:val="0"/>
        </w:rPr>
      </w:pPr>
      <w:bookmarkStart w:id="26" w:name="_Toc15396604"/>
      <w:bookmarkStart w:id="27" w:name="_Toc15377206"/>
      <w:r>
        <w:rPr>
          <w:rFonts w:ascii="黑体" w:eastAsia="黑体" w:hAnsi="黑体" w:hint="eastAsia"/>
          <w:sz w:val="32"/>
          <w:szCs w:val="32"/>
        </w:rPr>
        <w:t>二、收</w:t>
      </w:r>
      <w:r>
        <w:rPr>
          <w:rStyle w:val="2Char"/>
          <w:rFonts w:ascii="黑体" w:eastAsia="黑体" w:hAnsi="黑体" w:hint="eastAsia"/>
          <w:b w:val="0"/>
        </w:rPr>
        <w:t>入决算情况说</w:t>
      </w:r>
      <w:bookmarkStart w:id="28" w:name="_GoBack"/>
      <w:bookmarkEnd w:id="28"/>
      <w:r>
        <w:rPr>
          <w:rStyle w:val="2Char"/>
          <w:rFonts w:ascii="黑体" w:eastAsia="黑体" w:hAnsi="黑体" w:hint="eastAsia"/>
          <w:b w:val="0"/>
        </w:rPr>
        <w:t>明</w:t>
      </w:r>
      <w:bookmarkEnd w:id="26"/>
      <w:bookmarkEnd w:id="27"/>
    </w:p>
    <w:p w:rsidR="00BB2F55" w:rsidRDefault="002E0451" w:rsidP="00372A58">
      <w:pPr>
        <w:pStyle w:val="11"/>
        <w:spacing w:line="578" w:lineRule="exact"/>
        <w:ind w:firstLine="640"/>
        <w:outlineLvl w:val="1"/>
        <w:rPr>
          <w:rFonts w:ascii="黑体" w:eastAsia="黑体" w:hAnsi="黑体" w:cstheme="majorBidi"/>
          <w:bCs/>
          <w:sz w:val="32"/>
          <w:szCs w:val="32"/>
        </w:rPr>
      </w:pPr>
      <w:r>
        <w:rPr>
          <w:rFonts w:ascii="仿宋_GB2312" w:eastAsia="仿宋_GB2312" w:hAnsi="仿宋_GB2312" w:cs="仿宋_GB2312" w:hint="eastAsia"/>
          <w:sz w:val="32"/>
          <w:szCs w:val="32"/>
        </w:rPr>
        <w:t>202</w:t>
      </w:r>
      <w:r w:rsidR="00C10541">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年本年收入合计</w:t>
      </w:r>
      <w:r w:rsidR="00C10541">
        <w:rPr>
          <w:rFonts w:ascii="仿宋_GB2312" w:eastAsia="仿宋_GB2312" w:hAnsi="仿宋" w:hint="eastAsia"/>
          <w:sz w:val="32"/>
          <w:szCs w:val="32"/>
        </w:rPr>
        <w:t>1,289.56</w:t>
      </w:r>
      <w:r>
        <w:rPr>
          <w:rFonts w:ascii="仿宋_GB2312" w:eastAsia="仿宋_GB2312" w:hAnsi="仿宋_GB2312" w:cs="仿宋_GB2312" w:hint="eastAsia"/>
          <w:sz w:val="32"/>
          <w:szCs w:val="32"/>
        </w:rPr>
        <w:t>万元，其中：一般公共预算财政拨款收入</w:t>
      </w:r>
      <w:r w:rsidR="00C10541">
        <w:rPr>
          <w:rFonts w:ascii="仿宋_GB2312" w:eastAsia="仿宋_GB2312" w:hAnsi="仿宋" w:hint="eastAsia"/>
          <w:sz w:val="32"/>
          <w:szCs w:val="32"/>
        </w:rPr>
        <w:t>1,289.56</w:t>
      </w:r>
      <w:r>
        <w:rPr>
          <w:rFonts w:ascii="仿宋_GB2312" w:eastAsia="仿宋_GB2312" w:hAnsi="仿宋_GB2312" w:cs="仿宋_GB2312" w:hint="eastAsia"/>
          <w:sz w:val="32"/>
          <w:szCs w:val="32"/>
        </w:rPr>
        <w:t>万元，占100%；政府性基金预算财政拨款收入0万元，占0%；国有资本经营预算财政拨款收入0万元，占0%；事业收入0万元，占0%；经营收入0万元，占0%；附属单位上缴收入0万元，占0%；其他收入0万元，占0%。       （图2：收入决算结构图）（饼状图）</w:t>
      </w:r>
    </w:p>
    <w:p w:rsidR="00C10541" w:rsidRDefault="00C10541">
      <w:pPr>
        <w:pStyle w:val="11"/>
        <w:spacing w:line="578" w:lineRule="exact"/>
        <w:ind w:left="640" w:firstLineChars="0" w:firstLine="0"/>
        <w:outlineLvl w:val="1"/>
        <w:rPr>
          <w:rFonts w:ascii="黑体" w:eastAsia="黑体" w:hAnsi="黑体" w:cstheme="majorBidi"/>
          <w:bCs/>
          <w:sz w:val="32"/>
          <w:szCs w:val="32"/>
        </w:rPr>
      </w:pPr>
    </w:p>
    <w:p w:rsidR="00C10541" w:rsidRDefault="00C10541">
      <w:pPr>
        <w:pStyle w:val="11"/>
        <w:spacing w:line="578" w:lineRule="exact"/>
        <w:ind w:left="640" w:firstLineChars="0" w:firstLine="0"/>
        <w:outlineLvl w:val="1"/>
        <w:rPr>
          <w:rFonts w:ascii="黑体" w:eastAsia="黑体" w:hAnsi="黑体" w:cstheme="majorBidi"/>
          <w:bCs/>
          <w:sz w:val="32"/>
          <w:szCs w:val="32"/>
        </w:rPr>
      </w:pPr>
    </w:p>
    <w:p w:rsidR="00C10541" w:rsidRDefault="00C10541">
      <w:pPr>
        <w:pStyle w:val="11"/>
        <w:spacing w:line="578" w:lineRule="exact"/>
        <w:ind w:left="640" w:firstLineChars="0" w:firstLine="0"/>
        <w:outlineLvl w:val="1"/>
        <w:rPr>
          <w:rFonts w:ascii="黑体" w:eastAsia="黑体" w:hAnsi="黑体" w:cstheme="majorBidi"/>
          <w:bCs/>
          <w:sz w:val="32"/>
          <w:szCs w:val="32"/>
        </w:rPr>
      </w:pPr>
    </w:p>
    <w:p w:rsidR="00C10541" w:rsidRDefault="00C10541">
      <w:pPr>
        <w:pStyle w:val="11"/>
        <w:spacing w:line="578" w:lineRule="exact"/>
        <w:ind w:left="640" w:firstLineChars="0" w:firstLine="0"/>
        <w:outlineLvl w:val="1"/>
        <w:rPr>
          <w:rFonts w:ascii="黑体" w:eastAsia="黑体" w:hAnsi="黑体" w:cstheme="majorBidi"/>
          <w:bCs/>
          <w:sz w:val="32"/>
          <w:szCs w:val="32"/>
        </w:rPr>
      </w:pPr>
    </w:p>
    <w:p w:rsidR="00C10541" w:rsidRDefault="00C10541">
      <w:pPr>
        <w:pStyle w:val="11"/>
        <w:spacing w:line="578" w:lineRule="exact"/>
        <w:ind w:left="640" w:firstLineChars="0" w:firstLine="0"/>
        <w:outlineLvl w:val="1"/>
        <w:rPr>
          <w:rFonts w:ascii="黑体" w:eastAsia="黑体" w:hAnsi="黑体" w:cstheme="majorBidi"/>
          <w:bCs/>
          <w:sz w:val="32"/>
          <w:szCs w:val="32"/>
        </w:rPr>
      </w:pPr>
    </w:p>
    <w:p w:rsidR="00C10541" w:rsidRDefault="00C10541">
      <w:pPr>
        <w:pStyle w:val="11"/>
        <w:spacing w:line="578" w:lineRule="exact"/>
        <w:ind w:left="640" w:firstLineChars="0" w:firstLine="0"/>
        <w:outlineLvl w:val="1"/>
        <w:rPr>
          <w:rFonts w:ascii="黑体" w:eastAsia="黑体" w:hAnsi="黑体" w:cstheme="majorBidi"/>
          <w:bCs/>
          <w:sz w:val="32"/>
          <w:szCs w:val="32"/>
        </w:rPr>
      </w:pPr>
    </w:p>
    <w:p w:rsidR="00BB2F55" w:rsidRDefault="00C10541">
      <w:pPr>
        <w:pStyle w:val="11"/>
        <w:spacing w:line="578" w:lineRule="exact"/>
        <w:ind w:left="640" w:firstLineChars="0" w:firstLine="0"/>
        <w:outlineLvl w:val="1"/>
        <w:rPr>
          <w:rStyle w:val="2Char"/>
          <w:rFonts w:ascii="黑体" w:eastAsia="黑体" w:hAnsi="黑体"/>
          <w:b w:val="0"/>
        </w:rPr>
      </w:pPr>
      <w:r>
        <w:rPr>
          <w:rFonts w:ascii="黑体" w:eastAsia="黑体" w:hAnsi="黑体" w:cstheme="majorBidi" w:hint="eastAsia"/>
          <w:bCs/>
          <w:noProof/>
          <w:sz w:val="32"/>
          <w:szCs w:val="32"/>
        </w:rPr>
        <w:drawing>
          <wp:anchor distT="0" distB="0" distL="114300" distR="114300" simplePos="0" relativeHeight="251664384" behindDoc="0" locked="0" layoutInCell="1" allowOverlap="1">
            <wp:simplePos x="0" y="0"/>
            <wp:positionH relativeFrom="column">
              <wp:posOffset>85725</wp:posOffset>
            </wp:positionH>
            <wp:positionV relativeFrom="page">
              <wp:posOffset>2055495</wp:posOffset>
            </wp:positionV>
            <wp:extent cx="4798695" cy="1923415"/>
            <wp:effectExtent l="0" t="0" r="0" b="0"/>
            <wp:wrapSquare wrapText="bothSides"/>
            <wp:docPr id="11"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E0451">
        <w:rPr>
          <w:rFonts w:ascii="黑体" w:eastAsia="黑体" w:hAnsi="黑体" w:cstheme="majorBidi" w:hint="eastAsia"/>
          <w:bCs/>
          <w:sz w:val="32"/>
          <w:szCs w:val="32"/>
        </w:rPr>
        <w:t>三、</w:t>
      </w:r>
      <w:r w:rsidR="002E0451">
        <w:rPr>
          <w:rFonts w:ascii="黑体" w:eastAsia="黑体" w:hAnsi="黑体" w:hint="eastAsia"/>
          <w:sz w:val="32"/>
          <w:szCs w:val="32"/>
        </w:rPr>
        <w:t>支</w:t>
      </w:r>
      <w:r w:rsidR="002E0451">
        <w:rPr>
          <w:rStyle w:val="2Char"/>
          <w:rFonts w:ascii="黑体" w:eastAsia="黑体" w:hAnsi="黑体" w:hint="eastAsia"/>
          <w:b w:val="0"/>
        </w:rPr>
        <w:t>出决算情况说明</w:t>
      </w:r>
    </w:p>
    <w:p w:rsidR="00BB2F55" w:rsidRDefault="002E045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54103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年本年支出合计</w:t>
      </w:r>
      <w:r w:rsidR="00C10541">
        <w:rPr>
          <w:rFonts w:ascii="仿宋_GB2312" w:eastAsia="仿宋_GB2312" w:hAnsi="仿宋" w:hint="eastAsia"/>
          <w:sz w:val="32"/>
          <w:szCs w:val="32"/>
        </w:rPr>
        <w:t>1,303.41</w:t>
      </w:r>
      <w:r>
        <w:rPr>
          <w:rFonts w:ascii="仿宋_GB2312" w:eastAsia="仿宋_GB2312" w:hAnsi="仿宋_GB2312" w:cs="仿宋_GB2312" w:hint="eastAsia"/>
          <w:sz w:val="32"/>
          <w:szCs w:val="32"/>
        </w:rPr>
        <w:t>万元，其中：基本支出</w:t>
      </w:r>
      <w:r w:rsidR="00C10541" w:rsidRPr="00C10541">
        <w:rPr>
          <w:rFonts w:ascii="仿宋_GB2312" w:eastAsia="仿宋_GB2312" w:hAnsi="仿宋_GB2312" w:cs="仿宋_GB2312"/>
          <w:sz w:val="32"/>
          <w:szCs w:val="32"/>
        </w:rPr>
        <w:t>431.59</w:t>
      </w:r>
      <w:r>
        <w:rPr>
          <w:rFonts w:ascii="仿宋_GB2312" w:eastAsia="仿宋_GB2312" w:hAnsi="仿宋_GB2312" w:cs="仿宋_GB2312" w:hint="eastAsia"/>
          <w:sz w:val="32"/>
          <w:szCs w:val="32"/>
        </w:rPr>
        <w:t>万元，占</w:t>
      </w:r>
      <w:r w:rsidR="00C10541">
        <w:rPr>
          <w:rFonts w:ascii="仿宋_GB2312" w:eastAsia="仿宋_GB2312" w:hAnsi="仿宋_GB2312" w:cs="仿宋_GB2312" w:hint="eastAsia"/>
          <w:sz w:val="32"/>
          <w:szCs w:val="32"/>
        </w:rPr>
        <w:t>33.11</w:t>
      </w:r>
      <w:r>
        <w:rPr>
          <w:rFonts w:ascii="仿宋_GB2312" w:eastAsia="仿宋_GB2312" w:hAnsi="仿宋_GB2312" w:cs="仿宋_GB2312" w:hint="eastAsia"/>
          <w:sz w:val="32"/>
          <w:szCs w:val="32"/>
        </w:rPr>
        <w:t>%；项目支出</w:t>
      </w:r>
      <w:r w:rsidR="00C10541" w:rsidRPr="00C10541">
        <w:rPr>
          <w:rFonts w:ascii="仿宋_GB2312" w:eastAsia="仿宋_GB2312" w:hAnsi="仿宋_GB2312" w:cs="仿宋_GB2312"/>
          <w:sz w:val="32"/>
          <w:szCs w:val="32"/>
        </w:rPr>
        <w:t>871.82</w:t>
      </w:r>
      <w:r>
        <w:rPr>
          <w:rFonts w:ascii="仿宋_GB2312" w:eastAsia="仿宋_GB2312" w:hAnsi="仿宋_GB2312" w:cs="仿宋_GB2312" w:hint="eastAsia"/>
          <w:sz w:val="32"/>
          <w:szCs w:val="32"/>
        </w:rPr>
        <w:t>万元，占</w:t>
      </w:r>
      <w:r w:rsidR="00C10541">
        <w:rPr>
          <w:rFonts w:ascii="仿宋_GB2312" w:eastAsia="仿宋_GB2312" w:hAnsi="仿宋_GB2312" w:cs="仿宋_GB2312" w:hint="eastAsia"/>
          <w:sz w:val="32"/>
          <w:szCs w:val="32"/>
        </w:rPr>
        <w:t>66.89</w:t>
      </w:r>
      <w:r>
        <w:rPr>
          <w:rFonts w:ascii="仿宋_GB2312" w:eastAsia="仿宋_GB2312" w:hAnsi="仿宋_GB2312" w:cs="仿宋_GB2312" w:hint="eastAsia"/>
          <w:sz w:val="32"/>
          <w:szCs w:val="32"/>
        </w:rPr>
        <w:t>%；上缴上级支出0万元，占0%；经营支出0万元，占0%；对附属单位补助支出0万元，占0%。</w:t>
      </w:r>
    </w:p>
    <w:p w:rsidR="00BB2F55" w:rsidRDefault="002E0451">
      <w:pPr>
        <w:spacing w:line="578" w:lineRule="exact"/>
        <w:ind w:firstLineChars="200" w:firstLine="640"/>
        <w:rPr>
          <w:rFonts w:ascii="仿宋_GB2312" w:eastAsia="仿宋_GB2312" w:hAnsi="仿宋_GB2312" w:cs="仿宋_GB2312"/>
          <w:sz w:val="32"/>
          <w:szCs w:val="32"/>
        </w:rPr>
      </w:pPr>
      <w:bookmarkStart w:id="29" w:name="_Toc15377207"/>
      <w:bookmarkStart w:id="30" w:name="_Toc15396605"/>
      <w:r>
        <w:rPr>
          <w:rFonts w:ascii="仿宋_GB2312" w:eastAsia="仿宋_GB2312" w:hAnsi="仿宋_GB2312" w:cs="仿宋_GB2312" w:hint="eastAsia"/>
          <w:noProof/>
          <w:sz w:val="32"/>
          <w:szCs w:val="32"/>
        </w:rPr>
        <w:drawing>
          <wp:anchor distT="0" distB="0" distL="114300" distR="114300" simplePos="0" relativeHeight="251663360" behindDoc="0" locked="0" layoutInCell="1" allowOverlap="1">
            <wp:simplePos x="0" y="0"/>
            <wp:positionH relativeFrom="column">
              <wp:posOffset>-200025</wp:posOffset>
            </wp:positionH>
            <wp:positionV relativeFrom="page">
              <wp:posOffset>6334125</wp:posOffset>
            </wp:positionV>
            <wp:extent cx="5181600" cy="2114550"/>
            <wp:effectExtent l="0" t="0" r="0" b="0"/>
            <wp:wrapSquare wrapText="bothSides"/>
            <wp:docPr id="9"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eastAsia="仿宋_GB2312" w:hAnsi="仿宋_GB2312" w:cs="仿宋_GB2312" w:hint="eastAsia"/>
          <w:sz w:val="32"/>
          <w:szCs w:val="32"/>
        </w:rPr>
        <w:t>（图3：支出决算结构图）（饼状图）</w:t>
      </w:r>
    </w:p>
    <w:p w:rsidR="00BB2F55" w:rsidRDefault="002E0451">
      <w:pPr>
        <w:spacing w:line="578" w:lineRule="exact"/>
        <w:ind w:firstLineChars="200" w:firstLine="640"/>
        <w:outlineLvl w:val="1"/>
        <w:rPr>
          <w:rStyle w:val="2Char"/>
          <w:rFonts w:ascii="黑体" w:eastAsia="黑体" w:hAnsi="黑体"/>
          <w:b w:val="0"/>
        </w:rPr>
      </w:pPr>
      <w:bookmarkStart w:id="31" w:name="_Toc15377208"/>
      <w:bookmarkStart w:id="32" w:name="_Toc15396606"/>
      <w:bookmarkEnd w:id="29"/>
      <w:bookmarkEnd w:id="30"/>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1"/>
      <w:bookmarkEnd w:id="32"/>
    </w:p>
    <w:p w:rsidR="00BB2F55" w:rsidRDefault="002E045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w:t>
      </w:r>
      <w:r w:rsidR="00541039">
        <w:rPr>
          <w:rFonts w:ascii="仿宋_GB2312" w:eastAsia="仿宋_GB2312" w:hAnsi="仿宋" w:hint="eastAsia"/>
          <w:sz w:val="32"/>
          <w:szCs w:val="32"/>
        </w:rPr>
        <w:t>3</w:t>
      </w:r>
      <w:r>
        <w:rPr>
          <w:rFonts w:ascii="仿宋_GB2312" w:eastAsia="仿宋_GB2312" w:hAnsi="仿宋" w:hint="eastAsia"/>
          <w:sz w:val="32"/>
          <w:szCs w:val="32"/>
        </w:rPr>
        <w:t>年度投资促进服务中心收入共计</w:t>
      </w:r>
      <w:r w:rsidR="00541039">
        <w:rPr>
          <w:rFonts w:ascii="仿宋_GB2312" w:eastAsia="仿宋_GB2312" w:hAnsi="仿宋" w:hint="eastAsia"/>
          <w:sz w:val="32"/>
          <w:szCs w:val="32"/>
        </w:rPr>
        <w:t>1,289.56</w:t>
      </w:r>
      <w:r w:rsidR="00541039">
        <w:rPr>
          <w:rFonts w:ascii="仿宋_GB2312" w:eastAsia="仿宋_GB2312" w:hAnsi="仿宋_GB2312" w:cs="仿宋_GB2312" w:hint="eastAsia"/>
          <w:sz w:val="32"/>
          <w:szCs w:val="32"/>
        </w:rPr>
        <w:t>万元，一般公共预算财政拨款收入</w:t>
      </w:r>
      <w:r w:rsidR="00541039">
        <w:rPr>
          <w:rFonts w:ascii="仿宋_GB2312" w:eastAsia="仿宋_GB2312" w:hAnsi="仿宋" w:hint="eastAsia"/>
          <w:sz w:val="32"/>
          <w:szCs w:val="32"/>
        </w:rPr>
        <w:t>1,289.56</w:t>
      </w:r>
      <w:r w:rsidR="00541039">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541039">
        <w:rPr>
          <w:rFonts w:ascii="仿宋_GB2312" w:eastAsia="仿宋_GB2312" w:hAnsi="仿宋" w:hint="eastAsia"/>
          <w:sz w:val="32"/>
          <w:szCs w:val="32"/>
        </w:rPr>
        <w:t>较去年</w:t>
      </w:r>
      <w:r>
        <w:rPr>
          <w:rFonts w:ascii="仿宋_GB2312" w:eastAsia="仿宋_GB2312" w:hAnsi="仿宋" w:hint="eastAsia"/>
          <w:sz w:val="32"/>
          <w:szCs w:val="32"/>
        </w:rPr>
        <w:t>增加</w:t>
      </w:r>
      <w:r w:rsidR="00541039">
        <w:rPr>
          <w:rFonts w:ascii="仿宋_GB2312" w:eastAsia="仿宋_GB2312" w:hAnsi="仿宋" w:hint="eastAsia"/>
          <w:sz w:val="32"/>
          <w:szCs w:val="32"/>
        </w:rPr>
        <w:t>590.09</w:t>
      </w:r>
      <w:r>
        <w:rPr>
          <w:rFonts w:ascii="仿宋_GB2312" w:eastAsia="仿宋_GB2312" w:hAnsi="仿宋" w:hint="eastAsia"/>
          <w:sz w:val="32"/>
          <w:szCs w:val="32"/>
        </w:rPr>
        <w:t>万元，具体增加财政拨款收入主要原因是</w:t>
      </w:r>
      <w:r>
        <w:rPr>
          <w:rFonts w:eastAsia="仿宋_GB2312" w:hint="eastAsia"/>
          <w:sz w:val="32"/>
          <w:szCs w:val="32"/>
        </w:rPr>
        <w:t>：</w:t>
      </w:r>
      <w:r w:rsidR="00541039">
        <w:rPr>
          <w:rFonts w:ascii="仿宋_GB2312" w:eastAsia="仿宋_GB2312" w:hAnsi="仿宋" w:hint="eastAsia"/>
          <w:sz w:val="32"/>
          <w:szCs w:val="32"/>
        </w:rPr>
        <w:t>人员增加8人及新增5个外派驻点工作组和今年的招商市对县考核招商任务重，增加招商力度，招商经费相应增加导致</w:t>
      </w:r>
      <w:r>
        <w:rPr>
          <w:rFonts w:ascii="仿宋_GB2312" w:eastAsia="仿宋_GB2312" w:hAnsi="仿宋" w:hint="eastAsia"/>
          <w:sz w:val="32"/>
          <w:szCs w:val="32"/>
        </w:rPr>
        <w:t>。</w:t>
      </w:r>
    </w:p>
    <w:p w:rsidR="00541039" w:rsidRDefault="002E0451" w:rsidP="00541039">
      <w:pPr>
        <w:ind w:firstLineChars="200" w:firstLine="640"/>
        <w:rPr>
          <w:rFonts w:ascii="宋体" w:hAnsi="宋体" w:cs="宋体"/>
          <w:kern w:val="0"/>
          <w:sz w:val="22"/>
          <w:szCs w:val="22"/>
        </w:rPr>
      </w:pPr>
      <w:r>
        <w:rPr>
          <w:rFonts w:ascii="仿宋_GB2312" w:eastAsia="仿宋_GB2312" w:hAnsi="仿宋" w:hint="eastAsia"/>
          <w:sz w:val="32"/>
          <w:szCs w:val="32"/>
        </w:rPr>
        <w:t>202</w:t>
      </w:r>
      <w:r w:rsidR="00541039">
        <w:rPr>
          <w:rFonts w:ascii="仿宋_GB2312" w:eastAsia="仿宋_GB2312" w:hAnsi="仿宋" w:hint="eastAsia"/>
          <w:sz w:val="32"/>
          <w:szCs w:val="32"/>
        </w:rPr>
        <w:t>3</w:t>
      </w:r>
      <w:r>
        <w:rPr>
          <w:rFonts w:ascii="仿宋_GB2312" w:eastAsia="仿宋_GB2312" w:hAnsi="仿宋" w:hint="eastAsia"/>
          <w:sz w:val="32"/>
          <w:szCs w:val="32"/>
        </w:rPr>
        <w:t>年度投资促进服务中心共支出</w:t>
      </w:r>
      <w:r w:rsidR="00541039">
        <w:rPr>
          <w:rFonts w:ascii="仿宋_GB2312" w:eastAsia="仿宋_GB2312" w:hAnsi="仿宋" w:hint="eastAsia"/>
          <w:sz w:val="32"/>
          <w:szCs w:val="32"/>
        </w:rPr>
        <w:t>1,303.41</w:t>
      </w:r>
      <w:r>
        <w:rPr>
          <w:rFonts w:ascii="仿宋_GB2312" w:eastAsia="仿宋_GB2312" w:hAnsi="仿宋" w:hint="eastAsia"/>
          <w:sz w:val="32"/>
          <w:szCs w:val="32"/>
        </w:rPr>
        <w:lastRenderedPageBreak/>
        <w:t>万元 ，较去年支出增加</w:t>
      </w:r>
      <w:r w:rsidR="00541039">
        <w:rPr>
          <w:rFonts w:ascii="仿宋_GB2312" w:eastAsia="仿宋_GB2312" w:hAnsi="仿宋" w:hint="eastAsia"/>
          <w:sz w:val="32"/>
          <w:szCs w:val="32"/>
        </w:rPr>
        <w:t>561.04</w:t>
      </w:r>
      <w:r>
        <w:rPr>
          <w:rFonts w:ascii="仿宋_GB2312" w:eastAsia="仿宋_GB2312" w:hAnsi="仿宋" w:hint="eastAsia"/>
          <w:sz w:val="32"/>
          <w:szCs w:val="32"/>
        </w:rPr>
        <w:t>万元，</w:t>
      </w:r>
      <w:r w:rsidR="00541039">
        <w:rPr>
          <w:rFonts w:ascii="仿宋_GB2312" w:eastAsia="仿宋_GB2312" w:hAnsi="仿宋" w:hint="eastAsia"/>
          <w:sz w:val="32"/>
          <w:szCs w:val="32"/>
        </w:rPr>
        <w:t>增加75.57%。具体主要原因是：支出增加是因为人员增加8人及新增外派驻点工作组和今年的招商市对县考核招商任务重，招商经费相应增加。</w:t>
      </w:r>
    </w:p>
    <w:p w:rsidR="00BB2F55" w:rsidRDefault="002E0451">
      <w:pPr>
        <w:ind w:firstLineChars="200" w:firstLine="640"/>
        <w:rPr>
          <w:rFonts w:ascii="宋体" w:hAnsi="宋体" w:cs="宋体"/>
          <w:kern w:val="0"/>
          <w:sz w:val="22"/>
          <w:szCs w:val="22"/>
        </w:rPr>
      </w:pPr>
      <w:r>
        <w:rPr>
          <w:rFonts w:ascii="仿宋_GB2312" w:eastAsia="仿宋_GB2312" w:hAnsi="仿宋" w:hint="eastAsia"/>
          <w:sz w:val="32"/>
          <w:szCs w:val="32"/>
        </w:rPr>
        <w:t>。</w:t>
      </w:r>
    </w:p>
    <w:p w:rsidR="00541039" w:rsidRDefault="00541039">
      <w:pPr>
        <w:spacing w:line="578" w:lineRule="exact"/>
        <w:rPr>
          <w:rFonts w:ascii="仿宋_GB2312" w:eastAsia="仿宋_GB2312" w:hAnsi="仿宋_GB2312" w:cs="仿宋_GB2312"/>
          <w:sz w:val="32"/>
          <w:szCs w:val="32"/>
        </w:rPr>
      </w:pPr>
    </w:p>
    <w:p w:rsidR="00541039" w:rsidRDefault="00541039">
      <w:pPr>
        <w:spacing w:line="578" w:lineRule="exact"/>
        <w:rPr>
          <w:rFonts w:ascii="仿宋_GB2312" w:eastAsia="仿宋_GB2312" w:hAnsi="仿宋_GB2312" w:cs="仿宋_GB2312"/>
          <w:sz w:val="32"/>
          <w:szCs w:val="32"/>
        </w:rPr>
      </w:pPr>
    </w:p>
    <w:p w:rsidR="00541039" w:rsidRDefault="00541039">
      <w:pPr>
        <w:spacing w:line="578" w:lineRule="exact"/>
        <w:rPr>
          <w:rFonts w:ascii="仿宋_GB2312" w:eastAsia="仿宋_GB2312" w:hAnsi="仿宋_GB2312" w:cs="仿宋_GB2312"/>
          <w:sz w:val="32"/>
          <w:szCs w:val="32"/>
        </w:rPr>
      </w:pPr>
    </w:p>
    <w:p w:rsidR="00541039" w:rsidRDefault="00541039">
      <w:pPr>
        <w:spacing w:line="578" w:lineRule="exact"/>
        <w:rPr>
          <w:rFonts w:ascii="仿宋_GB2312" w:eastAsia="仿宋_GB2312" w:hAnsi="仿宋_GB2312" w:cs="仿宋_GB2312"/>
          <w:sz w:val="32"/>
          <w:szCs w:val="32"/>
        </w:rPr>
      </w:pPr>
    </w:p>
    <w:p w:rsidR="00541039" w:rsidRDefault="00541039">
      <w:pPr>
        <w:spacing w:line="578" w:lineRule="exact"/>
        <w:rPr>
          <w:rFonts w:ascii="仿宋_GB2312" w:eastAsia="仿宋_GB2312" w:hAnsi="仿宋_GB2312" w:cs="仿宋_GB2312"/>
          <w:sz w:val="32"/>
          <w:szCs w:val="32"/>
        </w:rPr>
      </w:pPr>
    </w:p>
    <w:p w:rsidR="00541039" w:rsidRDefault="00541039">
      <w:pPr>
        <w:spacing w:line="578" w:lineRule="exact"/>
        <w:rPr>
          <w:rFonts w:ascii="仿宋_GB2312" w:eastAsia="仿宋_GB2312" w:hAnsi="仿宋_GB2312" w:cs="仿宋_GB2312"/>
          <w:sz w:val="32"/>
          <w:szCs w:val="32"/>
        </w:rPr>
      </w:pPr>
    </w:p>
    <w:p w:rsidR="00541039" w:rsidRDefault="00541039">
      <w:pPr>
        <w:spacing w:line="578" w:lineRule="exact"/>
        <w:rPr>
          <w:rFonts w:ascii="仿宋_GB2312" w:eastAsia="仿宋_GB2312" w:hAnsi="仿宋_GB2312" w:cs="仿宋_GB2312"/>
          <w:sz w:val="32"/>
          <w:szCs w:val="32"/>
        </w:rPr>
      </w:pPr>
    </w:p>
    <w:p w:rsidR="00BB2F55" w:rsidRDefault="002E0451">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（图4：财政拨款收、支决算总计变动情况）（柱状图）</w:t>
      </w:r>
    </w:p>
    <w:p w:rsidR="00BB2F55" w:rsidRDefault="002E0451">
      <w:pPr>
        <w:spacing w:line="578" w:lineRule="exact"/>
        <w:rPr>
          <w:rFonts w:ascii="仿宋_GB2312" w:eastAsia="仿宋_GB2312" w:hAnsi="仿宋_GB2312" w:cs="仿宋_GB2312"/>
          <w:b/>
          <w:bCs/>
          <w:sz w:val="32"/>
          <w:szCs w:val="32"/>
        </w:rPr>
      </w:pPr>
      <w:r>
        <w:rPr>
          <w:rFonts w:ascii="仿宋_GB2312" w:eastAsia="仿宋_GB2312" w:hAnsi="仿宋_GB2312" w:cs="仿宋_GB2312"/>
          <w:b/>
          <w:bCs/>
          <w:noProof/>
          <w:sz w:val="32"/>
          <w:szCs w:val="32"/>
        </w:rPr>
        <w:drawing>
          <wp:anchor distT="0" distB="0" distL="114300" distR="114300" simplePos="0" relativeHeight="251659264" behindDoc="0" locked="0" layoutInCell="1" allowOverlap="1">
            <wp:simplePos x="0" y="0"/>
            <wp:positionH relativeFrom="column">
              <wp:posOffset>176530</wp:posOffset>
            </wp:positionH>
            <wp:positionV relativeFrom="page">
              <wp:posOffset>4235450</wp:posOffset>
            </wp:positionV>
            <wp:extent cx="4736465" cy="2604770"/>
            <wp:effectExtent l="0" t="0" r="6985" b="0"/>
            <wp:wrapSquare wrapText="bothSides"/>
            <wp:docPr id="13"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B2F55" w:rsidRDefault="002E0451">
      <w:pPr>
        <w:spacing w:line="578"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w:t>
      </w:r>
      <w:r>
        <w:rPr>
          <w:rStyle w:val="2Char"/>
          <w:rFonts w:ascii="黑体" w:eastAsia="黑体" w:hAnsi="黑体" w:hint="eastAsia"/>
          <w:b w:val="0"/>
        </w:rPr>
        <w:lastRenderedPageBreak/>
        <w:t>况说明</w:t>
      </w:r>
      <w:bookmarkEnd w:id="33"/>
      <w:bookmarkEnd w:id="34"/>
    </w:p>
    <w:p w:rsidR="00BB2F55" w:rsidRDefault="002E0451">
      <w:pPr>
        <w:spacing w:line="578" w:lineRule="exact"/>
        <w:ind w:firstLineChars="200" w:firstLine="643"/>
        <w:outlineLvl w:val="2"/>
        <w:rPr>
          <w:rFonts w:ascii="仿宋" w:eastAsia="仿宋" w:hAnsi="仿宋"/>
          <w:b/>
          <w:sz w:val="32"/>
          <w:szCs w:val="32"/>
        </w:rPr>
      </w:pPr>
      <w:bookmarkStart w:id="35" w:name="_Toc15377210"/>
      <w:r>
        <w:rPr>
          <w:rFonts w:ascii="仿宋" w:eastAsia="仿宋" w:hAnsi="仿宋" w:hint="eastAsia"/>
          <w:b/>
          <w:sz w:val="32"/>
          <w:szCs w:val="32"/>
        </w:rPr>
        <w:t>（一）一般公共预算财政拨款支出决算总体情况</w:t>
      </w:r>
      <w:bookmarkEnd w:id="35"/>
    </w:p>
    <w:p w:rsidR="00BB2F55" w:rsidRDefault="00C5554F">
      <w:pPr>
        <w:snapToGrid w:val="0"/>
        <w:spacing w:line="520" w:lineRule="exact"/>
        <w:ind w:firstLineChars="200" w:firstLine="640"/>
        <w:rPr>
          <w:rFonts w:ascii="仿宋_GB2312" w:eastAsia="仿宋_GB2312" w:hAnsi="仿宋"/>
          <w:sz w:val="32"/>
          <w:szCs w:val="32"/>
        </w:rPr>
      </w:pPr>
      <w:r>
        <w:rPr>
          <w:rFonts w:ascii="仿宋_GB2312" w:eastAsia="仿宋_GB2312" w:hAnsi="仿宋_GB2312" w:cs="仿宋_GB2312" w:hint="eastAsia"/>
          <w:noProof/>
          <w:sz w:val="32"/>
          <w:szCs w:val="32"/>
        </w:rPr>
        <w:drawing>
          <wp:anchor distT="0" distB="0" distL="114300" distR="114300" simplePos="0" relativeHeight="251668480" behindDoc="0" locked="0" layoutInCell="1" allowOverlap="1">
            <wp:simplePos x="0" y="0"/>
            <wp:positionH relativeFrom="column">
              <wp:posOffset>334645</wp:posOffset>
            </wp:positionH>
            <wp:positionV relativeFrom="page">
              <wp:posOffset>153035</wp:posOffset>
            </wp:positionV>
            <wp:extent cx="5295900" cy="2860040"/>
            <wp:effectExtent l="0" t="0" r="0" b="0"/>
            <wp:wrapSquare wrapText="bothSides"/>
            <wp:docPr id="5"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E0451">
        <w:rPr>
          <w:rFonts w:ascii="仿宋_GB2312" w:eastAsia="仿宋_GB2312" w:hAnsi="仿宋_GB2312" w:cs="仿宋_GB2312" w:hint="eastAsia"/>
          <w:sz w:val="32"/>
          <w:szCs w:val="32"/>
        </w:rPr>
        <w:t>202</w:t>
      </w:r>
      <w:r w:rsidR="009F2207">
        <w:rPr>
          <w:rFonts w:ascii="仿宋_GB2312" w:eastAsia="仿宋_GB2312" w:hAnsi="仿宋_GB2312" w:cs="仿宋_GB2312" w:hint="eastAsia"/>
          <w:sz w:val="32"/>
          <w:szCs w:val="32"/>
        </w:rPr>
        <w:t>3</w:t>
      </w:r>
      <w:r w:rsidR="002E0451">
        <w:rPr>
          <w:rFonts w:ascii="仿宋_GB2312" w:eastAsia="仿宋_GB2312" w:hAnsi="仿宋_GB2312" w:cs="仿宋_GB2312" w:hint="eastAsia"/>
          <w:sz w:val="32"/>
          <w:szCs w:val="32"/>
        </w:rPr>
        <w:t>年一般公共预算财政拨款支出</w:t>
      </w:r>
      <w:r w:rsidR="009F2207">
        <w:rPr>
          <w:rFonts w:ascii="仿宋_GB2312" w:eastAsia="仿宋_GB2312" w:hAnsi="仿宋" w:hint="eastAsia"/>
          <w:sz w:val="32"/>
          <w:szCs w:val="32"/>
        </w:rPr>
        <w:t>1,303.41</w:t>
      </w:r>
      <w:r w:rsidR="002E0451">
        <w:rPr>
          <w:rFonts w:ascii="仿宋_GB2312" w:eastAsia="仿宋_GB2312" w:hAnsi="仿宋_GB2312" w:cs="仿宋_GB2312" w:hint="eastAsia"/>
          <w:sz w:val="32"/>
          <w:szCs w:val="32"/>
        </w:rPr>
        <w:t>万元，占本年支出合计的100%。与202</w:t>
      </w:r>
      <w:r w:rsidR="009F2207">
        <w:rPr>
          <w:rFonts w:ascii="仿宋_GB2312" w:eastAsia="仿宋_GB2312" w:hAnsi="仿宋_GB2312" w:cs="仿宋_GB2312" w:hint="eastAsia"/>
          <w:sz w:val="32"/>
          <w:szCs w:val="32"/>
        </w:rPr>
        <w:t>2</w:t>
      </w:r>
      <w:r w:rsidR="002E0451">
        <w:rPr>
          <w:rFonts w:ascii="仿宋_GB2312" w:eastAsia="仿宋_GB2312" w:hAnsi="仿宋_GB2312" w:cs="仿宋_GB2312" w:hint="eastAsia"/>
          <w:sz w:val="32"/>
          <w:szCs w:val="32"/>
        </w:rPr>
        <w:t>年相比，一般公共预算财政拨款</w:t>
      </w:r>
      <w:r w:rsidR="002E0451">
        <w:rPr>
          <w:rFonts w:ascii="仿宋_GB2312" w:eastAsia="仿宋_GB2312" w:hAnsi="仿宋" w:hint="eastAsia"/>
          <w:sz w:val="32"/>
          <w:szCs w:val="32"/>
        </w:rPr>
        <w:t>增加</w:t>
      </w:r>
      <w:r w:rsidR="009F2207">
        <w:rPr>
          <w:rFonts w:ascii="仿宋_GB2312" w:eastAsia="仿宋_GB2312" w:hAnsi="仿宋" w:hint="eastAsia"/>
          <w:sz w:val="32"/>
          <w:szCs w:val="32"/>
        </w:rPr>
        <w:t>561.04</w:t>
      </w:r>
      <w:r w:rsidR="002E0451">
        <w:rPr>
          <w:rFonts w:ascii="仿宋_GB2312" w:eastAsia="仿宋_GB2312" w:hAnsi="仿宋" w:hint="eastAsia"/>
          <w:sz w:val="32"/>
          <w:szCs w:val="32"/>
        </w:rPr>
        <w:t>万元，</w:t>
      </w:r>
      <w:r w:rsidR="009F2207">
        <w:rPr>
          <w:rFonts w:ascii="仿宋_GB2312" w:eastAsia="仿宋_GB2312" w:hAnsi="仿宋" w:hint="eastAsia"/>
          <w:sz w:val="32"/>
          <w:szCs w:val="32"/>
        </w:rPr>
        <w:t>增加75.57%</w:t>
      </w:r>
      <w:r w:rsidR="002E0451">
        <w:rPr>
          <w:rFonts w:ascii="仿宋_GB2312" w:eastAsia="仿宋_GB2312" w:hAnsi="仿宋_GB2312" w:cs="仿宋_GB2312" w:hint="eastAsia"/>
          <w:sz w:val="32"/>
          <w:szCs w:val="32"/>
        </w:rPr>
        <w:t>。主要变动原因是：</w:t>
      </w:r>
      <w:r w:rsidR="002E0451">
        <w:rPr>
          <w:rFonts w:ascii="仿宋_GB2312" w:eastAsia="仿宋_GB2312" w:hAnsi="仿宋" w:hint="eastAsia"/>
          <w:sz w:val="32"/>
          <w:szCs w:val="32"/>
        </w:rPr>
        <w:t>新增5个外派驻点工作组，人员</w:t>
      </w:r>
      <w:r w:rsidR="009F2207">
        <w:rPr>
          <w:rFonts w:ascii="仿宋_GB2312" w:eastAsia="仿宋_GB2312" w:hAnsi="仿宋" w:hint="eastAsia"/>
          <w:sz w:val="32"/>
          <w:szCs w:val="32"/>
        </w:rPr>
        <w:t>及招商经费增加。</w:t>
      </w:r>
    </w:p>
    <w:p w:rsidR="00BB2F55" w:rsidRDefault="002E0451" w:rsidP="009F2207">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（图5：一般公共预算财政拨款支出决算变动情况）（柱状图）</w:t>
      </w:r>
    </w:p>
    <w:p w:rsidR="00BB2F55" w:rsidRDefault="00C5554F">
      <w:pPr>
        <w:spacing w:line="578" w:lineRule="exact"/>
        <w:ind w:firstLineChars="200" w:firstLine="643"/>
        <w:rPr>
          <w:rFonts w:ascii="仿宋" w:eastAsia="仿宋" w:hAnsi="仿宋"/>
          <w:b/>
          <w:sz w:val="32"/>
          <w:szCs w:val="32"/>
        </w:rPr>
      </w:pPr>
      <w:bookmarkStart w:id="36" w:name="_Toc15377211"/>
      <w:r>
        <w:rPr>
          <w:rFonts w:ascii="仿宋" w:eastAsia="仿宋" w:hAnsi="仿宋" w:hint="eastAsia"/>
          <w:b/>
          <w:noProof/>
          <w:sz w:val="32"/>
          <w:szCs w:val="32"/>
        </w:rPr>
        <w:drawing>
          <wp:anchor distT="0" distB="0" distL="114300" distR="114300" simplePos="0" relativeHeight="251660288" behindDoc="0" locked="0" layoutInCell="1" allowOverlap="1">
            <wp:simplePos x="0" y="0"/>
            <wp:positionH relativeFrom="column">
              <wp:posOffset>-374015</wp:posOffset>
            </wp:positionH>
            <wp:positionV relativeFrom="page">
              <wp:posOffset>5179060</wp:posOffset>
            </wp:positionV>
            <wp:extent cx="5858510" cy="2874645"/>
            <wp:effectExtent l="19050" t="0" r="27940" b="1905"/>
            <wp:wrapSquare wrapText="bothSides"/>
            <wp:docPr id="15"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2E0451">
        <w:rPr>
          <w:rFonts w:ascii="仿宋" w:eastAsia="仿宋" w:hAnsi="仿宋" w:hint="eastAsia"/>
          <w:b/>
          <w:sz w:val="32"/>
          <w:szCs w:val="32"/>
        </w:rPr>
        <w:t>（二）一般公共预算财政拨款支出决算结构情况</w:t>
      </w:r>
      <w:bookmarkEnd w:id="36"/>
    </w:p>
    <w:p w:rsidR="00C5554F" w:rsidRDefault="00C5554F" w:rsidP="00C5554F">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（图6：一般公共预算财政拨款支出决算结构）（饼状图）</w:t>
      </w:r>
    </w:p>
    <w:p w:rsidR="00BB2F55" w:rsidRDefault="009F2207" w:rsidP="00C5554F">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2023年一般公共预算财政拨款支出</w:t>
      </w:r>
      <w:r>
        <w:rPr>
          <w:rFonts w:ascii="仿宋_GB2312" w:eastAsia="仿宋_GB2312" w:hAnsi="仿宋" w:hint="eastAsia"/>
          <w:sz w:val="32"/>
          <w:szCs w:val="32"/>
        </w:rPr>
        <w:t>1,303.41</w:t>
      </w:r>
      <w:r>
        <w:rPr>
          <w:rFonts w:ascii="仿宋_GB2312" w:eastAsia="仿宋_GB2312" w:hAnsi="仿宋_GB2312" w:cs="仿宋_GB2312" w:hint="eastAsia"/>
          <w:sz w:val="32"/>
          <w:szCs w:val="32"/>
        </w:rPr>
        <w:t>万元</w:t>
      </w:r>
      <w:r w:rsidR="002E0451">
        <w:rPr>
          <w:rFonts w:ascii="仿宋_GB2312" w:eastAsia="仿宋_GB2312" w:hAnsi="仿宋_GB2312" w:cs="仿宋_GB2312" w:hint="eastAsia"/>
          <w:sz w:val="32"/>
          <w:szCs w:val="32"/>
        </w:rPr>
        <w:t>，主要用于以下</w:t>
      </w:r>
      <w:r w:rsidR="002E0451">
        <w:rPr>
          <w:rFonts w:ascii="仿宋_GB2312" w:eastAsia="仿宋_GB2312" w:hAnsi="仿宋_GB2312" w:cs="仿宋_GB2312" w:hint="eastAsia"/>
          <w:sz w:val="32"/>
          <w:szCs w:val="32"/>
        </w:rPr>
        <w:lastRenderedPageBreak/>
        <w:t>方面:一般公共服务（类）支出</w:t>
      </w:r>
      <w:r w:rsidRPr="009F2207">
        <w:rPr>
          <w:rFonts w:ascii="仿宋_GB2312" w:eastAsia="仿宋_GB2312" w:hAnsi="仿宋_GB2312" w:cs="仿宋_GB2312"/>
          <w:sz w:val="32"/>
          <w:szCs w:val="32"/>
        </w:rPr>
        <w:t>1,116.83</w:t>
      </w:r>
      <w:r w:rsidR="002E0451">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85.69</w:t>
      </w:r>
      <w:r w:rsidR="002E0451">
        <w:rPr>
          <w:rFonts w:ascii="仿宋_GB2312" w:eastAsia="仿宋_GB2312" w:hAnsi="仿宋_GB2312" w:cs="仿宋_GB2312" w:hint="eastAsia"/>
          <w:sz w:val="32"/>
          <w:szCs w:val="32"/>
        </w:rPr>
        <w:t>%；</w:t>
      </w:r>
      <w:r w:rsidR="00C5554F">
        <w:rPr>
          <w:rFonts w:ascii="仿宋_GB2312" w:eastAsia="仿宋_GB2312" w:hAnsi="仿宋_GB2312" w:cs="仿宋_GB2312" w:hint="eastAsia"/>
          <w:sz w:val="32"/>
          <w:szCs w:val="32"/>
        </w:rPr>
        <w:t>科学技术支出119.8万元，占9.19%；</w:t>
      </w:r>
      <w:r w:rsidR="002E0451">
        <w:rPr>
          <w:rFonts w:ascii="仿宋_GB2312" w:eastAsia="仿宋_GB2312" w:hAnsi="仿宋_GB2312" w:cs="仿宋_GB2312" w:hint="eastAsia"/>
          <w:sz w:val="32"/>
          <w:szCs w:val="32"/>
        </w:rPr>
        <w:t>社会保障和就业（类）支出</w:t>
      </w:r>
      <w:r w:rsidRPr="009F2207">
        <w:rPr>
          <w:rFonts w:ascii="仿宋_GB2312" w:eastAsia="仿宋_GB2312" w:hAnsi="仿宋_GB2312" w:cs="仿宋_GB2312"/>
          <w:sz w:val="32"/>
          <w:szCs w:val="32"/>
        </w:rPr>
        <w:t>18.45</w:t>
      </w:r>
      <w:r w:rsidR="002E0451">
        <w:rPr>
          <w:rFonts w:ascii="仿宋_GB2312" w:eastAsia="仿宋_GB2312" w:hAnsi="仿宋_GB2312" w:cs="仿宋_GB2312" w:hint="eastAsia"/>
          <w:sz w:val="32"/>
          <w:szCs w:val="32"/>
        </w:rPr>
        <w:t>万元，占</w:t>
      </w:r>
      <w:r w:rsidR="00C5554F">
        <w:rPr>
          <w:rFonts w:ascii="仿宋_GB2312" w:eastAsia="仿宋_GB2312" w:hAnsi="仿宋_GB2312" w:cs="仿宋_GB2312" w:hint="eastAsia"/>
          <w:sz w:val="32"/>
          <w:szCs w:val="32"/>
        </w:rPr>
        <w:t>1.42</w:t>
      </w:r>
      <w:r w:rsidR="002E0451">
        <w:rPr>
          <w:rFonts w:ascii="仿宋_GB2312" w:eastAsia="仿宋_GB2312" w:hAnsi="仿宋_GB2312" w:cs="仿宋_GB2312" w:hint="eastAsia"/>
          <w:sz w:val="32"/>
          <w:szCs w:val="32"/>
        </w:rPr>
        <w:t>%；卫生健康支出</w:t>
      </w:r>
      <w:r w:rsidRPr="009F2207">
        <w:rPr>
          <w:rFonts w:ascii="仿宋_GB2312" w:eastAsia="仿宋_GB2312" w:hAnsi="仿宋_GB2312" w:cs="仿宋_GB2312"/>
          <w:sz w:val="32"/>
          <w:szCs w:val="32"/>
        </w:rPr>
        <w:t>17.23</w:t>
      </w:r>
      <w:r w:rsidR="002E0451">
        <w:rPr>
          <w:rFonts w:ascii="仿宋_GB2312" w:eastAsia="仿宋_GB2312" w:hAnsi="仿宋_GB2312" w:cs="仿宋_GB2312" w:hint="eastAsia"/>
          <w:sz w:val="32"/>
          <w:szCs w:val="32"/>
        </w:rPr>
        <w:t>万元，占1.</w:t>
      </w:r>
      <w:r w:rsidR="00C5554F">
        <w:rPr>
          <w:rFonts w:ascii="仿宋_GB2312" w:eastAsia="仿宋_GB2312" w:hAnsi="仿宋_GB2312" w:cs="仿宋_GB2312" w:hint="eastAsia"/>
          <w:sz w:val="32"/>
          <w:szCs w:val="32"/>
        </w:rPr>
        <w:t>32</w:t>
      </w:r>
      <w:r w:rsidR="002E0451">
        <w:rPr>
          <w:rFonts w:ascii="仿宋_GB2312" w:eastAsia="仿宋_GB2312" w:hAnsi="仿宋_GB2312" w:cs="仿宋_GB2312" w:hint="eastAsia"/>
          <w:sz w:val="32"/>
          <w:szCs w:val="32"/>
        </w:rPr>
        <w:t>%；住房保障支出</w:t>
      </w:r>
      <w:r w:rsidRPr="009F2207">
        <w:rPr>
          <w:rFonts w:ascii="仿宋_GB2312" w:eastAsia="仿宋_GB2312" w:hAnsi="仿宋_GB2312" w:cs="仿宋_GB2312"/>
          <w:sz w:val="32"/>
          <w:szCs w:val="32"/>
        </w:rPr>
        <w:t>31.09</w:t>
      </w:r>
      <w:r w:rsidR="002E0451">
        <w:rPr>
          <w:rFonts w:ascii="仿宋_GB2312" w:eastAsia="仿宋_GB2312" w:hAnsi="仿宋_GB2312" w:cs="仿宋_GB2312" w:hint="eastAsia"/>
          <w:sz w:val="32"/>
          <w:szCs w:val="32"/>
        </w:rPr>
        <w:t>万元，占</w:t>
      </w:r>
      <w:r w:rsidR="00C5554F">
        <w:rPr>
          <w:rFonts w:ascii="仿宋_GB2312" w:eastAsia="仿宋_GB2312" w:hAnsi="仿宋_GB2312" w:cs="仿宋_GB2312" w:hint="eastAsia"/>
          <w:sz w:val="32"/>
          <w:szCs w:val="32"/>
        </w:rPr>
        <w:t>2.39</w:t>
      </w:r>
      <w:r w:rsidR="002E0451">
        <w:rPr>
          <w:rFonts w:ascii="仿宋_GB2312" w:eastAsia="仿宋_GB2312" w:hAnsi="仿宋_GB2312" w:cs="仿宋_GB2312" w:hint="eastAsia"/>
          <w:sz w:val="32"/>
          <w:szCs w:val="32"/>
        </w:rPr>
        <w:t>%。</w:t>
      </w:r>
    </w:p>
    <w:p w:rsidR="00BB2F55" w:rsidRDefault="002E0451">
      <w:pPr>
        <w:spacing w:line="578" w:lineRule="exact"/>
        <w:ind w:firstLineChars="200" w:firstLine="643"/>
        <w:outlineLvl w:val="2"/>
        <w:rPr>
          <w:rFonts w:ascii="仿宋" w:eastAsia="仿宋" w:hAnsi="仿宋"/>
          <w:b/>
          <w:sz w:val="32"/>
          <w:szCs w:val="32"/>
        </w:rPr>
      </w:pPr>
      <w:bookmarkStart w:id="37" w:name="_Toc15377212"/>
      <w:r>
        <w:rPr>
          <w:rFonts w:ascii="仿宋" w:eastAsia="仿宋" w:hAnsi="仿宋" w:hint="eastAsia"/>
          <w:b/>
          <w:sz w:val="32"/>
          <w:szCs w:val="32"/>
        </w:rPr>
        <w:t>（三）一般公共预算财政拨款支出决算具体情况</w:t>
      </w:r>
      <w:bookmarkEnd w:id="37"/>
    </w:p>
    <w:p w:rsidR="00BB2F55" w:rsidRDefault="002E0451">
      <w:pPr>
        <w:spacing w:line="578" w:lineRule="exact"/>
        <w:ind w:firstLineChars="200" w:firstLine="640"/>
        <w:rPr>
          <w:rFonts w:ascii="仿宋_GB2312" w:eastAsia="仿宋_GB2312" w:hAnsi="仿宋_GB2312" w:cs="仿宋_GB2312"/>
          <w:sz w:val="32"/>
          <w:szCs w:val="32"/>
        </w:rPr>
      </w:pPr>
      <w:bookmarkStart w:id="38" w:name="_Toc15378460"/>
      <w:bookmarkStart w:id="39" w:name="_Toc15377444"/>
      <w:bookmarkStart w:id="40" w:name="_Toc15377213"/>
      <w:r>
        <w:rPr>
          <w:rFonts w:ascii="仿宋_GB2312" w:eastAsia="仿宋_GB2312" w:hAnsi="仿宋_GB2312" w:cs="仿宋_GB2312" w:hint="eastAsia"/>
          <w:sz w:val="32"/>
          <w:szCs w:val="32"/>
        </w:rPr>
        <w:t>202</w:t>
      </w:r>
      <w:r w:rsidR="00C84C6D">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年一般公共预算支出决算数为</w:t>
      </w:r>
      <w:r w:rsidR="00C84C6D">
        <w:rPr>
          <w:rFonts w:ascii="仿宋_GB2312" w:eastAsia="仿宋_GB2312" w:hAnsi="仿宋" w:hint="eastAsia"/>
          <w:sz w:val="32"/>
          <w:szCs w:val="32"/>
        </w:rPr>
        <w:t>1,303.41</w:t>
      </w:r>
      <w:r>
        <w:rPr>
          <w:rFonts w:ascii="仿宋_GB2312" w:eastAsia="仿宋_GB2312" w:hAnsi="仿宋_GB2312" w:cs="仿宋_GB2312" w:hint="eastAsia"/>
          <w:sz w:val="32"/>
          <w:szCs w:val="32"/>
        </w:rPr>
        <w:t>万元，完成预算1</w:t>
      </w:r>
      <w:r w:rsidR="00C84C6D">
        <w:rPr>
          <w:rFonts w:ascii="仿宋_GB2312" w:eastAsia="仿宋_GB2312" w:hAnsi="仿宋_GB2312" w:cs="仿宋_GB2312" w:hint="eastAsia"/>
          <w:sz w:val="32"/>
          <w:szCs w:val="32"/>
        </w:rPr>
        <w:t>34.9</w:t>
      </w:r>
      <w:r>
        <w:rPr>
          <w:rFonts w:ascii="仿宋_GB2312" w:eastAsia="仿宋_GB2312" w:hAnsi="仿宋_GB2312" w:cs="仿宋_GB2312" w:hint="eastAsia"/>
          <w:sz w:val="32"/>
          <w:szCs w:val="32"/>
        </w:rPr>
        <w:t>%。其中：</w:t>
      </w:r>
      <w:bookmarkEnd w:id="38"/>
      <w:bookmarkEnd w:id="39"/>
      <w:bookmarkEnd w:id="40"/>
    </w:p>
    <w:p w:rsidR="00BB2F55" w:rsidRDefault="002E0451">
      <w:pPr>
        <w:snapToGrid w:val="0"/>
        <w:spacing w:line="520" w:lineRule="exact"/>
        <w:ind w:firstLineChars="200" w:firstLine="643"/>
        <w:rPr>
          <w:rFonts w:ascii="仿宋_GB2312" w:eastAsia="仿宋_GB2312" w:hAnsi="仿宋"/>
          <w:sz w:val="32"/>
          <w:szCs w:val="32"/>
        </w:rPr>
      </w:pPr>
      <w:r>
        <w:rPr>
          <w:rStyle w:val="a8"/>
          <w:rFonts w:ascii="仿宋_GB2312" w:eastAsia="仿宋_GB2312" w:hint="eastAsia"/>
          <w:sz w:val="32"/>
          <w:szCs w:val="32"/>
        </w:rPr>
        <w:t>1.一般公共服务支出（类）201（款）13（项）08:</w:t>
      </w:r>
      <w:r>
        <w:rPr>
          <w:rStyle w:val="a8"/>
          <w:rFonts w:ascii="仿宋_GB2312" w:eastAsia="仿宋_GB2312" w:hint="eastAsia"/>
          <w:b w:val="0"/>
          <w:sz w:val="32"/>
          <w:szCs w:val="32"/>
        </w:rPr>
        <w:t xml:space="preserve"> 招商引资支出决算为</w:t>
      </w:r>
      <w:r w:rsidR="00C84C6D" w:rsidRPr="009F2207">
        <w:rPr>
          <w:rFonts w:ascii="仿宋_GB2312" w:eastAsia="仿宋_GB2312" w:hAnsi="仿宋_GB2312" w:cs="仿宋_GB2312"/>
          <w:sz w:val="32"/>
          <w:szCs w:val="32"/>
        </w:rPr>
        <w:t>1,116.83</w:t>
      </w:r>
      <w:r>
        <w:rPr>
          <w:rStyle w:val="a8"/>
          <w:rFonts w:ascii="仿宋_GB2312" w:eastAsia="仿宋_GB2312" w:hint="eastAsia"/>
          <w:b w:val="0"/>
          <w:sz w:val="32"/>
          <w:szCs w:val="32"/>
        </w:rPr>
        <w:t>万元，完成预算1</w:t>
      </w:r>
      <w:r w:rsidR="00C84C6D">
        <w:rPr>
          <w:rStyle w:val="a8"/>
          <w:rFonts w:ascii="仿宋_GB2312" w:eastAsia="仿宋_GB2312" w:hint="eastAsia"/>
          <w:b w:val="0"/>
          <w:sz w:val="32"/>
          <w:szCs w:val="32"/>
        </w:rPr>
        <w:t>26</w:t>
      </w:r>
      <w:r>
        <w:rPr>
          <w:rStyle w:val="a8"/>
          <w:rFonts w:ascii="仿宋_GB2312" w:eastAsia="仿宋_GB2312" w:hint="eastAsia"/>
          <w:b w:val="0"/>
          <w:sz w:val="32"/>
          <w:szCs w:val="32"/>
        </w:rPr>
        <w:t>%，决算数大于预算数</w:t>
      </w:r>
      <w:r>
        <w:rPr>
          <w:rFonts w:ascii="仿宋_GB2312" w:eastAsia="仿宋_GB2312" w:hAnsi="仿宋" w:hint="eastAsia"/>
          <w:sz w:val="32"/>
          <w:szCs w:val="32"/>
        </w:rPr>
        <w:t>。</w:t>
      </w:r>
    </w:p>
    <w:p w:rsidR="00BB2F55" w:rsidRPr="00C84C6D" w:rsidRDefault="002E0451" w:rsidP="00C84C6D">
      <w:pPr>
        <w:rPr>
          <w:rFonts w:ascii="仿宋_GB2312" w:eastAsia="仿宋_GB2312" w:hAnsi="宋体" w:cs="宋体"/>
          <w:color w:val="000000"/>
          <w:kern w:val="0"/>
          <w:sz w:val="32"/>
          <w:szCs w:val="32"/>
        </w:rPr>
      </w:pPr>
      <w:r>
        <w:rPr>
          <w:rStyle w:val="a8"/>
          <w:rFonts w:ascii="仿宋_GB2312" w:eastAsia="仿宋_GB2312" w:hint="eastAsia"/>
          <w:sz w:val="32"/>
          <w:szCs w:val="32"/>
        </w:rPr>
        <w:t>2.社会保障和就业支出（类）208：</w:t>
      </w:r>
      <w:r>
        <w:rPr>
          <w:rStyle w:val="a8"/>
          <w:rFonts w:ascii="仿宋_GB2312" w:eastAsia="仿宋_GB2312" w:hint="eastAsia"/>
          <w:b w:val="0"/>
          <w:sz w:val="32"/>
          <w:szCs w:val="32"/>
        </w:rPr>
        <w:t>支出决算为</w:t>
      </w:r>
      <w:r w:rsidR="00C84C6D" w:rsidRPr="00C84C6D">
        <w:rPr>
          <w:rFonts w:ascii="仿宋_GB2312" w:eastAsia="仿宋_GB2312" w:hAnsi="宋体" w:cs="宋体" w:hint="eastAsia"/>
          <w:color w:val="000000"/>
          <w:kern w:val="0"/>
          <w:sz w:val="32"/>
          <w:szCs w:val="32"/>
        </w:rPr>
        <w:t>18.45</w:t>
      </w:r>
      <w:r>
        <w:rPr>
          <w:rStyle w:val="a8"/>
          <w:rFonts w:ascii="仿宋_GB2312" w:eastAsia="仿宋_GB2312" w:hint="eastAsia"/>
          <w:b w:val="0"/>
          <w:sz w:val="32"/>
          <w:szCs w:val="32"/>
        </w:rPr>
        <w:t>万元，完成预算</w:t>
      </w:r>
      <w:r w:rsidR="00C84C6D">
        <w:rPr>
          <w:rStyle w:val="a8"/>
          <w:rFonts w:ascii="仿宋_GB2312" w:eastAsia="仿宋_GB2312" w:hint="eastAsia"/>
          <w:b w:val="0"/>
          <w:sz w:val="32"/>
          <w:szCs w:val="32"/>
        </w:rPr>
        <w:t>47.5</w:t>
      </w:r>
      <w:r>
        <w:rPr>
          <w:rStyle w:val="a8"/>
          <w:rFonts w:ascii="仿宋_GB2312" w:eastAsia="仿宋_GB2312" w:hint="eastAsia"/>
          <w:b w:val="0"/>
          <w:sz w:val="32"/>
          <w:szCs w:val="32"/>
        </w:rPr>
        <w:t>%。预算数大于决算数，主要原因是社保实缴纳数小于预算数</w:t>
      </w:r>
      <w:r>
        <w:rPr>
          <w:rFonts w:ascii="仿宋_GB2312" w:eastAsia="仿宋_GB2312" w:hAnsi="仿宋" w:hint="eastAsia"/>
          <w:sz w:val="32"/>
          <w:szCs w:val="32"/>
        </w:rPr>
        <w:t>。</w:t>
      </w:r>
    </w:p>
    <w:p w:rsidR="00BB2F55" w:rsidRDefault="002E0451">
      <w:pPr>
        <w:spacing w:line="600" w:lineRule="exact"/>
        <w:ind w:firstLineChars="200" w:firstLine="643"/>
        <w:rPr>
          <w:rStyle w:val="a8"/>
          <w:rFonts w:ascii="仿宋_GB2312" w:eastAsia="仿宋_GB2312"/>
          <w:sz w:val="32"/>
          <w:szCs w:val="32"/>
        </w:rPr>
      </w:pPr>
      <w:r>
        <w:rPr>
          <w:rStyle w:val="a8"/>
          <w:rFonts w:ascii="仿宋_GB2312" w:eastAsia="仿宋_GB2312" w:hint="eastAsia"/>
          <w:sz w:val="32"/>
          <w:szCs w:val="32"/>
        </w:rPr>
        <w:t>3.卫生健康支出（类）201：</w:t>
      </w:r>
      <w:r>
        <w:rPr>
          <w:rStyle w:val="a8"/>
          <w:rFonts w:ascii="仿宋_GB2312" w:eastAsia="仿宋_GB2312" w:hint="eastAsia"/>
          <w:b w:val="0"/>
          <w:sz w:val="32"/>
          <w:szCs w:val="32"/>
        </w:rPr>
        <w:t>支出决算为</w:t>
      </w:r>
      <w:r w:rsidR="00C84C6D" w:rsidRPr="009F2207">
        <w:rPr>
          <w:rFonts w:ascii="仿宋_GB2312" w:eastAsia="仿宋_GB2312" w:hAnsi="仿宋_GB2312" w:cs="仿宋_GB2312"/>
          <w:sz w:val="32"/>
          <w:szCs w:val="32"/>
        </w:rPr>
        <w:t>17.23</w:t>
      </w:r>
      <w:r>
        <w:rPr>
          <w:rStyle w:val="a8"/>
          <w:rFonts w:ascii="仿宋_GB2312" w:eastAsia="仿宋_GB2312" w:hint="eastAsia"/>
          <w:b w:val="0"/>
          <w:sz w:val="32"/>
          <w:szCs w:val="32"/>
        </w:rPr>
        <w:t>万元，完成预算的</w:t>
      </w:r>
      <w:r w:rsidR="00C84C6D">
        <w:rPr>
          <w:rStyle w:val="a8"/>
          <w:rFonts w:ascii="仿宋_GB2312" w:eastAsia="仿宋_GB2312" w:hint="eastAsia"/>
          <w:b w:val="0"/>
          <w:sz w:val="32"/>
          <w:szCs w:val="32"/>
        </w:rPr>
        <w:t>1.1</w:t>
      </w:r>
      <w:r>
        <w:rPr>
          <w:rStyle w:val="a8"/>
          <w:rFonts w:ascii="仿宋_GB2312" w:eastAsia="仿宋_GB2312" w:hint="eastAsia"/>
          <w:b w:val="0"/>
          <w:sz w:val="32"/>
          <w:szCs w:val="32"/>
        </w:rPr>
        <w:t>%。决算数</w:t>
      </w:r>
      <w:r w:rsidR="00C84C6D">
        <w:rPr>
          <w:rStyle w:val="a8"/>
          <w:rFonts w:ascii="仿宋_GB2312" w:eastAsia="仿宋_GB2312" w:hint="eastAsia"/>
          <w:b w:val="0"/>
          <w:sz w:val="32"/>
          <w:szCs w:val="32"/>
        </w:rPr>
        <w:t>大</w:t>
      </w:r>
      <w:r>
        <w:rPr>
          <w:rStyle w:val="a8"/>
          <w:rFonts w:ascii="仿宋_GB2312" w:eastAsia="仿宋_GB2312" w:hint="eastAsia"/>
          <w:b w:val="0"/>
          <w:sz w:val="32"/>
          <w:szCs w:val="32"/>
        </w:rPr>
        <w:t>于预算数的主要原因是</w:t>
      </w:r>
      <w:r w:rsidR="00C84C6D">
        <w:rPr>
          <w:rStyle w:val="a8"/>
          <w:rFonts w:ascii="仿宋_GB2312" w:eastAsia="仿宋_GB2312" w:hint="eastAsia"/>
          <w:b w:val="0"/>
          <w:sz w:val="32"/>
          <w:szCs w:val="32"/>
        </w:rPr>
        <w:t>人员增加</w:t>
      </w:r>
      <w:r>
        <w:rPr>
          <w:rStyle w:val="a8"/>
          <w:rFonts w:ascii="仿宋_GB2312" w:eastAsia="仿宋_GB2312" w:hint="eastAsia"/>
          <w:b w:val="0"/>
          <w:sz w:val="32"/>
          <w:szCs w:val="32"/>
        </w:rPr>
        <w:t>医疗保险实缴数</w:t>
      </w:r>
      <w:r w:rsidR="00C84C6D">
        <w:rPr>
          <w:rStyle w:val="a8"/>
          <w:rFonts w:ascii="仿宋_GB2312" w:eastAsia="仿宋_GB2312" w:hint="eastAsia"/>
          <w:b w:val="0"/>
          <w:sz w:val="32"/>
          <w:szCs w:val="32"/>
        </w:rPr>
        <w:t>大</w:t>
      </w:r>
      <w:r>
        <w:rPr>
          <w:rStyle w:val="a8"/>
          <w:rFonts w:ascii="仿宋_GB2312" w:eastAsia="仿宋_GB2312" w:hint="eastAsia"/>
          <w:b w:val="0"/>
          <w:sz w:val="32"/>
          <w:szCs w:val="32"/>
        </w:rPr>
        <w:t>于预算数。</w:t>
      </w:r>
    </w:p>
    <w:p w:rsidR="00BB2F55" w:rsidRDefault="002E0451">
      <w:pPr>
        <w:spacing w:line="600" w:lineRule="exact"/>
        <w:ind w:firstLineChars="200" w:firstLine="643"/>
        <w:rPr>
          <w:rStyle w:val="a8"/>
          <w:rFonts w:ascii="仿宋_GB2312" w:eastAsia="仿宋_GB2312"/>
          <w:b w:val="0"/>
          <w:sz w:val="32"/>
          <w:szCs w:val="32"/>
        </w:rPr>
      </w:pPr>
      <w:r>
        <w:rPr>
          <w:rStyle w:val="a8"/>
          <w:rFonts w:ascii="仿宋_GB2312" w:eastAsia="仿宋_GB2312" w:hint="eastAsia"/>
          <w:sz w:val="32"/>
          <w:szCs w:val="32"/>
        </w:rPr>
        <w:t>4.住房保障支出（类）221（款）02（项）01:</w:t>
      </w:r>
      <w:r>
        <w:rPr>
          <w:rStyle w:val="a8"/>
          <w:rFonts w:ascii="仿宋_GB2312" w:eastAsia="仿宋_GB2312" w:hint="eastAsia"/>
          <w:b w:val="0"/>
          <w:sz w:val="32"/>
          <w:szCs w:val="32"/>
        </w:rPr>
        <w:t>住房公积金支出决算为</w:t>
      </w:r>
      <w:r w:rsidR="00C84C6D" w:rsidRPr="009F2207">
        <w:rPr>
          <w:rFonts w:ascii="仿宋_GB2312" w:eastAsia="仿宋_GB2312" w:hAnsi="仿宋_GB2312" w:cs="仿宋_GB2312"/>
          <w:sz w:val="32"/>
          <w:szCs w:val="32"/>
        </w:rPr>
        <w:t>31.09</w:t>
      </w:r>
      <w:r>
        <w:rPr>
          <w:rStyle w:val="a8"/>
          <w:rFonts w:ascii="仿宋_GB2312" w:eastAsia="仿宋_GB2312" w:hint="eastAsia"/>
          <w:b w:val="0"/>
          <w:sz w:val="32"/>
          <w:szCs w:val="32"/>
        </w:rPr>
        <w:t>万元，</w:t>
      </w:r>
      <w:r w:rsidR="00A37ADC">
        <w:rPr>
          <w:rStyle w:val="a8"/>
          <w:rFonts w:ascii="仿宋_GB2312" w:eastAsia="仿宋_GB2312" w:hint="eastAsia"/>
          <w:b w:val="0"/>
          <w:sz w:val="32"/>
          <w:szCs w:val="32"/>
        </w:rPr>
        <w:t>完成预算的1.1%，</w:t>
      </w:r>
      <w:r>
        <w:rPr>
          <w:rStyle w:val="a8"/>
          <w:rFonts w:ascii="仿宋_GB2312" w:eastAsia="仿宋_GB2312" w:hint="eastAsia"/>
          <w:b w:val="0"/>
          <w:sz w:val="32"/>
          <w:szCs w:val="32"/>
        </w:rPr>
        <w:t>决算数</w:t>
      </w:r>
      <w:r w:rsidR="00A37ADC">
        <w:rPr>
          <w:rStyle w:val="a8"/>
          <w:rFonts w:ascii="仿宋_GB2312" w:eastAsia="仿宋_GB2312" w:hint="eastAsia"/>
          <w:b w:val="0"/>
          <w:sz w:val="32"/>
          <w:szCs w:val="32"/>
        </w:rPr>
        <w:t>大于</w:t>
      </w:r>
      <w:r>
        <w:rPr>
          <w:rStyle w:val="a8"/>
          <w:rFonts w:ascii="仿宋_GB2312" w:eastAsia="仿宋_GB2312" w:hint="eastAsia"/>
          <w:b w:val="0"/>
          <w:sz w:val="32"/>
          <w:szCs w:val="32"/>
        </w:rPr>
        <w:t>预算数</w:t>
      </w:r>
      <w:r w:rsidR="00A37ADC">
        <w:rPr>
          <w:rStyle w:val="a8"/>
          <w:rFonts w:ascii="仿宋_GB2312" w:eastAsia="仿宋_GB2312" w:hint="eastAsia"/>
          <w:b w:val="0"/>
          <w:sz w:val="32"/>
          <w:szCs w:val="32"/>
        </w:rPr>
        <w:t>的主要原因是人员增加住房公积金实缴数大于预算数</w:t>
      </w:r>
      <w:r>
        <w:rPr>
          <w:rFonts w:ascii="仿宋_GB2312" w:eastAsia="仿宋_GB2312" w:hAnsi="仿宋" w:hint="eastAsia"/>
          <w:sz w:val="32"/>
          <w:szCs w:val="32"/>
        </w:rPr>
        <w:t>。</w:t>
      </w:r>
    </w:p>
    <w:p w:rsidR="00BB2F55" w:rsidRDefault="002E0451">
      <w:pPr>
        <w:tabs>
          <w:tab w:val="right" w:pos="8306"/>
        </w:tabs>
        <w:spacing w:line="578" w:lineRule="exact"/>
        <w:ind w:firstLine="640"/>
        <w:outlineLvl w:val="1"/>
        <w:rPr>
          <w:rStyle w:val="2Char"/>
        </w:rPr>
      </w:pPr>
      <w:bookmarkStart w:id="41" w:name="_Toc15377214"/>
      <w:bookmarkStart w:id="42"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BB2F55" w:rsidRDefault="002E045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sidR="00A37AD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年一般公共预算财政拨款基本支出</w:t>
      </w:r>
      <w:r w:rsidR="00A37ADC" w:rsidRPr="00A37ADC">
        <w:rPr>
          <w:rFonts w:ascii="仿宋_GB2312" w:eastAsia="仿宋_GB2312" w:hAnsi="仿宋_GB2312" w:cs="仿宋_GB2312"/>
          <w:sz w:val="32"/>
          <w:szCs w:val="32"/>
        </w:rPr>
        <w:t>431.59</w:t>
      </w:r>
      <w:r>
        <w:rPr>
          <w:rFonts w:ascii="仿宋_GB2312" w:eastAsia="仿宋_GB2312" w:hAnsi="仿宋_GB2312" w:cs="仿宋_GB2312" w:hint="eastAsia"/>
          <w:sz w:val="32"/>
          <w:szCs w:val="32"/>
        </w:rPr>
        <w:t>万元，其中：</w:t>
      </w:r>
    </w:p>
    <w:p w:rsidR="00D94853" w:rsidRDefault="002E0451" w:rsidP="00D94853">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sidR="00A37ADC">
        <w:rPr>
          <w:rFonts w:ascii="仿宋_GB2312" w:eastAsia="仿宋_GB2312" w:hAnsi="仿宋" w:hint="eastAsia"/>
          <w:sz w:val="32"/>
          <w:szCs w:val="32"/>
        </w:rPr>
        <w:t>372.59</w:t>
      </w:r>
      <w:r>
        <w:rPr>
          <w:rFonts w:ascii="仿宋_GB2312" w:eastAsia="仿宋_GB2312" w:hAnsi="仿宋_GB2312" w:cs="仿宋_GB2312" w:hint="eastAsia"/>
          <w:sz w:val="32"/>
          <w:szCs w:val="32"/>
        </w:rPr>
        <w:t>万元，主要包括：基本工资</w:t>
      </w:r>
      <w:r w:rsidR="00A37ADC" w:rsidRPr="00A37ADC">
        <w:rPr>
          <w:rFonts w:ascii="仿宋_GB2312" w:eastAsia="仿宋_GB2312" w:hAnsi="仿宋_GB2312" w:cs="仿宋_GB2312"/>
          <w:sz w:val="32"/>
          <w:szCs w:val="32"/>
        </w:rPr>
        <w:t>116.56</w:t>
      </w:r>
      <w:r>
        <w:rPr>
          <w:rFonts w:ascii="仿宋_GB2312" w:eastAsia="仿宋_GB2312" w:hAnsi="仿宋_GB2312" w:cs="仿宋_GB2312" w:hint="eastAsia"/>
          <w:sz w:val="32"/>
          <w:szCs w:val="32"/>
        </w:rPr>
        <w:t>万元、津贴补贴</w:t>
      </w:r>
      <w:r w:rsidR="00A37ADC" w:rsidRPr="00A37ADC">
        <w:rPr>
          <w:rFonts w:ascii="仿宋_GB2312" w:eastAsia="仿宋_GB2312" w:hAnsi="仿宋_GB2312" w:cs="仿宋_GB2312"/>
          <w:sz w:val="32"/>
          <w:szCs w:val="32"/>
        </w:rPr>
        <w:t>30.92</w:t>
      </w:r>
      <w:r>
        <w:rPr>
          <w:rFonts w:ascii="仿宋_GB2312" w:eastAsia="仿宋_GB2312" w:hAnsi="仿宋_GB2312" w:cs="仿宋_GB2312" w:hint="eastAsia"/>
          <w:sz w:val="32"/>
          <w:szCs w:val="32"/>
        </w:rPr>
        <w:t>万元、奖金</w:t>
      </w:r>
      <w:r w:rsidR="00A37ADC" w:rsidRPr="00A37ADC">
        <w:rPr>
          <w:rFonts w:ascii="仿宋_GB2312" w:eastAsia="仿宋_GB2312" w:hAnsi="仿宋_GB2312" w:cs="仿宋_GB2312"/>
          <w:sz w:val="32"/>
          <w:szCs w:val="32"/>
        </w:rPr>
        <w:t>90.71</w:t>
      </w:r>
      <w:r>
        <w:rPr>
          <w:rFonts w:ascii="仿宋_GB2312" w:eastAsia="仿宋_GB2312" w:hAnsi="仿宋_GB2312" w:cs="仿宋_GB2312" w:hint="eastAsia"/>
          <w:sz w:val="32"/>
          <w:szCs w:val="32"/>
        </w:rPr>
        <w:t>万元、伙食补助费0万元、绩效工资</w:t>
      </w:r>
      <w:r w:rsidR="00A37ADC" w:rsidRPr="00A37ADC">
        <w:rPr>
          <w:rFonts w:ascii="仿宋_GB2312" w:eastAsia="仿宋_GB2312" w:hAnsi="仿宋_GB2312" w:cs="仿宋_GB2312"/>
          <w:sz w:val="32"/>
          <w:szCs w:val="32"/>
        </w:rPr>
        <w:t>23.26</w:t>
      </w:r>
      <w:r>
        <w:rPr>
          <w:rFonts w:ascii="仿宋_GB2312" w:eastAsia="仿宋_GB2312" w:hAnsi="仿宋_GB2312" w:cs="仿宋_GB2312" w:hint="eastAsia"/>
          <w:sz w:val="32"/>
          <w:szCs w:val="32"/>
        </w:rPr>
        <w:t>万元、机关事业单位基本养老保险缴费</w:t>
      </w:r>
      <w:r w:rsidR="00A37ADC" w:rsidRPr="00A37ADC">
        <w:rPr>
          <w:rFonts w:ascii="仿宋_GB2312" w:eastAsia="仿宋_GB2312" w:hAnsi="仿宋_GB2312" w:cs="仿宋_GB2312"/>
          <w:sz w:val="32"/>
          <w:szCs w:val="32"/>
        </w:rPr>
        <w:t>11.81</w:t>
      </w:r>
      <w:r>
        <w:rPr>
          <w:rFonts w:ascii="仿宋_GB2312" w:eastAsia="仿宋_GB2312" w:hAnsi="仿宋_GB2312" w:cs="仿宋_GB2312" w:hint="eastAsia"/>
          <w:sz w:val="32"/>
          <w:szCs w:val="32"/>
        </w:rPr>
        <w:t>万元、职业年金缴费</w:t>
      </w:r>
      <w:r w:rsidR="00A37ADC" w:rsidRPr="00A37ADC">
        <w:rPr>
          <w:rFonts w:ascii="仿宋_GB2312" w:eastAsia="仿宋_GB2312" w:hAnsi="仿宋_GB2312" w:cs="仿宋_GB2312"/>
          <w:sz w:val="32"/>
          <w:szCs w:val="32"/>
        </w:rPr>
        <w:t>5.79</w:t>
      </w:r>
      <w:r>
        <w:rPr>
          <w:rFonts w:ascii="仿宋_GB2312" w:eastAsia="仿宋_GB2312" w:hAnsi="仿宋_GB2312" w:cs="仿宋_GB2312" w:hint="eastAsia"/>
          <w:sz w:val="32"/>
          <w:szCs w:val="32"/>
        </w:rPr>
        <w:t>万元、基本医疗保险缴费</w:t>
      </w:r>
      <w:r w:rsidR="00A37ADC" w:rsidRPr="00A37ADC">
        <w:rPr>
          <w:rFonts w:ascii="仿宋_GB2312" w:eastAsia="仿宋_GB2312" w:hAnsi="仿宋_GB2312" w:cs="仿宋_GB2312"/>
          <w:sz w:val="32"/>
          <w:szCs w:val="32"/>
        </w:rPr>
        <w:t>12.99</w:t>
      </w:r>
      <w:r>
        <w:rPr>
          <w:rFonts w:ascii="仿宋_GB2312" w:eastAsia="仿宋_GB2312" w:hAnsi="仿宋_GB2312" w:cs="仿宋_GB2312" w:hint="eastAsia"/>
          <w:sz w:val="32"/>
          <w:szCs w:val="32"/>
        </w:rPr>
        <w:t>万元、公务员医疗补助缴费</w:t>
      </w:r>
      <w:r w:rsidR="00A37ADC" w:rsidRPr="00A37ADC">
        <w:rPr>
          <w:rFonts w:ascii="仿宋_GB2312" w:eastAsia="仿宋_GB2312" w:hAnsi="仿宋_GB2312" w:cs="仿宋_GB2312"/>
          <w:sz w:val="32"/>
          <w:szCs w:val="32"/>
        </w:rPr>
        <w:t>3.96</w:t>
      </w:r>
      <w:r>
        <w:rPr>
          <w:rFonts w:ascii="仿宋_GB2312" w:eastAsia="仿宋_GB2312" w:hAnsi="仿宋_GB2312" w:cs="仿宋_GB2312" w:hint="eastAsia"/>
          <w:sz w:val="32"/>
          <w:szCs w:val="32"/>
        </w:rPr>
        <w:t>万元、其他社会保障缴费</w:t>
      </w:r>
      <w:r w:rsidR="00A37ADC" w:rsidRPr="00A37ADC">
        <w:rPr>
          <w:rFonts w:ascii="仿宋_GB2312" w:eastAsia="仿宋_GB2312" w:hAnsi="仿宋_GB2312" w:cs="仿宋_GB2312"/>
          <w:sz w:val="32"/>
          <w:szCs w:val="32"/>
        </w:rPr>
        <w:t>1.14</w:t>
      </w:r>
      <w:r>
        <w:rPr>
          <w:rFonts w:ascii="仿宋_GB2312" w:eastAsia="仿宋_GB2312" w:hAnsi="仿宋_GB2312" w:cs="仿宋_GB2312" w:hint="eastAsia"/>
          <w:sz w:val="32"/>
          <w:szCs w:val="32"/>
        </w:rPr>
        <w:t>万元、其他工资福利支出</w:t>
      </w:r>
      <w:r w:rsidR="00A37ADC" w:rsidRPr="00A37ADC">
        <w:rPr>
          <w:rFonts w:ascii="仿宋_GB2312" w:eastAsia="仿宋_GB2312" w:hAnsi="仿宋_GB2312" w:cs="仿宋_GB2312"/>
          <w:sz w:val="32"/>
          <w:szCs w:val="32"/>
        </w:rPr>
        <w:t>30.91</w:t>
      </w:r>
      <w:r>
        <w:rPr>
          <w:rFonts w:ascii="仿宋_GB2312" w:eastAsia="仿宋_GB2312" w:hAnsi="仿宋_GB2312" w:cs="仿宋_GB2312" w:hint="eastAsia"/>
          <w:sz w:val="32"/>
          <w:szCs w:val="32"/>
        </w:rPr>
        <w:t>万元、离休费0万元、退休费0万元、抚恤金0万元、住房公积金</w:t>
      </w:r>
      <w:r w:rsidR="00A37ADC" w:rsidRPr="00A37ADC">
        <w:rPr>
          <w:rFonts w:ascii="仿宋_GB2312" w:eastAsia="仿宋_GB2312" w:hAnsi="仿宋_GB2312" w:cs="仿宋_GB2312"/>
          <w:sz w:val="32"/>
          <w:szCs w:val="32"/>
        </w:rPr>
        <w:t>31.09</w:t>
      </w:r>
      <w:r>
        <w:rPr>
          <w:rFonts w:ascii="仿宋_GB2312" w:eastAsia="仿宋_GB2312" w:hAnsi="仿宋_GB2312" w:cs="仿宋_GB2312" w:hint="eastAsia"/>
          <w:sz w:val="32"/>
          <w:szCs w:val="32"/>
        </w:rPr>
        <w:t>万元、奖励金</w:t>
      </w:r>
      <w:r w:rsidR="00D94853" w:rsidRPr="00D94853">
        <w:rPr>
          <w:rFonts w:ascii="仿宋_GB2312" w:eastAsia="仿宋_GB2312" w:hAnsi="仿宋_GB2312" w:cs="仿宋_GB2312"/>
          <w:sz w:val="32"/>
          <w:szCs w:val="32"/>
        </w:rPr>
        <w:t>0.05</w:t>
      </w:r>
      <w:r>
        <w:rPr>
          <w:rFonts w:ascii="仿宋_GB2312" w:eastAsia="仿宋_GB2312" w:hAnsi="仿宋_GB2312" w:cs="仿宋_GB2312" w:hint="eastAsia"/>
          <w:sz w:val="32"/>
          <w:szCs w:val="32"/>
        </w:rPr>
        <w:t>万元</w:t>
      </w:r>
      <w:r w:rsidR="00D9485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t xml:space="preserve">　　公用经费</w:t>
      </w:r>
      <w:r w:rsidR="00D94853" w:rsidRPr="00D94853">
        <w:rPr>
          <w:rFonts w:ascii="仿宋_GB2312" w:eastAsia="仿宋_GB2312" w:hAnsi="仿宋_GB2312" w:cs="仿宋_GB2312"/>
          <w:sz w:val="32"/>
          <w:szCs w:val="32"/>
        </w:rPr>
        <w:t>59.00</w:t>
      </w:r>
      <w:r>
        <w:rPr>
          <w:rFonts w:ascii="仿宋_GB2312" w:eastAsia="仿宋_GB2312" w:hAnsi="仿宋_GB2312" w:cs="仿宋_GB2312" w:hint="eastAsia"/>
          <w:sz w:val="32"/>
          <w:szCs w:val="32"/>
        </w:rPr>
        <w:t>万元，主要包括：办公费</w:t>
      </w:r>
      <w:r w:rsidR="00D94853" w:rsidRPr="00D94853">
        <w:rPr>
          <w:rFonts w:ascii="仿宋_GB2312" w:eastAsia="仿宋_GB2312" w:hAnsi="仿宋_GB2312" w:cs="仿宋_GB2312"/>
          <w:sz w:val="32"/>
          <w:szCs w:val="32"/>
        </w:rPr>
        <w:t>11.33</w:t>
      </w:r>
      <w:r>
        <w:rPr>
          <w:rFonts w:ascii="仿宋_GB2312" w:eastAsia="仿宋_GB2312" w:hAnsi="仿宋_GB2312" w:cs="仿宋_GB2312" w:hint="eastAsia"/>
          <w:sz w:val="32"/>
          <w:szCs w:val="32"/>
        </w:rPr>
        <w:t>万元、印刷费0万元、咨询费0万元、手续费</w:t>
      </w:r>
      <w:r w:rsidR="00D94853">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万元、水费</w:t>
      </w:r>
      <w:r w:rsidR="00D94853" w:rsidRPr="00D94853">
        <w:rPr>
          <w:rFonts w:ascii="仿宋_GB2312" w:eastAsia="仿宋_GB2312" w:hAnsi="仿宋_GB2312" w:cs="仿宋_GB2312"/>
          <w:sz w:val="32"/>
          <w:szCs w:val="32"/>
        </w:rPr>
        <w:t>0.04</w:t>
      </w:r>
      <w:r>
        <w:rPr>
          <w:rFonts w:ascii="仿宋_GB2312" w:eastAsia="仿宋_GB2312" w:hAnsi="仿宋_GB2312" w:cs="仿宋_GB2312" w:hint="eastAsia"/>
          <w:sz w:val="32"/>
          <w:szCs w:val="32"/>
        </w:rPr>
        <w:t>万元、电费</w:t>
      </w:r>
      <w:r w:rsidR="00D94853" w:rsidRPr="00D94853">
        <w:rPr>
          <w:rFonts w:ascii="仿宋_GB2312" w:eastAsia="仿宋_GB2312" w:hAnsi="仿宋_GB2312" w:cs="仿宋_GB2312"/>
          <w:sz w:val="32"/>
          <w:szCs w:val="32"/>
        </w:rPr>
        <w:t>1.54</w:t>
      </w:r>
      <w:r>
        <w:rPr>
          <w:rFonts w:ascii="仿宋_GB2312" w:eastAsia="仿宋_GB2312" w:hAnsi="仿宋_GB2312" w:cs="仿宋_GB2312" w:hint="eastAsia"/>
          <w:sz w:val="32"/>
          <w:szCs w:val="32"/>
        </w:rPr>
        <w:t>万元、邮电费</w:t>
      </w:r>
      <w:r w:rsidR="00D94853" w:rsidRPr="00D94853">
        <w:rPr>
          <w:rFonts w:ascii="仿宋_GB2312" w:eastAsia="仿宋_GB2312" w:hAnsi="仿宋_GB2312" w:cs="仿宋_GB2312"/>
          <w:sz w:val="32"/>
          <w:szCs w:val="32"/>
        </w:rPr>
        <w:t>3.97</w:t>
      </w:r>
      <w:r>
        <w:rPr>
          <w:rFonts w:ascii="仿宋_GB2312" w:eastAsia="仿宋_GB2312" w:hAnsi="仿宋_GB2312" w:cs="仿宋_GB2312" w:hint="eastAsia"/>
          <w:sz w:val="32"/>
          <w:szCs w:val="32"/>
        </w:rPr>
        <w:t>万元、取暖费0万元、物业管理费</w:t>
      </w:r>
      <w:r w:rsidR="00D94853" w:rsidRPr="00D94853">
        <w:rPr>
          <w:rFonts w:ascii="仿宋_GB2312" w:eastAsia="仿宋_GB2312" w:hAnsi="仿宋_GB2312" w:cs="仿宋_GB2312"/>
          <w:sz w:val="32"/>
          <w:szCs w:val="32"/>
        </w:rPr>
        <w:t>0.46</w:t>
      </w:r>
      <w:r>
        <w:rPr>
          <w:rFonts w:ascii="仿宋_GB2312" w:eastAsia="仿宋_GB2312" w:hAnsi="仿宋_GB2312" w:cs="仿宋_GB2312" w:hint="eastAsia"/>
          <w:sz w:val="32"/>
          <w:szCs w:val="32"/>
        </w:rPr>
        <w:t>万元、差旅费</w:t>
      </w:r>
      <w:r w:rsidR="00D94853" w:rsidRPr="00D94853">
        <w:rPr>
          <w:rFonts w:ascii="仿宋_GB2312" w:eastAsia="仿宋_GB2312" w:hAnsi="仿宋_GB2312" w:cs="仿宋_GB2312"/>
          <w:sz w:val="32"/>
          <w:szCs w:val="32"/>
        </w:rPr>
        <w:t>6.19</w:t>
      </w:r>
      <w:r>
        <w:rPr>
          <w:rFonts w:ascii="仿宋_GB2312" w:eastAsia="仿宋_GB2312" w:hAnsi="仿宋_GB2312" w:cs="仿宋_GB2312" w:hint="eastAsia"/>
          <w:sz w:val="32"/>
          <w:szCs w:val="32"/>
        </w:rPr>
        <w:t>万元、因公出国（境）费用0万元、维修（护）费</w:t>
      </w:r>
      <w:r w:rsidR="00D94853" w:rsidRPr="00D94853">
        <w:rPr>
          <w:rFonts w:ascii="仿宋_GB2312" w:eastAsia="仿宋_GB2312" w:hAnsi="仿宋_GB2312" w:cs="仿宋_GB2312"/>
          <w:sz w:val="32"/>
          <w:szCs w:val="32"/>
        </w:rPr>
        <w:t>0.22</w:t>
      </w:r>
      <w:r>
        <w:rPr>
          <w:rFonts w:ascii="仿宋_GB2312" w:eastAsia="仿宋_GB2312" w:hAnsi="仿宋_GB2312" w:cs="仿宋_GB2312" w:hint="eastAsia"/>
          <w:sz w:val="32"/>
          <w:szCs w:val="32"/>
        </w:rPr>
        <w:t>万元、租赁费</w:t>
      </w:r>
      <w:r w:rsidR="00D94853" w:rsidRPr="00D94853">
        <w:rPr>
          <w:rFonts w:ascii="仿宋_GB2312" w:eastAsia="仿宋_GB2312" w:hAnsi="仿宋_GB2312" w:cs="仿宋_GB2312"/>
          <w:sz w:val="32"/>
          <w:szCs w:val="32"/>
        </w:rPr>
        <w:t>1.38</w:t>
      </w:r>
      <w:r>
        <w:rPr>
          <w:rFonts w:ascii="仿宋_GB2312" w:eastAsia="仿宋_GB2312" w:hAnsi="仿宋_GB2312" w:cs="仿宋_GB2312" w:hint="eastAsia"/>
          <w:sz w:val="32"/>
          <w:szCs w:val="32"/>
        </w:rPr>
        <w:t>万元、会议费</w:t>
      </w:r>
      <w:r w:rsidR="00D94853" w:rsidRPr="00D94853">
        <w:rPr>
          <w:rFonts w:ascii="仿宋_GB2312" w:eastAsia="仿宋_GB2312" w:hAnsi="仿宋_GB2312" w:cs="仿宋_GB2312"/>
          <w:sz w:val="32"/>
          <w:szCs w:val="32"/>
        </w:rPr>
        <w:t>0.2</w:t>
      </w:r>
      <w:r>
        <w:rPr>
          <w:rFonts w:ascii="仿宋_GB2312" w:eastAsia="仿宋_GB2312" w:hAnsi="仿宋_GB2312" w:cs="仿宋_GB2312" w:hint="eastAsia"/>
          <w:sz w:val="32"/>
          <w:szCs w:val="32"/>
        </w:rPr>
        <w:t>万元、培训费</w:t>
      </w:r>
      <w:r w:rsidR="00D94853" w:rsidRPr="00D94853">
        <w:rPr>
          <w:rFonts w:ascii="仿宋_GB2312" w:eastAsia="仿宋_GB2312" w:hAnsi="仿宋_GB2312" w:cs="仿宋_GB2312"/>
          <w:sz w:val="32"/>
          <w:szCs w:val="32"/>
        </w:rPr>
        <w:t>0.05</w:t>
      </w:r>
      <w:r>
        <w:rPr>
          <w:rFonts w:ascii="仿宋_GB2312" w:eastAsia="仿宋_GB2312" w:hAnsi="仿宋_GB2312" w:cs="仿宋_GB2312" w:hint="eastAsia"/>
          <w:sz w:val="32"/>
          <w:szCs w:val="32"/>
        </w:rPr>
        <w:t>万元、公务接待费0万元、劳务费</w:t>
      </w:r>
      <w:r w:rsidR="00D94853" w:rsidRPr="00D94853">
        <w:rPr>
          <w:rFonts w:ascii="仿宋_GB2312" w:eastAsia="仿宋_GB2312" w:hAnsi="仿宋_GB2312" w:cs="仿宋_GB2312"/>
          <w:sz w:val="32"/>
          <w:szCs w:val="32"/>
        </w:rPr>
        <w:t>0.48</w:t>
      </w:r>
      <w:r>
        <w:rPr>
          <w:rFonts w:ascii="仿宋_GB2312" w:eastAsia="仿宋_GB2312" w:hAnsi="仿宋_GB2312" w:cs="仿宋_GB2312" w:hint="eastAsia"/>
          <w:sz w:val="32"/>
          <w:szCs w:val="32"/>
        </w:rPr>
        <w:t>万元、委托业务费0万元、工会经费</w:t>
      </w:r>
      <w:r w:rsidR="00D94853" w:rsidRPr="00D94853">
        <w:rPr>
          <w:rFonts w:ascii="仿宋_GB2312" w:eastAsia="仿宋_GB2312" w:hAnsi="仿宋_GB2312" w:cs="仿宋_GB2312"/>
          <w:sz w:val="32"/>
          <w:szCs w:val="32"/>
        </w:rPr>
        <w:t>1.96</w:t>
      </w:r>
      <w:r>
        <w:rPr>
          <w:rFonts w:ascii="仿宋_GB2312" w:eastAsia="仿宋_GB2312" w:hAnsi="仿宋_GB2312" w:cs="仿宋_GB2312" w:hint="eastAsia"/>
          <w:sz w:val="32"/>
          <w:szCs w:val="32"/>
        </w:rPr>
        <w:t>万元、福利费</w:t>
      </w:r>
      <w:r w:rsidR="00D94853" w:rsidRPr="00D94853">
        <w:rPr>
          <w:rFonts w:ascii="仿宋_GB2312" w:eastAsia="仿宋_GB2312" w:hAnsi="仿宋_GB2312" w:cs="仿宋_GB2312"/>
          <w:sz w:val="32"/>
          <w:szCs w:val="32"/>
        </w:rPr>
        <w:t>4.33</w:t>
      </w:r>
      <w:r w:rsidR="00D9485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、其他交通</w:t>
      </w:r>
      <w:r w:rsidR="00D94853">
        <w:rPr>
          <w:rFonts w:ascii="仿宋_GB2312" w:eastAsia="仿宋_GB2312" w:hAnsi="仿宋_GB2312" w:cs="仿宋_GB2312" w:hint="eastAsia"/>
          <w:sz w:val="32"/>
          <w:szCs w:val="32"/>
        </w:rPr>
        <w:t>费</w:t>
      </w:r>
      <w:r w:rsidR="00D94853" w:rsidRPr="00D94853">
        <w:rPr>
          <w:rFonts w:ascii="仿宋_GB2312" w:eastAsia="仿宋_GB2312" w:hAnsi="仿宋_GB2312" w:cs="仿宋_GB2312"/>
          <w:sz w:val="32"/>
          <w:szCs w:val="32"/>
        </w:rPr>
        <w:t>10.07</w:t>
      </w:r>
      <w:r w:rsidR="00D94853">
        <w:rPr>
          <w:rFonts w:ascii="仿宋_GB2312" w:eastAsia="仿宋_GB2312" w:hAnsi="仿宋_GB2312" w:cs="仿宋_GB2312" w:hint="eastAsia"/>
          <w:sz w:val="32"/>
          <w:szCs w:val="32"/>
        </w:rPr>
        <w:t>万元、其他商品和服</w:t>
      </w:r>
    </w:p>
    <w:tbl>
      <w:tblPr>
        <w:tblpPr w:leftFromText="180" w:rightFromText="180" w:vertAnchor="page" w:horzAnchor="margin" w:tblpY="9909"/>
        <w:tblW w:w="8789" w:type="dxa"/>
        <w:tblLayout w:type="fixed"/>
        <w:tblLook w:val="04A0"/>
      </w:tblPr>
      <w:tblGrid>
        <w:gridCol w:w="2977"/>
        <w:gridCol w:w="1134"/>
        <w:gridCol w:w="1134"/>
        <w:gridCol w:w="1276"/>
        <w:gridCol w:w="1276"/>
        <w:gridCol w:w="992"/>
      </w:tblGrid>
      <w:tr w:rsidR="00D94853" w:rsidTr="00D94853">
        <w:trPr>
          <w:trHeight w:val="567"/>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D94853" w:rsidRDefault="00D94853" w:rsidP="00D94853">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支 出 指 标</w:t>
            </w:r>
          </w:p>
        </w:tc>
        <w:tc>
          <w:tcPr>
            <w:tcW w:w="1134" w:type="dxa"/>
            <w:tcBorders>
              <w:top w:val="single" w:sz="4" w:space="0" w:color="auto"/>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本年度</w:t>
            </w:r>
          </w:p>
        </w:tc>
        <w:tc>
          <w:tcPr>
            <w:tcW w:w="1134" w:type="dxa"/>
            <w:tcBorders>
              <w:top w:val="single" w:sz="4" w:space="0" w:color="auto"/>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上年度</w:t>
            </w:r>
          </w:p>
        </w:tc>
        <w:tc>
          <w:tcPr>
            <w:tcW w:w="1276" w:type="dxa"/>
            <w:tcBorders>
              <w:top w:val="single" w:sz="4" w:space="0" w:color="auto"/>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比上年增减</w:t>
            </w:r>
          </w:p>
        </w:tc>
        <w:tc>
          <w:tcPr>
            <w:tcW w:w="1276" w:type="dxa"/>
            <w:tcBorders>
              <w:top w:val="single" w:sz="4" w:space="0" w:color="auto"/>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增减率</w:t>
            </w:r>
          </w:p>
        </w:tc>
        <w:tc>
          <w:tcPr>
            <w:tcW w:w="992" w:type="dxa"/>
            <w:tcBorders>
              <w:top w:val="single" w:sz="4" w:space="0" w:color="auto"/>
              <w:left w:val="nil"/>
              <w:bottom w:val="single" w:sz="8" w:space="0" w:color="000000"/>
              <w:right w:val="single" w:sz="8"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D94853" w:rsidTr="00D94853">
        <w:trPr>
          <w:trHeight w:val="376"/>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D94853" w:rsidRDefault="00D94853" w:rsidP="00D94853">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一、 “三公”经费支出</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992" w:type="dxa"/>
            <w:tcBorders>
              <w:top w:val="nil"/>
              <w:left w:val="nil"/>
              <w:bottom w:val="single" w:sz="8" w:space="0" w:color="000000"/>
              <w:right w:val="single" w:sz="8"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p>
        </w:tc>
      </w:tr>
      <w:tr w:rsidR="00D94853" w:rsidTr="00D94853">
        <w:trPr>
          <w:trHeight w:val="356"/>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D94853" w:rsidRDefault="00D94853" w:rsidP="00D94853">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其中：因公出国（境）费</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992" w:type="dxa"/>
            <w:tcBorders>
              <w:top w:val="nil"/>
              <w:left w:val="nil"/>
              <w:bottom w:val="single" w:sz="8" w:space="0" w:color="000000"/>
              <w:right w:val="single" w:sz="8"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p>
        </w:tc>
      </w:tr>
      <w:tr w:rsidR="00D94853" w:rsidTr="00D94853">
        <w:trPr>
          <w:trHeight w:val="463"/>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D94853" w:rsidRDefault="00D94853" w:rsidP="00D94853">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公务用车购置及运行维护费</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992" w:type="dxa"/>
            <w:tcBorders>
              <w:top w:val="nil"/>
              <w:left w:val="nil"/>
              <w:bottom w:val="single" w:sz="8" w:space="0" w:color="000000"/>
              <w:right w:val="single" w:sz="8"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p>
        </w:tc>
      </w:tr>
      <w:tr w:rsidR="00D94853" w:rsidTr="00D94853">
        <w:trPr>
          <w:trHeight w:val="557"/>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D94853" w:rsidRDefault="00D94853" w:rsidP="00D94853">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其中：公务用车购置费</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992" w:type="dxa"/>
            <w:tcBorders>
              <w:top w:val="nil"/>
              <w:left w:val="nil"/>
              <w:bottom w:val="single" w:sz="8" w:space="0" w:color="000000"/>
              <w:right w:val="single" w:sz="8"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p>
        </w:tc>
      </w:tr>
      <w:tr w:rsidR="00D94853" w:rsidTr="00D94853">
        <w:trPr>
          <w:trHeight w:val="567"/>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D94853" w:rsidRDefault="00D94853" w:rsidP="00D94853">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公务用车运行维护费</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992" w:type="dxa"/>
            <w:tcBorders>
              <w:top w:val="nil"/>
              <w:left w:val="nil"/>
              <w:bottom w:val="single" w:sz="8" w:space="0" w:color="000000"/>
              <w:right w:val="single" w:sz="8"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p>
        </w:tc>
      </w:tr>
      <w:tr w:rsidR="00D94853" w:rsidTr="00D94853">
        <w:trPr>
          <w:trHeight w:val="567"/>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D94853" w:rsidRDefault="00D94853" w:rsidP="00D94853">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公务接待费</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134"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0</w:t>
            </w:r>
          </w:p>
        </w:tc>
        <w:tc>
          <w:tcPr>
            <w:tcW w:w="1276" w:type="dxa"/>
            <w:tcBorders>
              <w:top w:val="nil"/>
              <w:left w:val="nil"/>
              <w:bottom w:val="single" w:sz="8" w:space="0" w:color="000000"/>
              <w:right w:val="single" w:sz="4"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992" w:type="dxa"/>
            <w:tcBorders>
              <w:top w:val="nil"/>
              <w:left w:val="nil"/>
              <w:bottom w:val="single" w:sz="8" w:space="0" w:color="000000"/>
              <w:right w:val="single" w:sz="8" w:space="0" w:color="000000"/>
            </w:tcBorders>
            <w:shd w:val="clear" w:color="auto" w:fill="auto"/>
            <w:vAlign w:val="center"/>
          </w:tcPr>
          <w:p w:rsidR="00D94853" w:rsidRDefault="00D94853" w:rsidP="00D94853">
            <w:pPr>
              <w:widowControl/>
              <w:spacing w:line="578" w:lineRule="exact"/>
              <w:jc w:val="center"/>
              <w:rPr>
                <w:rFonts w:asciiTheme="minorEastAsia" w:eastAsiaTheme="minorEastAsia" w:hAnsiTheme="minorEastAsia"/>
                <w:szCs w:val="21"/>
              </w:rPr>
            </w:pPr>
          </w:p>
        </w:tc>
      </w:tr>
      <w:tr w:rsidR="00432C25" w:rsidTr="00D94853">
        <w:trPr>
          <w:trHeight w:val="567"/>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432C25" w:rsidRDefault="00432C25" w:rsidP="00432C25">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二、 机关运行经费</w:t>
            </w:r>
          </w:p>
        </w:tc>
        <w:tc>
          <w:tcPr>
            <w:tcW w:w="1134"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sidRPr="00D94853">
              <w:rPr>
                <w:rFonts w:ascii="仿宋_GB2312" w:eastAsia="仿宋_GB2312" w:hAnsi="仿宋"/>
                <w:szCs w:val="21"/>
              </w:rPr>
              <w:t>59</w:t>
            </w:r>
            <w:r>
              <w:rPr>
                <w:rFonts w:ascii="仿宋_GB2312" w:eastAsia="仿宋_GB2312" w:hAnsi="仿宋" w:hint="eastAsia"/>
                <w:szCs w:val="21"/>
              </w:rPr>
              <w:t>0000</w:t>
            </w:r>
          </w:p>
        </w:tc>
        <w:tc>
          <w:tcPr>
            <w:tcW w:w="1134"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szCs w:val="21"/>
              </w:rPr>
              <w:t>344954.37</w:t>
            </w:r>
            <w:r>
              <w:rPr>
                <w:rFonts w:ascii="仿宋_GB2312" w:eastAsia="仿宋_GB2312" w:hAnsi="仿宋" w:hint="eastAsia"/>
                <w:szCs w:val="21"/>
              </w:rPr>
              <w:t>2</w:t>
            </w:r>
          </w:p>
        </w:tc>
        <w:tc>
          <w:tcPr>
            <w:tcW w:w="1276"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hint="eastAsia"/>
                <w:szCs w:val="21"/>
              </w:rPr>
              <w:t>245045.628</w:t>
            </w:r>
          </w:p>
        </w:tc>
        <w:tc>
          <w:tcPr>
            <w:tcW w:w="1276"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hint="eastAsia"/>
                <w:szCs w:val="21"/>
              </w:rPr>
              <w:t>71%</w:t>
            </w:r>
          </w:p>
        </w:tc>
        <w:tc>
          <w:tcPr>
            <w:tcW w:w="992" w:type="dxa"/>
            <w:tcBorders>
              <w:top w:val="nil"/>
              <w:left w:val="nil"/>
              <w:bottom w:val="single" w:sz="8" w:space="0" w:color="000000"/>
              <w:right w:val="single" w:sz="8" w:space="0" w:color="000000"/>
            </w:tcBorders>
            <w:shd w:val="clear" w:color="auto" w:fill="auto"/>
            <w:vAlign w:val="center"/>
          </w:tcPr>
          <w:p w:rsidR="00432C25" w:rsidRDefault="00432C25" w:rsidP="00432C25">
            <w:pPr>
              <w:widowControl/>
              <w:spacing w:line="578" w:lineRule="exact"/>
              <w:jc w:val="center"/>
              <w:rPr>
                <w:rFonts w:asciiTheme="minorEastAsia" w:eastAsiaTheme="minorEastAsia" w:hAnsiTheme="minorEastAsia"/>
                <w:szCs w:val="21"/>
              </w:rPr>
            </w:pPr>
          </w:p>
        </w:tc>
      </w:tr>
      <w:tr w:rsidR="00432C25" w:rsidTr="00D94853">
        <w:trPr>
          <w:trHeight w:val="567"/>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432C25" w:rsidRDefault="00432C25" w:rsidP="00432C25">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三、 会议费</w:t>
            </w:r>
          </w:p>
        </w:tc>
        <w:tc>
          <w:tcPr>
            <w:tcW w:w="1134"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hint="eastAsia"/>
                <w:szCs w:val="21"/>
              </w:rPr>
              <w:t>2000</w:t>
            </w:r>
          </w:p>
        </w:tc>
        <w:tc>
          <w:tcPr>
            <w:tcW w:w="1134"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szCs w:val="21"/>
              </w:rPr>
              <w:t>100,010.00</w:t>
            </w:r>
          </w:p>
        </w:tc>
        <w:tc>
          <w:tcPr>
            <w:tcW w:w="1276"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hint="eastAsia"/>
                <w:szCs w:val="21"/>
              </w:rPr>
              <w:t>-98010</w:t>
            </w:r>
          </w:p>
        </w:tc>
        <w:tc>
          <w:tcPr>
            <w:tcW w:w="1276"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hint="eastAsia"/>
                <w:szCs w:val="21"/>
              </w:rPr>
              <w:t>-98%</w:t>
            </w:r>
          </w:p>
        </w:tc>
        <w:tc>
          <w:tcPr>
            <w:tcW w:w="992" w:type="dxa"/>
            <w:tcBorders>
              <w:top w:val="nil"/>
              <w:left w:val="nil"/>
              <w:bottom w:val="single" w:sz="8" w:space="0" w:color="000000"/>
              <w:right w:val="single" w:sz="8" w:space="0" w:color="000000"/>
            </w:tcBorders>
            <w:shd w:val="clear" w:color="auto" w:fill="auto"/>
            <w:vAlign w:val="center"/>
          </w:tcPr>
          <w:p w:rsidR="00432C25" w:rsidRDefault="00432C25" w:rsidP="00432C25">
            <w:pPr>
              <w:widowControl/>
              <w:spacing w:line="578" w:lineRule="exact"/>
              <w:jc w:val="center"/>
              <w:rPr>
                <w:rFonts w:asciiTheme="minorEastAsia" w:eastAsiaTheme="minorEastAsia" w:hAnsiTheme="minorEastAsia"/>
                <w:szCs w:val="21"/>
              </w:rPr>
            </w:pPr>
          </w:p>
        </w:tc>
      </w:tr>
      <w:tr w:rsidR="00432C25" w:rsidTr="00D94853">
        <w:trPr>
          <w:trHeight w:val="567"/>
        </w:trPr>
        <w:tc>
          <w:tcPr>
            <w:tcW w:w="2977" w:type="dxa"/>
            <w:tcBorders>
              <w:top w:val="single" w:sz="8" w:space="0" w:color="000000"/>
              <w:left w:val="single" w:sz="8" w:space="0" w:color="000000"/>
              <w:bottom w:val="single" w:sz="8" w:space="0" w:color="000000"/>
              <w:right w:val="single" w:sz="4" w:space="0" w:color="000000"/>
            </w:tcBorders>
            <w:shd w:val="clear" w:color="auto" w:fill="auto"/>
            <w:vAlign w:val="center"/>
          </w:tcPr>
          <w:p w:rsidR="00432C25" w:rsidRDefault="00432C25" w:rsidP="00432C25">
            <w:pPr>
              <w:spacing w:line="578" w:lineRule="exact"/>
              <w:jc w:val="center"/>
              <w:rPr>
                <w:rFonts w:asciiTheme="minorEastAsia" w:eastAsiaTheme="minorEastAsia" w:hAnsiTheme="minorEastAsia"/>
                <w:szCs w:val="21"/>
              </w:rPr>
            </w:pPr>
            <w:r>
              <w:rPr>
                <w:rFonts w:asciiTheme="minorEastAsia" w:eastAsiaTheme="minorEastAsia" w:hAnsiTheme="minorEastAsia" w:hint="eastAsia"/>
                <w:szCs w:val="21"/>
              </w:rPr>
              <w:t>四、 培训费</w:t>
            </w:r>
          </w:p>
        </w:tc>
        <w:tc>
          <w:tcPr>
            <w:tcW w:w="1134"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hint="eastAsia"/>
                <w:szCs w:val="21"/>
              </w:rPr>
              <w:t>500</w:t>
            </w:r>
          </w:p>
        </w:tc>
        <w:tc>
          <w:tcPr>
            <w:tcW w:w="1134"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szCs w:val="21"/>
              </w:rPr>
              <w:t>10,000.00</w:t>
            </w:r>
          </w:p>
        </w:tc>
        <w:tc>
          <w:tcPr>
            <w:tcW w:w="1276"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hint="eastAsia"/>
                <w:szCs w:val="21"/>
              </w:rPr>
              <w:t>-9500</w:t>
            </w:r>
          </w:p>
        </w:tc>
        <w:tc>
          <w:tcPr>
            <w:tcW w:w="1276" w:type="dxa"/>
            <w:tcBorders>
              <w:top w:val="nil"/>
              <w:left w:val="nil"/>
              <w:bottom w:val="single" w:sz="8" w:space="0" w:color="000000"/>
              <w:right w:val="single" w:sz="4" w:space="0" w:color="000000"/>
            </w:tcBorders>
            <w:shd w:val="clear" w:color="auto" w:fill="auto"/>
            <w:vAlign w:val="center"/>
          </w:tcPr>
          <w:p w:rsidR="00432C25" w:rsidRDefault="00432C25" w:rsidP="00432C25">
            <w:pPr>
              <w:jc w:val="right"/>
              <w:rPr>
                <w:rFonts w:ascii="仿宋_GB2312" w:eastAsia="仿宋_GB2312" w:hAnsi="仿宋"/>
                <w:szCs w:val="21"/>
              </w:rPr>
            </w:pPr>
            <w:r>
              <w:rPr>
                <w:rFonts w:ascii="仿宋_GB2312" w:eastAsia="仿宋_GB2312" w:hAnsi="仿宋" w:hint="eastAsia"/>
                <w:szCs w:val="21"/>
              </w:rPr>
              <w:t>-95%</w:t>
            </w:r>
          </w:p>
        </w:tc>
        <w:tc>
          <w:tcPr>
            <w:tcW w:w="992" w:type="dxa"/>
            <w:tcBorders>
              <w:top w:val="nil"/>
              <w:left w:val="nil"/>
              <w:bottom w:val="single" w:sz="8" w:space="0" w:color="000000"/>
              <w:right w:val="single" w:sz="8" w:space="0" w:color="000000"/>
            </w:tcBorders>
            <w:shd w:val="clear" w:color="auto" w:fill="auto"/>
            <w:vAlign w:val="center"/>
          </w:tcPr>
          <w:p w:rsidR="00432C25" w:rsidRDefault="00432C25" w:rsidP="00432C25">
            <w:pPr>
              <w:widowControl/>
              <w:spacing w:line="578" w:lineRule="exact"/>
              <w:jc w:val="center"/>
              <w:rPr>
                <w:rFonts w:asciiTheme="minorEastAsia" w:eastAsiaTheme="minorEastAsia" w:hAnsiTheme="minorEastAsia"/>
                <w:szCs w:val="21"/>
              </w:rPr>
            </w:pPr>
          </w:p>
        </w:tc>
      </w:tr>
    </w:tbl>
    <w:p w:rsidR="00D94853" w:rsidRPr="00D94853" w:rsidRDefault="00D94853" w:rsidP="00D94853">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务支出</w:t>
      </w:r>
      <w:r w:rsidRPr="00D94853">
        <w:rPr>
          <w:rFonts w:ascii="仿宋_GB2312" w:eastAsia="仿宋_GB2312" w:hAnsi="仿宋_GB2312" w:cs="仿宋_GB2312"/>
          <w:sz w:val="32"/>
          <w:szCs w:val="32"/>
        </w:rPr>
        <w:t>16.77</w:t>
      </w:r>
      <w:r>
        <w:rPr>
          <w:rFonts w:ascii="仿宋_GB2312" w:eastAsia="仿宋_GB2312" w:hAnsi="仿宋_GB2312" w:cs="仿宋_GB2312" w:hint="eastAsia"/>
          <w:sz w:val="32"/>
          <w:szCs w:val="32"/>
        </w:rPr>
        <w:t>万元。</w:t>
      </w:r>
      <w:bookmarkStart w:id="43" w:name="_Toc15377215"/>
      <w:bookmarkStart w:id="44" w:name="_Toc15396609"/>
    </w:p>
    <w:p w:rsidR="00BB2F55" w:rsidRDefault="002E0451">
      <w:pPr>
        <w:spacing w:line="578" w:lineRule="exact"/>
        <w:ind w:firstLine="640"/>
        <w:outlineLvl w:val="1"/>
        <w:rPr>
          <w:rStyle w:val="2Char"/>
          <w:rFonts w:ascii="黑体" w:eastAsia="黑体" w:hAnsi="黑体"/>
          <w:b w:val="0"/>
        </w:rPr>
      </w:pPr>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BB2F55" w:rsidRDefault="002E0451" w:rsidP="00D94853">
      <w:pPr>
        <w:spacing w:line="578" w:lineRule="exact"/>
        <w:ind w:firstLine="640"/>
        <w:outlineLvl w:val="2"/>
        <w:rPr>
          <w:rFonts w:ascii="仿宋" w:eastAsia="仿宋" w:hAnsi="仿宋"/>
          <w:b/>
          <w:sz w:val="32"/>
          <w:szCs w:val="32"/>
        </w:rPr>
      </w:pPr>
      <w:bookmarkStart w:id="45" w:name="_Toc15377216"/>
      <w:r>
        <w:rPr>
          <w:rFonts w:ascii="仿宋" w:eastAsia="仿宋" w:hAnsi="仿宋" w:hint="eastAsia"/>
          <w:b/>
          <w:sz w:val="32"/>
          <w:szCs w:val="32"/>
        </w:rPr>
        <w:t>（一）“三公”经费财政拨款支出决算总体情况说明</w:t>
      </w:r>
      <w:bookmarkEnd w:id="45"/>
    </w:p>
    <w:p w:rsidR="00BB2F55" w:rsidRDefault="002E0451">
      <w:pPr>
        <w:snapToGrid w:val="0"/>
        <w:spacing w:line="578" w:lineRule="exact"/>
        <w:jc w:val="left"/>
        <w:rPr>
          <w:rFonts w:ascii="仿宋_GB2312" w:eastAsia="仿宋_GB2312" w:hAnsi="仿宋"/>
          <w:sz w:val="28"/>
          <w:szCs w:val="28"/>
        </w:rPr>
      </w:pPr>
      <w:bookmarkStart w:id="46" w:name="_Toc15396610"/>
      <w:bookmarkStart w:id="47" w:name="_Toc15377218"/>
      <w:r>
        <w:rPr>
          <w:rFonts w:ascii="仿宋_GB2312" w:eastAsia="仿宋_GB2312" w:hAnsi="仿宋" w:hint="eastAsia"/>
          <w:sz w:val="28"/>
          <w:szCs w:val="28"/>
        </w:rPr>
        <w:t>“三公”经费、会议费、机关运行经费等支出情况表（单位:元）</w:t>
      </w:r>
    </w:p>
    <w:p w:rsidR="00BB2F55" w:rsidRDefault="002E0451">
      <w:pPr>
        <w:snapToGrid w:val="0"/>
        <w:spacing w:line="578" w:lineRule="exact"/>
        <w:ind w:firstLineChars="200" w:firstLine="640"/>
        <w:rPr>
          <w:rFonts w:ascii="仿宋_GB2312" w:eastAsia="仿宋_GB2312" w:hAnsi="仿宋"/>
          <w:sz w:val="32"/>
          <w:szCs w:val="32"/>
        </w:rPr>
      </w:pPr>
      <w:r>
        <w:rPr>
          <w:rFonts w:ascii="仿宋_GB2312" w:eastAsia="仿宋_GB2312" w:hAnsi="仿宋" w:hint="eastAsia"/>
          <w:sz w:val="32"/>
          <w:szCs w:val="32"/>
        </w:rPr>
        <w:t>202</w:t>
      </w:r>
      <w:r w:rsidR="00D94853">
        <w:rPr>
          <w:rFonts w:ascii="仿宋_GB2312" w:eastAsia="仿宋_GB2312" w:hAnsi="仿宋" w:hint="eastAsia"/>
          <w:sz w:val="32"/>
          <w:szCs w:val="32"/>
        </w:rPr>
        <w:t>3</w:t>
      </w:r>
      <w:r>
        <w:rPr>
          <w:rFonts w:ascii="仿宋_GB2312" w:eastAsia="仿宋_GB2312" w:hAnsi="仿宋" w:hint="eastAsia"/>
          <w:sz w:val="32"/>
          <w:szCs w:val="32"/>
        </w:rPr>
        <w:t>年“三公”经费</w:t>
      </w:r>
      <w:r w:rsidR="00D94853">
        <w:rPr>
          <w:rFonts w:ascii="仿宋_GB2312" w:eastAsia="仿宋_GB2312" w:hAnsi="仿宋" w:hint="eastAsia"/>
          <w:sz w:val="32"/>
          <w:szCs w:val="32"/>
        </w:rPr>
        <w:t>为</w:t>
      </w:r>
      <w:r>
        <w:rPr>
          <w:rFonts w:ascii="仿宋_GB2312" w:eastAsia="仿宋_GB2312" w:hAnsi="仿宋" w:hint="eastAsia"/>
          <w:sz w:val="32"/>
          <w:szCs w:val="32"/>
        </w:rPr>
        <w:t>0</w:t>
      </w:r>
      <w:r w:rsidR="00D94853">
        <w:rPr>
          <w:rFonts w:ascii="仿宋_GB2312" w:eastAsia="仿宋_GB2312" w:hAnsi="仿宋" w:hint="eastAsia"/>
          <w:sz w:val="32"/>
          <w:szCs w:val="32"/>
        </w:rPr>
        <w:t>元</w:t>
      </w:r>
      <w:r>
        <w:rPr>
          <w:rFonts w:ascii="仿宋_GB2312" w:eastAsia="仿宋_GB2312" w:hAnsi="仿宋" w:hint="eastAsia"/>
          <w:sz w:val="32"/>
          <w:szCs w:val="32"/>
        </w:rPr>
        <w:t xml:space="preserve">。原因为本年度未下达公务接待指标，公务接待降为0。本年度无因公出国（境）费，本年度无出国（境）投资促进活动开展。（见上表） </w:t>
      </w:r>
    </w:p>
    <w:p w:rsidR="00BB2F55" w:rsidRDefault="002E0451">
      <w:pPr>
        <w:snapToGrid w:val="0"/>
        <w:spacing w:line="578" w:lineRule="exact"/>
        <w:ind w:firstLineChars="147" w:firstLine="472"/>
        <w:rPr>
          <w:rFonts w:ascii="仿宋_GB2312" w:eastAsia="仿宋_GB2312" w:hAnsi="仿宋"/>
          <w:sz w:val="32"/>
          <w:szCs w:val="32"/>
        </w:rPr>
      </w:pPr>
      <w:r>
        <w:rPr>
          <w:rFonts w:ascii="仿宋" w:eastAsia="仿宋" w:hAnsi="仿宋" w:hint="eastAsia"/>
          <w:b/>
          <w:sz w:val="32"/>
          <w:szCs w:val="32"/>
        </w:rPr>
        <w:t>（二）</w:t>
      </w:r>
      <w:r>
        <w:rPr>
          <w:rFonts w:ascii="仿宋_GB2312" w:eastAsia="仿宋_GB2312" w:hAnsi="仿宋"/>
          <w:sz w:val="32"/>
          <w:szCs w:val="32"/>
        </w:rPr>
        <w:t>20</w:t>
      </w:r>
      <w:r>
        <w:rPr>
          <w:rFonts w:ascii="仿宋_GB2312" w:eastAsia="仿宋_GB2312" w:hAnsi="仿宋" w:hint="eastAsia"/>
          <w:sz w:val="32"/>
          <w:szCs w:val="32"/>
        </w:rPr>
        <w:t>2</w:t>
      </w:r>
      <w:r w:rsidR="00432C25">
        <w:rPr>
          <w:rFonts w:ascii="仿宋_GB2312" w:eastAsia="仿宋_GB2312" w:hAnsi="仿宋" w:hint="eastAsia"/>
          <w:sz w:val="32"/>
          <w:szCs w:val="32"/>
        </w:rPr>
        <w:t>3</w:t>
      </w:r>
      <w:r>
        <w:rPr>
          <w:rFonts w:ascii="仿宋_GB2312" w:eastAsia="仿宋_GB2312" w:hAnsi="仿宋"/>
          <w:sz w:val="32"/>
          <w:szCs w:val="32"/>
        </w:rPr>
        <w:t>年</w:t>
      </w:r>
      <w:r>
        <w:rPr>
          <w:rFonts w:ascii="仿宋_GB2312" w:eastAsia="仿宋_GB2312" w:hAnsi="仿宋" w:hint="eastAsia"/>
          <w:sz w:val="32"/>
          <w:szCs w:val="32"/>
        </w:rPr>
        <w:t>我中心多</w:t>
      </w:r>
      <w:r>
        <w:rPr>
          <w:rFonts w:ascii="仿宋_GB2312" w:eastAsia="仿宋_GB2312" w:hAnsi="仿宋"/>
          <w:sz w:val="32"/>
          <w:szCs w:val="32"/>
        </w:rPr>
        <w:t>次</w:t>
      </w:r>
      <w:r>
        <w:rPr>
          <w:rFonts w:ascii="仿宋_GB2312" w:eastAsia="仿宋_GB2312" w:hAnsi="仿宋" w:hint="eastAsia"/>
          <w:sz w:val="32"/>
          <w:szCs w:val="32"/>
        </w:rPr>
        <w:t>承办</w:t>
      </w:r>
      <w:r>
        <w:rPr>
          <w:rFonts w:ascii="仿宋_GB2312" w:eastAsia="仿宋_GB2312" w:hAnsi="仿宋"/>
          <w:sz w:val="32"/>
          <w:szCs w:val="32"/>
        </w:rPr>
        <w:t>省</w:t>
      </w:r>
      <w:r>
        <w:rPr>
          <w:rFonts w:ascii="仿宋_GB2312" w:eastAsia="仿宋_GB2312" w:hAnsi="仿宋" w:hint="eastAsia"/>
          <w:sz w:val="32"/>
          <w:szCs w:val="32"/>
        </w:rPr>
        <w:t>市</w:t>
      </w:r>
      <w:r>
        <w:rPr>
          <w:rFonts w:ascii="仿宋_GB2312" w:eastAsia="仿宋_GB2312" w:hAnsi="仿宋"/>
          <w:sz w:val="32"/>
          <w:szCs w:val="32"/>
        </w:rPr>
        <w:t xml:space="preserve">级重大活动， </w:t>
      </w:r>
      <w:r>
        <w:rPr>
          <w:rFonts w:ascii="仿宋_GB2312" w:eastAsia="仿宋_GB2312" w:hAnsi="仿宋" w:hint="eastAsia"/>
          <w:sz w:val="32"/>
          <w:szCs w:val="32"/>
        </w:rPr>
        <w:t>“制造业招商引资推荐会”</w:t>
      </w:r>
      <w:r>
        <w:rPr>
          <w:rFonts w:ascii="仿宋_GB2312" w:eastAsia="仿宋_GB2312" w:hAnsi="仿宋"/>
          <w:sz w:val="32"/>
          <w:szCs w:val="32"/>
        </w:rPr>
        <w:t>“</w:t>
      </w:r>
      <w:r>
        <w:rPr>
          <w:rFonts w:ascii="仿宋_GB2312" w:eastAsia="仿宋_GB2312" w:hAnsi="仿宋"/>
          <w:sz w:val="32"/>
          <w:szCs w:val="32"/>
        </w:rPr>
        <w:t>西洽会</w:t>
      </w:r>
      <w:r>
        <w:rPr>
          <w:rFonts w:ascii="仿宋_GB2312" w:eastAsia="仿宋_GB2312" w:hAnsi="仿宋"/>
          <w:sz w:val="32"/>
          <w:szCs w:val="32"/>
        </w:rPr>
        <w:t>”</w:t>
      </w:r>
      <w:r>
        <w:rPr>
          <w:rFonts w:ascii="仿宋_GB2312" w:eastAsia="仿宋_GB2312" w:hAnsi="仿宋"/>
          <w:sz w:val="32"/>
          <w:szCs w:val="32"/>
        </w:rPr>
        <w:t xml:space="preserve"> </w:t>
      </w:r>
      <w:r>
        <w:rPr>
          <w:rFonts w:ascii="仿宋_GB2312" w:eastAsia="仿宋_GB2312" w:hAnsi="仿宋"/>
          <w:sz w:val="32"/>
          <w:szCs w:val="32"/>
        </w:rPr>
        <w:t>“</w:t>
      </w:r>
      <w:r>
        <w:rPr>
          <w:rFonts w:ascii="仿宋_GB2312" w:eastAsia="仿宋_GB2312" w:hAnsi="仿宋"/>
          <w:sz w:val="32"/>
          <w:szCs w:val="32"/>
        </w:rPr>
        <w:t>西博会</w:t>
      </w:r>
      <w:r>
        <w:rPr>
          <w:rFonts w:ascii="仿宋_GB2312" w:eastAsia="仿宋_GB2312" w:hAnsi="仿宋"/>
          <w:sz w:val="32"/>
          <w:szCs w:val="32"/>
        </w:rPr>
        <w:t>”“</w:t>
      </w:r>
      <w:r>
        <w:rPr>
          <w:rFonts w:ascii="仿宋_GB2312" w:eastAsia="仿宋_GB2312" w:hAnsi="仿宋"/>
          <w:sz w:val="32"/>
          <w:szCs w:val="32"/>
        </w:rPr>
        <w:t>中外知名企业四川行</w:t>
      </w:r>
      <w:r>
        <w:rPr>
          <w:rFonts w:ascii="仿宋_GB2312" w:eastAsia="仿宋_GB2312" w:hAnsi="仿宋"/>
          <w:sz w:val="32"/>
          <w:szCs w:val="32"/>
        </w:rPr>
        <w:t>”</w:t>
      </w:r>
      <w:r>
        <w:rPr>
          <w:rFonts w:ascii="仿宋_GB2312" w:eastAsia="仿宋_GB2312" w:hAnsi="仿宋" w:hint="eastAsia"/>
          <w:sz w:val="32"/>
          <w:szCs w:val="32"/>
        </w:rPr>
        <w:t>“众联终端智能产业集中签约活动”及配套企业推介会等，均获得大的成效，但我中心加强内部控制管理，成效显著，在厉行节约、杜绝浪费的前提下,公务接待费、培训费均较去年有所下降。在202</w:t>
      </w:r>
      <w:r w:rsidR="00432C25">
        <w:rPr>
          <w:rFonts w:ascii="仿宋_GB2312" w:eastAsia="仿宋_GB2312" w:hAnsi="仿宋" w:hint="eastAsia"/>
          <w:sz w:val="32"/>
          <w:szCs w:val="32"/>
        </w:rPr>
        <w:t>3</w:t>
      </w:r>
      <w:r>
        <w:rPr>
          <w:rFonts w:ascii="仿宋_GB2312" w:eastAsia="仿宋_GB2312" w:hAnsi="仿宋" w:hint="eastAsia"/>
          <w:sz w:val="32"/>
          <w:szCs w:val="32"/>
        </w:rPr>
        <w:t>年工作中，我中心将做好预算，压缩开支，以小开支换大成果。</w:t>
      </w:r>
    </w:p>
    <w:p w:rsidR="00BB2F55" w:rsidRDefault="002E0451">
      <w:pPr>
        <w:spacing w:line="578" w:lineRule="exact"/>
        <w:ind w:firstLine="640"/>
        <w:outlineLvl w:val="1"/>
        <w:rPr>
          <w:rStyle w:val="2Char"/>
          <w:rFonts w:ascii="黑体" w:eastAsia="黑体" w:hAnsi="黑体"/>
        </w:rPr>
      </w:pPr>
      <w:r>
        <w:rPr>
          <w:rFonts w:ascii="黑体" w:eastAsia="黑体" w:hint="eastAsia"/>
          <w:sz w:val="32"/>
          <w:szCs w:val="32"/>
        </w:rPr>
        <w:lastRenderedPageBreak/>
        <w:t>八、</w:t>
      </w:r>
      <w:r>
        <w:rPr>
          <w:rStyle w:val="2Char"/>
          <w:rFonts w:ascii="黑体" w:eastAsia="黑体" w:hAnsi="黑体" w:hint="eastAsia"/>
          <w:b w:val="0"/>
        </w:rPr>
        <w:t>政府性基金预算支出决算情况说明</w:t>
      </w:r>
      <w:bookmarkEnd w:id="46"/>
      <w:bookmarkEnd w:id="47"/>
    </w:p>
    <w:p w:rsidR="00BB2F55" w:rsidRDefault="002E0451">
      <w:pPr>
        <w:spacing w:line="578" w:lineRule="exact"/>
        <w:ind w:firstLineChars="200" w:firstLine="643"/>
        <w:outlineLvl w:val="2"/>
        <w:rPr>
          <w:rFonts w:ascii="仿宋" w:eastAsia="仿宋" w:hAnsi="仿宋"/>
          <w:b/>
          <w:sz w:val="32"/>
          <w:szCs w:val="32"/>
        </w:rPr>
      </w:pPr>
      <w:bookmarkStart w:id="48" w:name="_Toc15396611"/>
      <w:bookmarkStart w:id="49" w:name="_Toc15377219"/>
      <w:r>
        <w:rPr>
          <w:rFonts w:ascii="仿宋" w:eastAsia="仿宋" w:hAnsi="仿宋" w:hint="eastAsia"/>
          <w:b/>
          <w:sz w:val="32"/>
          <w:szCs w:val="32"/>
        </w:rPr>
        <w:t>（一）政府性基金预算财政拨款支出决算总体情况</w:t>
      </w:r>
    </w:p>
    <w:p w:rsidR="00BB2F55" w:rsidRDefault="002E045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年政府性基金预算财政拨款支出0万元，占本年支出合计的0%。与202</w:t>
      </w:r>
      <w:r w:rsidR="00432C2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年相比，政府性基金预算财政拨款无变化。</w:t>
      </w:r>
    </w:p>
    <w:p w:rsidR="00BB2F55" w:rsidRDefault="002E0451">
      <w:pPr>
        <w:spacing w:line="578" w:lineRule="exact"/>
        <w:ind w:firstLineChars="200" w:firstLine="643"/>
        <w:outlineLvl w:val="2"/>
        <w:rPr>
          <w:rFonts w:ascii="仿宋" w:eastAsia="仿宋" w:hAnsi="仿宋"/>
          <w:b/>
          <w:sz w:val="32"/>
          <w:szCs w:val="32"/>
        </w:rPr>
      </w:pPr>
      <w:r>
        <w:rPr>
          <w:rFonts w:ascii="仿宋" w:eastAsia="仿宋" w:hAnsi="仿宋" w:hint="eastAsia"/>
          <w:b/>
          <w:sz w:val="32"/>
          <w:szCs w:val="32"/>
        </w:rPr>
        <w:t>（二）政府性基金预算财政拨款支出决算结构情况</w:t>
      </w:r>
    </w:p>
    <w:p w:rsidR="00BB2F55" w:rsidRDefault="002E045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年政府性基金预算财政拨款支出0万元。</w:t>
      </w:r>
    </w:p>
    <w:p w:rsidR="00BB2F55" w:rsidRDefault="002E0451">
      <w:pPr>
        <w:spacing w:line="578" w:lineRule="exact"/>
        <w:ind w:firstLineChars="200" w:firstLine="643"/>
        <w:outlineLvl w:val="2"/>
        <w:rPr>
          <w:rFonts w:ascii="仿宋" w:eastAsia="仿宋" w:hAnsi="仿宋"/>
          <w:b/>
          <w:sz w:val="32"/>
          <w:szCs w:val="32"/>
        </w:rPr>
      </w:pPr>
      <w:r>
        <w:rPr>
          <w:rFonts w:ascii="仿宋" w:eastAsia="仿宋" w:hAnsi="仿宋" w:hint="eastAsia"/>
          <w:b/>
          <w:sz w:val="32"/>
          <w:szCs w:val="32"/>
        </w:rPr>
        <w:t>（三）政府性基金预算财政拨款支出决算具体情况</w:t>
      </w:r>
    </w:p>
    <w:p w:rsidR="00BB2F55" w:rsidRDefault="002E0451">
      <w:pPr>
        <w:spacing w:line="578" w:lineRule="exact"/>
        <w:ind w:firstLineChars="200" w:firstLine="640"/>
        <w:rPr>
          <w:rFonts w:ascii="仿宋" w:eastAsia="仿宋" w:hAnsi="仿宋"/>
          <w:b/>
          <w:sz w:val="32"/>
          <w:szCs w:val="32"/>
        </w:rPr>
      </w:pPr>
      <w:r>
        <w:rPr>
          <w:rFonts w:ascii="仿宋_GB2312" w:eastAsia="仿宋_GB2312" w:hAnsi="仿宋_GB2312" w:cs="仿宋_GB2312" w:hint="eastAsia"/>
          <w:sz w:val="32"/>
          <w:szCs w:val="32"/>
        </w:rPr>
        <w:t>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年政府性基金预算支出决算数为0万元，无年初预算。</w:t>
      </w:r>
    </w:p>
    <w:p w:rsidR="00BB2F55" w:rsidRDefault="002E0451">
      <w:pPr>
        <w:numPr>
          <w:ilvl w:val="0"/>
          <w:numId w:val="1"/>
        </w:numPr>
        <w:spacing w:line="578" w:lineRule="exact"/>
        <w:ind w:firstLine="640"/>
        <w:outlineLvl w:val="1"/>
        <w:rPr>
          <w:rStyle w:val="2Char"/>
          <w:rFonts w:ascii="黑体" w:eastAsia="黑体" w:hAnsi="黑体"/>
          <w:b w:val="0"/>
        </w:rPr>
      </w:pPr>
      <w:r>
        <w:rPr>
          <w:rStyle w:val="2Char"/>
          <w:rFonts w:ascii="黑体" w:eastAsia="黑体" w:hAnsi="黑体" w:hint="eastAsia"/>
          <w:b w:val="0"/>
        </w:rPr>
        <w:t>国有资本经营预算支出决算情况说明</w:t>
      </w:r>
      <w:bookmarkEnd w:id="48"/>
      <w:bookmarkEnd w:id="49"/>
    </w:p>
    <w:p w:rsidR="00BB2F55" w:rsidRDefault="002E0451">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年国有资本经营预算拨款支出0万元。</w:t>
      </w:r>
    </w:p>
    <w:p w:rsidR="00BB2F55" w:rsidRDefault="002E0451">
      <w:pPr>
        <w:spacing w:line="578"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BB2F55" w:rsidRDefault="002E0451">
      <w:pPr>
        <w:spacing w:line="578" w:lineRule="exact"/>
        <w:ind w:firstLineChars="200" w:firstLine="643"/>
        <w:outlineLvl w:val="2"/>
        <w:rPr>
          <w:rFonts w:ascii="仿宋" w:eastAsia="仿宋" w:hAnsi="仿宋"/>
          <w:sz w:val="32"/>
          <w:szCs w:val="32"/>
        </w:rPr>
      </w:pPr>
      <w:bookmarkStart w:id="52" w:name="_Toc15377222"/>
      <w:r>
        <w:rPr>
          <w:rFonts w:ascii="仿宋" w:eastAsia="仿宋" w:hAnsi="仿宋" w:hint="eastAsia"/>
          <w:b/>
          <w:sz w:val="32"/>
          <w:szCs w:val="32"/>
        </w:rPr>
        <w:t>（一）机关运行经费支出情况</w:t>
      </w:r>
      <w:bookmarkEnd w:id="52"/>
    </w:p>
    <w:p w:rsidR="00BB2F55" w:rsidRDefault="002E0451">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年，大竹县投资促进服务中心机关运行经费</w:t>
      </w:r>
      <w:r>
        <w:rPr>
          <w:rFonts w:ascii="仿宋_GB2312" w:eastAsia="仿宋_GB2312" w:hAnsi="仿宋" w:hint="eastAsia"/>
          <w:sz w:val="32"/>
          <w:szCs w:val="32"/>
        </w:rPr>
        <w:t>支出</w:t>
      </w:r>
      <w:r w:rsidR="00432C25">
        <w:rPr>
          <w:rFonts w:ascii="仿宋_GB2312" w:eastAsia="仿宋_GB2312" w:hAnsi="仿宋" w:hint="eastAsia"/>
          <w:sz w:val="32"/>
          <w:szCs w:val="32"/>
        </w:rPr>
        <w:t>59</w:t>
      </w:r>
      <w:r>
        <w:rPr>
          <w:rFonts w:ascii="仿宋_GB2312" w:eastAsia="仿宋_GB2312" w:hAnsi="仿宋" w:hint="eastAsia"/>
          <w:sz w:val="32"/>
          <w:szCs w:val="32"/>
        </w:rPr>
        <w:t>万元 ，较去年支出</w:t>
      </w:r>
      <w:r w:rsidR="00432C25">
        <w:rPr>
          <w:rFonts w:ascii="仿宋_GB2312" w:eastAsia="仿宋_GB2312" w:hAnsi="仿宋" w:hint="eastAsia"/>
          <w:sz w:val="32"/>
          <w:szCs w:val="32"/>
        </w:rPr>
        <w:t>34.5</w:t>
      </w:r>
      <w:r>
        <w:rPr>
          <w:rFonts w:ascii="仿宋_GB2312" w:eastAsia="仿宋_GB2312" w:hAnsi="仿宋" w:hint="eastAsia"/>
          <w:sz w:val="32"/>
          <w:szCs w:val="32"/>
        </w:rPr>
        <w:t>万元</w:t>
      </w:r>
      <w:r w:rsidR="00432C25">
        <w:rPr>
          <w:rFonts w:ascii="仿宋_GB2312" w:eastAsia="仿宋_GB2312" w:hAnsi="仿宋" w:hint="eastAsia"/>
          <w:sz w:val="32"/>
          <w:szCs w:val="32"/>
        </w:rPr>
        <w:t>增加24.5</w:t>
      </w:r>
      <w:r>
        <w:rPr>
          <w:rFonts w:ascii="仿宋_GB2312" w:eastAsia="仿宋_GB2312" w:hAnsi="仿宋" w:hint="eastAsia"/>
          <w:sz w:val="32"/>
          <w:szCs w:val="32"/>
        </w:rPr>
        <w:t>万元，</w:t>
      </w:r>
      <w:r w:rsidR="00432C25">
        <w:rPr>
          <w:rFonts w:ascii="仿宋_GB2312" w:eastAsia="仿宋_GB2312" w:hAnsi="仿宋" w:hint="eastAsia"/>
          <w:sz w:val="32"/>
          <w:szCs w:val="32"/>
        </w:rPr>
        <w:t>增加71</w:t>
      </w:r>
      <w:r>
        <w:rPr>
          <w:rFonts w:ascii="仿宋_GB2312" w:eastAsia="仿宋_GB2312" w:hAnsi="仿宋" w:hint="eastAsia"/>
          <w:sz w:val="32"/>
          <w:szCs w:val="32"/>
        </w:rPr>
        <w:t>%。具体主要原因是：</w:t>
      </w:r>
      <w:r w:rsidR="00432C25">
        <w:rPr>
          <w:rFonts w:ascii="仿宋_GB2312" w:eastAsia="仿宋_GB2312" w:hAnsi="仿宋" w:hint="eastAsia"/>
          <w:sz w:val="32"/>
          <w:szCs w:val="32"/>
        </w:rPr>
        <w:t>人员增加，招商任务重活动多，</w:t>
      </w:r>
      <w:r>
        <w:rPr>
          <w:rFonts w:ascii="仿宋_GB2312" w:eastAsia="仿宋_GB2312" w:hAnsi="仿宋" w:hint="eastAsia"/>
          <w:sz w:val="32"/>
          <w:szCs w:val="32"/>
        </w:rPr>
        <w:t>办公经费及日常公用经费开支</w:t>
      </w:r>
      <w:r w:rsidR="00432C25">
        <w:rPr>
          <w:rFonts w:ascii="仿宋_GB2312" w:eastAsia="仿宋_GB2312" w:hAnsi="仿宋" w:hint="eastAsia"/>
          <w:sz w:val="32"/>
          <w:szCs w:val="32"/>
        </w:rPr>
        <w:t>增</w:t>
      </w:r>
      <w:r w:rsidR="00432C25">
        <w:rPr>
          <w:rFonts w:ascii="仿宋_GB2312" w:eastAsia="仿宋_GB2312" w:hAnsi="仿宋" w:hint="eastAsia"/>
          <w:sz w:val="32"/>
          <w:szCs w:val="32"/>
        </w:rPr>
        <w:lastRenderedPageBreak/>
        <w:t>加</w:t>
      </w:r>
      <w:r>
        <w:rPr>
          <w:rFonts w:ascii="仿宋_GB2312" w:eastAsia="仿宋_GB2312" w:hAnsi="仿宋" w:hint="eastAsia"/>
          <w:sz w:val="32"/>
          <w:szCs w:val="32"/>
        </w:rPr>
        <w:t>。</w:t>
      </w:r>
    </w:p>
    <w:p w:rsidR="00BB2F55" w:rsidRDefault="002E0451">
      <w:pPr>
        <w:autoSpaceDE w:val="0"/>
        <w:autoSpaceDN w:val="0"/>
        <w:adjustRightInd w:val="0"/>
        <w:spacing w:line="578" w:lineRule="exact"/>
        <w:ind w:firstLineChars="200" w:firstLine="643"/>
        <w:jc w:val="left"/>
        <w:outlineLvl w:val="2"/>
        <w:rPr>
          <w:rFonts w:ascii="仿宋" w:eastAsia="仿宋" w:hAnsi="仿宋"/>
          <w:b/>
          <w:sz w:val="32"/>
          <w:szCs w:val="32"/>
        </w:rPr>
      </w:pPr>
      <w:bookmarkStart w:id="53" w:name="_Toc15377223"/>
      <w:r>
        <w:rPr>
          <w:rFonts w:ascii="仿宋" w:eastAsia="仿宋" w:hAnsi="仿宋" w:hint="eastAsia"/>
          <w:b/>
          <w:sz w:val="32"/>
          <w:szCs w:val="32"/>
        </w:rPr>
        <w:t>（二）政府采购支出情况</w:t>
      </w:r>
      <w:bookmarkEnd w:id="53"/>
    </w:p>
    <w:p w:rsidR="00BB2F55" w:rsidRDefault="002E0451">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年，大竹县投资促进服务中心政府采购支出总额0万元，其中：政府采购货物支出0万元、政府采购工程支出0万元、政府采购服务支出0万元。</w:t>
      </w:r>
    </w:p>
    <w:p w:rsidR="00BB2F55" w:rsidRDefault="002E0451">
      <w:pPr>
        <w:autoSpaceDE w:val="0"/>
        <w:autoSpaceDN w:val="0"/>
        <w:adjustRightInd w:val="0"/>
        <w:spacing w:line="578" w:lineRule="exact"/>
        <w:ind w:firstLineChars="200" w:firstLine="643"/>
        <w:jc w:val="left"/>
        <w:outlineLvl w:val="2"/>
        <w:rPr>
          <w:rFonts w:ascii="仿宋" w:eastAsia="仿宋" w:hAnsi="仿宋"/>
          <w:b/>
          <w:sz w:val="32"/>
          <w:szCs w:val="32"/>
        </w:rPr>
      </w:pPr>
      <w:bookmarkStart w:id="54" w:name="_Toc15377224"/>
      <w:r>
        <w:rPr>
          <w:rFonts w:ascii="仿宋" w:eastAsia="仿宋" w:hAnsi="仿宋" w:hint="eastAsia"/>
          <w:b/>
          <w:sz w:val="32"/>
          <w:szCs w:val="32"/>
        </w:rPr>
        <w:t>（三）国有资产占有使用情况</w:t>
      </w:r>
      <w:bookmarkEnd w:id="54"/>
    </w:p>
    <w:p w:rsidR="00BB2F55" w:rsidRDefault="002E0451">
      <w:pPr>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年12月31日，大竹县投资促进服务中心共有车辆0辆。单价50万元以上通用设备0台（套），单价100万元以上专用设备0台（套）。</w:t>
      </w:r>
    </w:p>
    <w:p w:rsidR="00BB2F55" w:rsidRDefault="002E0451">
      <w:pPr>
        <w:pStyle w:val="11"/>
        <w:spacing w:line="578" w:lineRule="exact"/>
        <w:ind w:left="709" w:firstLineChars="0" w:firstLine="0"/>
        <w:rPr>
          <w:rStyle w:val="2Char"/>
          <w:rFonts w:ascii="黑体" w:eastAsia="黑体" w:hAnsi="黑体"/>
          <w:b w:val="0"/>
        </w:rPr>
      </w:pPr>
      <w:r>
        <w:rPr>
          <w:rFonts w:ascii="仿宋" w:eastAsia="仿宋" w:hAnsi="仿宋" w:hint="eastAsia"/>
          <w:b/>
          <w:sz w:val="32"/>
          <w:szCs w:val="32"/>
        </w:rPr>
        <w:t>（四）</w:t>
      </w:r>
      <w:r>
        <w:rPr>
          <w:rStyle w:val="2Char"/>
          <w:rFonts w:ascii="黑体" w:eastAsia="黑体" w:hAnsi="黑体" w:hint="eastAsia"/>
          <w:b w:val="0"/>
        </w:rPr>
        <w:t>预算绩效情况说明</w:t>
      </w:r>
    </w:p>
    <w:p w:rsidR="00BB2F55" w:rsidRDefault="002E045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大竹县投资促进服务中心在年初预算编制阶段，组织对全年投资促进活动开展了预算事前绩效评估，编制了绩效目标，预算执行过程中，对项目开展绩效监控，年终执行完毕后，开展了绩效目标完成情况梳理填报。</w:t>
      </w:r>
    </w:p>
    <w:p w:rsidR="00BB2F55" w:rsidRDefault="002E0451">
      <w:pPr>
        <w:spacing w:line="578"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1.项目绩效目标完成情况。</w:t>
      </w:r>
    </w:p>
    <w:p w:rsidR="00BB2F55" w:rsidRDefault="002E0451">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年部门整体支出开展绩效自评，从评价情况来看，圆满完成绩效目标。单位整体支出绩效目标实现情况。</w:t>
      </w:r>
    </w:p>
    <w:p w:rsidR="00BB2F55" w:rsidRDefault="00432C25">
      <w:pPr>
        <w:spacing w:line="578" w:lineRule="exact"/>
        <w:ind w:firstLineChars="200" w:firstLine="640"/>
        <w:rPr>
          <w:rFonts w:ascii="仿宋_GB2312" w:eastAsia="仿宋_GB2312" w:hAnsi="仿宋_GB2312" w:cs="仿宋_GB2312"/>
          <w:sz w:val="32"/>
          <w:szCs w:val="32"/>
        </w:rPr>
      </w:pPr>
      <w:r>
        <w:rPr>
          <w:rFonts w:eastAsia="仿宋_GB2312" w:hint="eastAsia"/>
          <w:sz w:val="32"/>
          <w:szCs w:val="32"/>
        </w:rPr>
        <w:lastRenderedPageBreak/>
        <w:t>截至</w:t>
      </w:r>
      <w:r>
        <w:rPr>
          <w:rFonts w:eastAsia="仿宋_GB2312" w:hint="eastAsia"/>
          <w:sz w:val="32"/>
          <w:szCs w:val="32"/>
        </w:rPr>
        <w:t>12</w:t>
      </w:r>
      <w:r>
        <w:rPr>
          <w:rFonts w:eastAsia="仿宋_GB2312" w:hint="eastAsia"/>
          <w:sz w:val="32"/>
          <w:szCs w:val="32"/>
        </w:rPr>
        <w:t>月，全县招商引资到位资金</w:t>
      </w:r>
      <w:r>
        <w:rPr>
          <w:rFonts w:eastAsia="仿宋_GB2312" w:hint="eastAsia"/>
          <w:sz w:val="32"/>
          <w:szCs w:val="32"/>
        </w:rPr>
        <w:t>130.1</w:t>
      </w:r>
      <w:r>
        <w:rPr>
          <w:rFonts w:eastAsia="仿宋_GB2312" w:hint="eastAsia"/>
          <w:sz w:val="32"/>
          <w:szCs w:val="32"/>
        </w:rPr>
        <w:t>亿元，完成目标任务的</w:t>
      </w:r>
      <w:r>
        <w:rPr>
          <w:rFonts w:eastAsia="仿宋_GB2312" w:hint="eastAsia"/>
          <w:sz w:val="32"/>
          <w:szCs w:val="32"/>
        </w:rPr>
        <w:t>108.42%</w:t>
      </w:r>
      <w:r>
        <w:rPr>
          <w:rFonts w:eastAsia="仿宋_GB2312" w:hint="eastAsia"/>
          <w:sz w:val="32"/>
          <w:szCs w:val="32"/>
        </w:rPr>
        <w:t>；省外固定资产投资</w:t>
      </w:r>
      <w:r>
        <w:rPr>
          <w:rFonts w:eastAsia="仿宋_GB2312" w:hint="eastAsia"/>
          <w:sz w:val="32"/>
          <w:szCs w:val="32"/>
        </w:rPr>
        <w:t>101.13</w:t>
      </w:r>
      <w:r>
        <w:rPr>
          <w:rFonts w:eastAsia="仿宋_GB2312" w:hint="eastAsia"/>
          <w:sz w:val="32"/>
          <w:szCs w:val="32"/>
        </w:rPr>
        <w:t>亿元，完成目标任务的</w:t>
      </w:r>
      <w:r>
        <w:rPr>
          <w:rFonts w:eastAsia="仿宋_GB2312" w:hint="eastAsia"/>
          <w:sz w:val="32"/>
          <w:szCs w:val="32"/>
        </w:rPr>
        <w:t>119%</w:t>
      </w:r>
      <w:r>
        <w:rPr>
          <w:rFonts w:eastAsia="仿宋_GB2312" w:hint="eastAsia"/>
          <w:sz w:val="32"/>
          <w:szCs w:val="32"/>
        </w:rPr>
        <w:t>；引进</w:t>
      </w:r>
      <w:r>
        <w:rPr>
          <w:rFonts w:eastAsia="仿宋_GB2312" w:hint="eastAsia"/>
          <w:sz w:val="32"/>
          <w:szCs w:val="32"/>
        </w:rPr>
        <w:t>10</w:t>
      </w:r>
      <w:r>
        <w:rPr>
          <w:rFonts w:eastAsia="仿宋_GB2312" w:hint="eastAsia"/>
          <w:sz w:val="32"/>
          <w:szCs w:val="32"/>
        </w:rPr>
        <w:t>—</w:t>
      </w:r>
      <w:r>
        <w:rPr>
          <w:rFonts w:eastAsia="仿宋_GB2312" w:hint="eastAsia"/>
          <w:sz w:val="32"/>
          <w:szCs w:val="32"/>
        </w:rPr>
        <w:t>30</w:t>
      </w:r>
      <w:r>
        <w:rPr>
          <w:rFonts w:eastAsia="仿宋_GB2312" w:hint="eastAsia"/>
          <w:sz w:val="32"/>
          <w:szCs w:val="32"/>
        </w:rPr>
        <w:t>亿元项目</w:t>
      </w:r>
      <w:r>
        <w:rPr>
          <w:rFonts w:eastAsia="仿宋_GB2312" w:hint="eastAsia"/>
          <w:sz w:val="32"/>
          <w:szCs w:val="32"/>
        </w:rPr>
        <w:t>21</w:t>
      </w:r>
      <w:r>
        <w:rPr>
          <w:rFonts w:eastAsia="仿宋_GB2312" w:hint="eastAsia"/>
          <w:sz w:val="32"/>
          <w:szCs w:val="32"/>
        </w:rPr>
        <w:t>个、</w:t>
      </w:r>
      <w:r>
        <w:rPr>
          <w:rFonts w:eastAsia="仿宋_GB2312" w:hint="eastAsia"/>
          <w:sz w:val="32"/>
          <w:szCs w:val="32"/>
        </w:rPr>
        <w:t>30</w:t>
      </w:r>
      <w:r>
        <w:rPr>
          <w:rFonts w:eastAsia="仿宋_GB2312" w:hint="eastAsia"/>
          <w:sz w:val="32"/>
          <w:szCs w:val="32"/>
        </w:rPr>
        <w:t>—</w:t>
      </w:r>
      <w:r>
        <w:rPr>
          <w:rFonts w:eastAsia="仿宋_GB2312" w:hint="eastAsia"/>
          <w:sz w:val="32"/>
          <w:szCs w:val="32"/>
        </w:rPr>
        <w:t>50</w:t>
      </w:r>
      <w:r>
        <w:rPr>
          <w:rFonts w:eastAsia="仿宋_GB2312" w:hint="eastAsia"/>
          <w:sz w:val="32"/>
          <w:szCs w:val="32"/>
        </w:rPr>
        <w:t>亿元项目</w:t>
      </w:r>
      <w:r>
        <w:rPr>
          <w:rFonts w:eastAsia="仿宋_GB2312" w:hint="eastAsia"/>
          <w:sz w:val="32"/>
          <w:szCs w:val="32"/>
        </w:rPr>
        <w:t>2</w:t>
      </w:r>
      <w:r>
        <w:rPr>
          <w:rFonts w:eastAsia="仿宋_GB2312" w:hint="eastAsia"/>
          <w:sz w:val="32"/>
          <w:szCs w:val="32"/>
        </w:rPr>
        <w:t>个、</w:t>
      </w:r>
      <w:r>
        <w:rPr>
          <w:rFonts w:eastAsia="仿宋_GB2312" w:hint="eastAsia"/>
          <w:sz w:val="32"/>
          <w:szCs w:val="32"/>
        </w:rPr>
        <w:t>50-100</w:t>
      </w:r>
      <w:r>
        <w:rPr>
          <w:rFonts w:eastAsia="仿宋_GB2312" w:hint="eastAsia"/>
          <w:sz w:val="32"/>
          <w:szCs w:val="32"/>
        </w:rPr>
        <w:t>亿项目</w:t>
      </w:r>
      <w:r>
        <w:rPr>
          <w:rFonts w:eastAsia="仿宋_GB2312" w:hint="eastAsia"/>
          <w:sz w:val="32"/>
          <w:szCs w:val="32"/>
        </w:rPr>
        <w:t>1</w:t>
      </w:r>
      <w:r>
        <w:rPr>
          <w:rFonts w:eastAsia="仿宋_GB2312" w:hint="eastAsia"/>
          <w:sz w:val="32"/>
          <w:szCs w:val="32"/>
        </w:rPr>
        <w:t>个，</w:t>
      </w:r>
      <w:r>
        <w:rPr>
          <w:rFonts w:eastAsia="仿宋_GB2312" w:hint="eastAsia"/>
          <w:sz w:val="32"/>
          <w:szCs w:val="32"/>
        </w:rPr>
        <w:t>25</w:t>
      </w:r>
      <w:r>
        <w:rPr>
          <w:rFonts w:eastAsia="仿宋_GB2312" w:hint="eastAsia"/>
          <w:sz w:val="32"/>
          <w:szCs w:val="32"/>
        </w:rPr>
        <w:t>亿元以上项目</w:t>
      </w:r>
      <w:r>
        <w:rPr>
          <w:rFonts w:eastAsia="仿宋_GB2312" w:hint="eastAsia"/>
          <w:sz w:val="32"/>
          <w:szCs w:val="32"/>
        </w:rPr>
        <w:t>15</w:t>
      </w:r>
      <w:r>
        <w:rPr>
          <w:rFonts w:eastAsia="仿宋_GB2312" w:hint="eastAsia"/>
          <w:sz w:val="32"/>
          <w:szCs w:val="32"/>
        </w:rPr>
        <w:t>个；</w:t>
      </w:r>
      <w:r>
        <w:rPr>
          <w:rFonts w:eastAsia="仿宋_GB2312" w:hint="eastAsia"/>
          <w:sz w:val="32"/>
          <w:szCs w:val="32"/>
        </w:rPr>
        <w:t>FDI</w:t>
      </w:r>
      <w:r>
        <w:rPr>
          <w:rFonts w:eastAsia="仿宋_GB2312" w:hint="eastAsia"/>
          <w:sz w:val="32"/>
          <w:szCs w:val="32"/>
        </w:rPr>
        <w:t>到资</w:t>
      </w:r>
      <w:r>
        <w:rPr>
          <w:rFonts w:eastAsia="仿宋_GB2312" w:hint="eastAsia"/>
          <w:sz w:val="32"/>
          <w:szCs w:val="32"/>
        </w:rPr>
        <w:t>10</w:t>
      </w:r>
      <w:r>
        <w:rPr>
          <w:rFonts w:eastAsia="仿宋_GB2312" w:hint="eastAsia"/>
          <w:sz w:val="32"/>
          <w:szCs w:val="32"/>
        </w:rPr>
        <w:t>万港币，新注册成立外资公司</w:t>
      </w:r>
      <w:r>
        <w:rPr>
          <w:rFonts w:eastAsia="仿宋_GB2312" w:hint="eastAsia"/>
          <w:sz w:val="32"/>
          <w:szCs w:val="32"/>
        </w:rPr>
        <w:t>1</w:t>
      </w:r>
      <w:r>
        <w:rPr>
          <w:rFonts w:eastAsia="仿宋_GB2312" w:hint="eastAsia"/>
          <w:sz w:val="32"/>
          <w:szCs w:val="32"/>
        </w:rPr>
        <w:t>家。</w:t>
      </w:r>
      <w:r>
        <w:rPr>
          <w:rFonts w:eastAsia="仿宋_GB2312" w:hint="eastAsia"/>
          <w:sz w:val="32"/>
          <w:szCs w:val="32"/>
        </w:rPr>
        <w:t>2023</w:t>
      </w:r>
      <w:r>
        <w:rPr>
          <w:rFonts w:eastAsia="仿宋_GB2312" w:hint="eastAsia"/>
          <w:sz w:val="32"/>
          <w:szCs w:val="32"/>
        </w:rPr>
        <w:t>年督办项目综合“三率”（履约率、开工率、投产率）分别达到</w:t>
      </w:r>
      <w:r>
        <w:rPr>
          <w:rFonts w:eastAsia="仿宋_GB2312" w:hint="eastAsia"/>
          <w:sz w:val="32"/>
          <w:szCs w:val="32"/>
        </w:rPr>
        <w:t>93.33%</w:t>
      </w:r>
      <w:r>
        <w:rPr>
          <w:rFonts w:eastAsia="仿宋_GB2312" w:hint="eastAsia"/>
          <w:sz w:val="32"/>
          <w:szCs w:val="32"/>
        </w:rPr>
        <w:t>、</w:t>
      </w:r>
      <w:r>
        <w:rPr>
          <w:rFonts w:eastAsia="仿宋_GB2312" w:hint="eastAsia"/>
          <w:sz w:val="32"/>
          <w:szCs w:val="32"/>
        </w:rPr>
        <w:t>80%</w:t>
      </w:r>
      <w:r>
        <w:rPr>
          <w:rFonts w:eastAsia="仿宋_GB2312" w:hint="eastAsia"/>
          <w:sz w:val="32"/>
          <w:szCs w:val="32"/>
        </w:rPr>
        <w:t>、</w:t>
      </w:r>
      <w:r>
        <w:rPr>
          <w:rFonts w:eastAsia="仿宋_GB2312" w:hint="eastAsia"/>
          <w:sz w:val="32"/>
          <w:szCs w:val="32"/>
        </w:rPr>
        <w:t>53.33%</w:t>
      </w:r>
      <w:r>
        <w:rPr>
          <w:rFonts w:eastAsia="仿宋_GB2312" w:hint="eastAsia"/>
          <w:sz w:val="32"/>
          <w:szCs w:val="32"/>
        </w:rPr>
        <w:t>。获评省外产业项目新增实际投资先进单位、全市招商引资工作先进集体，</w:t>
      </w:r>
      <w:r>
        <w:rPr>
          <w:rFonts w:eastAsia="仿宋_GB2312" w:hint="eastAsia"/>
          <w:sz w:val="32"/>
          <w:szCs w:val="32"/>
        </w:rPr>
        <w:t>4</w:t>
      </w:r>
      <w:r>
        <w:rPr>
          <w:rFonts w:eastAsia="仿宋_GB2312" w:hint="eastAsia"/>
          <w:sz w:val="32"/>
          <w:szCs w:val="32"/>
        </w:rPr>
        <w:t>次荣获市对县招商引资月度考核第一名。成功签约引进单晶硅新能源电池、悦迪（雅迪）大竹高新技术产业园、鹤明宏华全产业链建设、中农储</w:t>
      </w:r>
      <w:r>
        <w:rPr>
          <w:rFonts w:ascii="宋体" w:hAnsi="宋体" w:cs="宋体" w:hint="eastAsia"/>
          <w:sz w:val="32"/>
          <w:szCs w:val="32"/>
        </w:rPr>
        <w:t>•</w:t>
      </w:r>
      <w:r>
        <w:rPr>
          <w:rFonts w:ascii="仿宋_GB2312" w:eastAsia="仿宋_GB2312" w:hAnsi="仿宋_GB2312" w:cs="仿宋_GB2312" w:hint="eastAsia"/>
          <w:sz w:val="32"/>
          <w:szCs w:val="32"/>
        </w:rPr>
        <w:t>川东国际农贸城等项目</w:t>
      </w:r>
      <w:r w:rsidR="002E0451">
        <w:rPr>
          <w:rFonts w:ascii="仿宋_GB2312" w:eastAsia="仿宋_GB2312" w:hAnsi="仿宋_GB2312" w:cs="仿宋_GB2312"/>
          <w:sz w:val="32"/>
          <w:szCs w:val="32"/>
        </w:rPr>
        <w:t>。</w:t>
      </w:r>
    </w:p>
    <w:p w:rsidR="00BB2F55" w:rsidRDefault="002E0451">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全县招商引资工作理念逐步增强，</w:t>
      </w:r>
      <w:r>
        <w:rPr>
          <w:rFonts w:ascii="仿宋_GB2312" w:eastAsia="仿宋_GB2312" w:hAnsi="仿宋_GB2312" w:cs="仿宋_GB2312" w:hint="eastAsia"/>
          <w:sz w:val="32"/>
          <w:szCs w:val="32"/>
        </w:rPr>
        <w:t>投资促进服务水平、服务质量切实提升，投资环境得到较大改善，行政效能建设进一步强化，全县“亲商、富商、安商”氛围浓厚，服务全县大局、服务招商引资的自觉性和主动性显著增强，工作效率明显提高，得到市委市政府、县委县政府的肯定与好评，项目投资方对我中心的工作满意度极高。</w:t>
      </w:r>
    </w:p>
    <w:p w:rsidR="00BB2F55" w:rsidRDefault="002E0451" w:rsidP="00432C25">
      <w:pPr>
        <w:spacing w:line="57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sz w:val="32"/>
          <w:szCs w:val="32"/>
        </w:rPr>
        <w:t>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年招商引资活动项目整体支出为</w:t>
      </w:r>
      <w:r w:rsidR="00432C25" w:rsidRPr="00432C25">
        <w:rPr>
          <w:rFonts w:ascii="仿宋_GB2312" w:eastAsia="仿宋_GB2312" w:hAnsi="仿宋_GB2312" w:cs="仿宋_GB2312"/>
          <w:sz w:val="32"/>
          <w:szCs w:val="32"/>
        </w:rPr>
        <w:t>871.82</w:t>
      </w:r>
      <w:r>
        <w:rPr>
          <w:rFonts w:ascii="仿宋_GB2312" w:eastAsia="仿宋_GB2312" w:hAnsi="仿宋_GB2312" w:cs="仿宋_GB2312" w:hint="eastAsia"/>
          <w:sz w:val="32"/>
          <w:szCs w:val="32"/>
        </w:rPr>
        <w:t>万元</w:t>
      </w:r>
      <w:r w:rsidR="00432C2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BB2F55" w:rsidRDefault="002E0451">
      <w:pPr>
        <w:spacing w:line="578"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3.绩效目标考核支出</w:t>
      </w:r>
      <w:r>
        <w:rPr>
          <w:rFonts w:ascii="仿宋_GB2312" w:eastAsia="仿宋_GB2312" w:hAnsi="仿宋_GB2312" w:cs="仿宋_GB2312" w:hint="eastAsia"/>
          <w:sz w:val="32"/>
          <w:szCs w:val="32"/>
        </w:rPr>
        <w:t>：202</w:t>
      </w:r>
      <w:r w:rsidR="00432C2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年，我</w:t>
      </w:r>
      <w:r>
        <w:rPr>
          <w:rFonts w:ascii="仿宋_GB2312" w:eastAsia="仿宋_GB2312" w:hAnsi="仿宋_GB2312" w:cs="仿宋_GB2312"/>
          <w:sz w:val="32"/>
          <w:szCs w:val="32"/>
        </w:rPr>
        <w:t>单位</w:t>
      </w:r>
      <w:r>
        <w:rPr>
          <w:rFonts w:ascii="仿宋_GB2312" w:eastAsia="仿宋_GB2312" w:hAnsi="仿宋_GB2312" w:cs="仿宋_GB2312" w:hint="eastAsia"/>
          <w:sz w:val="32"/>
          <w:szCs w:val="32"/>
        </w:rPr>
        <w:t>严格按照上级文件要求和考核结论核定标准和范围，不虚列，不超标，并</w:t>
      </w:r>
      <w:r>
        <w:rPr>
          <w:rFonts w:ascii="仿宋_GB2312" w:eastAsia="仿宋_GB2312" w:hAnsi="仿宋_GB2312" w:cs="仿宋_GB2312"/>
          <w:sz w:val="32"/>
          <w:szCs w:val="32"/>
        </w:rPr>
        <w:t>按规定报同级财政部门审核、报批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法定程序</w:t>
      </w:r>
      <w:r>
        <w:rPr>
          <w:rFonts w:ascii="仿宋_GB2312" w:eastAsia="仿宋_GB2312" w:hAnsi="仿宋_GB2312" w:cs="仿宋_GB2312" w:hint="eastAsia"/>
          <w:sz w:val="32"/>
          <w:szCs w:val="32"/>
        </w:rPr>
        <w:t>及时发放，不截留</w:t>
      </w:r>
      <w:r>
        <w:rPr>
          <w:rFonts w:ascii="仿宋_GB2312" w:eastAsia="仿宋_GB2312" w:hAnsi="仿宋_GB2312" w:cs="仿宋_GB2312"/>
          <w:sz w:val="32"/>
          <w:szCs w:val="32"/>
        </w:rPr>
        <w:t>。</w:t>
      </w:r>
    </w:p>
    <w:p w:rsidR="00BB2F55" w:rsidRDefault="002E0451">
      <w:pPr>
        <w:widowControl/>
        <w:adjustRightInd w:val="0"/>
        <w:snapToGrid w:val="0"/>
        <w:spacing w:line="600" w:lineRule="exact"/>
        <w:ind w:firstLine="720"/>
        <w:jc w:val="left"/>
        <w:outlineLvl w:val="0"/>
        <w:rPr>
          <w:rFonts w:ascii="仿宋_GB2312" w:eastAsia="仿宋_GB2312" w:hAnsi="仿宋_GB2312" w:cs="仿宋_GB2312"/>
          <w:sz w:val="32"/>
          <w:szCs w:val="32"/>
        </w:rPr>
      </w:pPr>
      <w:r>
        <w:rPr>
          <w:rFonts w:ascii="仿宋_GB2312" w:eastAsia="仿宋_GB2312" w:hAnsi="仿宋_GB2312" w:cs="仿宋_GB2312"/>
          <w:sz w:val="32"/>
          <w:szCs w:val="32"/>
        </w:rPr>
        <w:lastRenderedPageBreak/>
        <w:t>单位</w:t>
      </w:r>
      <w:r>
        <w:rPr>
          <w:rFonts w:ascii="仿宋_GB2312" w:eastAsia="仿宋_GB2312" w:hAnsi="仿宋_GB2312" w:cs="仿宋_GB2312" w:hint="eastAsia"/>
          <w:sz w:val="32"/>
          <w:szCs w:val="32"/>
        </w:rPr>
        <w:t>合理</w:t>
      </w:r>
      <w:r>
        <w:rPr>
          <w:rFonts w:ascii="仿宋_GB2312" w:eastAsia="仿宋_GB2312" w:hAnsi="仿宋_GB2312" w:cs="仿宋_GB2312"/>
          <w:sz w:val="32"/>
          <w:szCs w:val="32"/>
        </w:rPr>
        <w:t>编制支出预算，财政下达的预算</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，单位结合工作实际制定用款计划和项目支出计划</w:t>
      </w:r>
      <w:r>
        <w:rPr>
          <w:rFonts w:ascii="仿宋_GB2312" w:eastAsia="仿宋_GB2312" w:hAnsi="仿宋_GB2312" w:cs="仿宋_GB2312" w:hint="eastAsia"/>
          <w:sz w:val="32"/>
          <w:szCs w:val="32"/>
        </w:rPr>
        <w:t>，并</w:t>
      </w:r>
      <w:r>
        <w:rPr>
          <w:rFonts w:ascii="仿宋_GB2312" w:eastAsia="仿宋_GB2312" w:hAnsi="仿宋_GB2312" w:cs="仿宋_GB2312"/>
          <w:sz w:val="32"/>
          <w:szCs w:val="32"/>
        </w:rPr>
        <w:t>加强对本级财政预算安排的项目资金和上级补助资金的管理，建立健全项目的申报、论证、实施、评审及验收制度，保证项目的顺利实施。专项资金实行项目管理，专款专用，</w:t>
      </w:r>
      <w:r>
        <w:rPr>
          <w:rFonts w:ascii="仿宋_GB2312" w:eastAsia="仿宋_GB2312" w:hAnsi="仿宋_GB2312" w:cs="仿宋_GB2312" w:hint="eastAsia"/>
          <w:sz w:val="32"/>
          <w:szCs w:val="32"/>
        </w:rPr>
        <w:t>未</w:t>
      </w:r>
      <w:r>
        <w:rPr>
          <w:rFonts w:ascii="仿宋_GB2312" w:eastAsia="仿宋_GB2312" w:hAnsi="仿宋_GB2312" w:cs="仿宋_GB2312"/>
          <w:sz w:val="32"/>
          <w:szCs w:val="32"/>
        </w:rPr>
        <w:t>虚列项目</w:t>
      </w:r>
      <w:r>
        <w:rPr>
          <w:rFonts w:ascii="仿宋_GB2312" w:eastAsia="仿宋_GB2312" w:hAnsi="仿宋_GB2312" w:cs="仿宋_GB2312" w:hint="eastAsia"/>
          <w:sz w:val="32"/>
          <w:szCs w:val="32"/>
        </w:rPr>
        <w:t>支</w:t>
      </w:r>
      <w:r>
        <w:rPr>
          <w:rFonts w:ascii="仿宋_GB2312" w:eastAsia="仿宋_GB2312" w:hAnsi="仿宋_GB2312" w:cs="仿宋_GB2312"/>
          <w:sz w:val="32"/>
          <w:szCs w:val="32"/>
        </w:rPr>
        <w:t>出，</w:t>
      </w:r>
      <w:r>
        <w:rPr>
          <w:rFonts w:ascii="仿宋_GB2312" w:eastAsia="仿宋_GB2312" w:hAnsi="仿宋_GB2312" w:cs="仿宋_GB2312" w:hint="eastAsia"/>
          <w:sz w:val="32"/>
          <w:szCs w:val="32"/>
        </w:rPr>
        <w:t>未</w:t>
      </w:r>
      <w:r>
        <w:rPr>
          <w:rFonts w:ascii="仿宋_GB2312" w:eastAsia="仿宋_GB2312" w:hAnsi="仿宋_GB2312" w:cs="仿宋_GB2312"/>
          <w:sz w:val="32"/>
          <w:szCs w:val="32"/>
        </w:rPr>
        <w:t>截留、挤占、挪用、浪费、套取、转移专项资金，</w:t>
      </w:r>
      <w:r>
        <w:rPr>
          <w:rFonts w:ascii="仿宋_GB2312" w:eastAsia="仿宋_GB2312" w:hAnsi="仿宋_GB2312" w:cs="仿宋_GB2312" w:hint="eastAsia"/>
          <w:sz w:val="32"/>
          <w:szCs w:val="32"/>
        </w:rPr>
        <w:t>未</w:t>
      </w:r>
      <w:r>
        <w:rPr>
          <w:rFonts w:ascii="仿宋_GB2312" w:eastAsia="仿宋_GB2312" w:hAnsi="仿宋_GB2312" w:cs="仿宋_GB2312"/>
          <w:sz w:val="32"/>
          <w:szCs w:val="32"/>
        </w:rPr>
        <w:t>进行二次分配。单位建立专项资金绩效考核评价制度，提高</w:t>
      </w:r>
      <w:r>
        <w:rPr>
          <w:rFonts w:ascii="仿宋_GB2312" w:eastAsia="仿宋_GB2312" w:hAnsi="仿宋_GB2312" w:cs="仿宋_GB2312" w:hint="eastAsia"/>
          <w:sz w:val="32"/>
          <w:szCs w:val="32"/>
        </w:rPr>
        <w:t>了</w:t>
      </w:r>
      <w:r>
        <w:rPr>
          <w:rFonts w:ascii="仿宋_GB2312" w:eastAsia="仿宋_GB2312" w:hAnsi="仿宋_GB2312" w:cs="仿宋_GB2312"/>
          <w:sz w:val="32"/>
          <w:szCs w:val="32"/>
        </w:rPr>
        <w:t>资金使用效益</w:t>
      </w:r>
      <w:r>
        <w:rPr>
          <w:rFonts w:ascii="仿宋_GB2312" w:eastAsia="仿宋_GB2312" w:hAnsi="仿宋_GB2312" w:cs="仿宋_GB2312" w:hint="eastAsia"/>
          <w:sz w:val="32"/>
          <w:szCs w:val="32"/>
        </w:rPr>
        <w:t>。</w:t>
      </w:r>
    </w:p>
    <w:p w:rsidR="00BB2F55" w:rsidRDefault="002E045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一般财政预算公共</w:t>
      </w:r>
      <w:r>
        <w:rPr>
          <w:rFonts w:ascii="仿宋_GB2312" w:eastAsia="仿宋_GB2312" w:hAnsi="仿宋_GB2312" w:cs="仿宋_GB2312"/>
          <w:sz w:val="32"/>
          <w:szCs w:val="32"/>
        </w:rPr>
        <w:t>支出符合国家的现行规定，</w:t>
      </w:r>
      <w:r>
        <w:rPr>
          <w:rFonts w:ascii="仿宋_GB2312" w:eastAsia="仿宋_GB2312" w:hAnsi="仿宋_GB2312" w:cs="仿宋_GB2312" w:hint="eastAsia"/>
          <w:sz w:val="32"/>
          <w:szCs w:val="32"/>
        </w:rPr>
        <w:t>未</w:t>
      </w:r>
      <w:r>
        <w:rPr>
          <w:rFonts w:ascii="仿宋_GB2312" w:eastAsia="仿宋_GB2312" w:hAnsi="仿宋_GB2312" w:cs="仿宋_GB2312"/>
          <w:sz w:val="32"/>
          <w:szCs w:val="32"/>
        </w:rPr>
        <w:t>擅自提高补贴标准</w:t>
      </w:r>
      <w:r>
        <w:rPr>
          <w:rFonts w:ascii="仿宋_GB2312" w:eastAsia="仿宋_GB2312" w:hAnsi="仿宋_GB2312" w:cs="仿宋_GB2312" w:hint="eastAsia"/>
          <w:sz w:val="32"/>
          <w:szCs w:val="32"/>
        </w:rPr>
        <w:t>，未</w:t>
      </w:r>
      <w:r>
        <w:rPr>
          <w:rFonts w:ascii="仿宋_GB2312" w:eastAsia="仿宋_GB2312" w:hAnsi="仿宋_GB2312" w:cs="仿宋_GB2312"/>
          <w:sz w:val="32"/>
          <w:szCs w:val="32"/>
        </w:rPr>
        <w:t>巧立名目、变相扩大个人补贴范围;</w:t>
      </w:r>
      <w:r>
        <w:rPr>
          <w:rFonts w:ascii="仿宋_GB2312" w:eastAsia="仿宋_GB2312" w:hAnsi="仿宋_GB2312" w:cs="仿宋_GB2312" w:hint="eastAsia"/>
          <w:sz w:val="32"/>
          <w:szCs w:val="32"/>
        </w:rPr>
        <w:t>未</w:t>
      </w:r>
      <w:r>
        <w:rPr>
          <w:rFonts w:ascii="仿宋_GB2312" w:eastAsia="仿宋_GB2312" w:hAnsi="仿宋_GB2312" w:cs="仿宋_GB2312"/>
          <w:sz w:val="32"/>
          <w:szCs w:val="32"/>
        </w:rPr>
        <w:t>随意提高差旅费、会议费等报销标准;</w:t>
      </w:r>
      <w:r>
        <w:rPr>
          <w:rFonts w:ascii="仿宋_GB2312" w:eastAsia="仿宋_GB2312" w:hAnsi="仿宋_GB2312" w:cs="仿宋_GB2312" w:hint="eastAsia"/>
          <w:sz w:val="32"/>
          <w:szCs w:val="32"/>
        </w:rPr>
        <w:t>未</w:t>
      </w:r>
      <w:r>
        <w:rPr>
          <w:rFonts w:ascii="仿宋_GB2312" w:eastAsia="仿宋_GB2312" w:hAnsi="仿宋_GB2312" w:cs="仿宋_GB2312"/>
          <w:sz w:val="32"/>
          <w:szCs w:val="32"/>
        </w:rPr>
        <w:t>追求奢华超财力购置或配备高档交通工具、办公设备和其他设施</w:t>
      </w:r>
      <w:r>
        <w:rPr>
          <w:rFonts w:ascii="仿宋_GB2312" w:eastAsia="仿宋_GB2312" w:hAnsi="仿宋_GB2312" w:cs="仿宋_GB2312" w:hint="eastAsia"/>
          <w:sz w:val="32"/>
          <w:szCs w:val="32"/>
        </w:rPr>
        <w:t>，坚决执行节能降耗。</w:t>
      </w:r>
    </w:p>
    <w:p w:rsidR="00BB2F55" w:rsidRDefault="002E0451">
      <w:pPr>
        <w:spacing w:line="578" w:lineRule="exact"/>
        <w:ind w:left="643"/>
        <w:rPr>
          <w:rFonts w:ascii="仿宋" w:eastAsia="仿宋" w:hAnsi="仿宋" w:cs="仿宋_GB2312"/>
          <w:sz w:val="32"/>
          <w:szCs w:val="32"/>
        </w:rPr>
      </w:pPr>
      <w:r>
        <w:rPr>
          <w:rFonts w:ascii="仿宋" w:eastAsia="仿宋" w:hAnsi="仿宋" w:cs="楷体_GB2312" w:hint="eastAsia"/>
          <w:b/>
          <w:bCs/>
          <w:sz w:val="32"/>
          <w:szCs w:val="32"/>
        </w:rPr>
        <w:t>4.部门开展绩效评价结果。</w:t>
      </w:r>
    </w:p>
    <w:p w:rsidR="00BB2F55" w:rsidRDefault="002E0451">
      <w:pPr>
        <w:pStyle w:val="aa"/>
        <w:spacing w:line="600" w:lineRule="exact"/>
        <w:ind w:firstLine="883"/>
        <w:jc w:val="left"/>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本部门按要求对202</w:t>
      </w:r>
      <w:r w:rsidR="00432C25">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年部门整体支出绩效评价情况开展自评，即《大竹县投资促进202</w:t>
      </w:r>
      <w:r w:rsidR="00432C25">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年部门整体支出绩效评价报告》及《大竹县投资促进服务中心项目支出绩效自评报告》。</w:t>
      </w:r>
    </w:p>
    <w:p w:rsidR="00BB2F55" w:rsidRDefault="00BB2F55">
      <w:pPr>
        <w:spacing w:line="578" w:lineRule="exact"/>
        <w:ind w:firstLine="640"/>
        <w:rPr>
          <w:rFonts w:ascii="仿宋_GB2312" w:eastAsia="仿宋_GB2312" w:hAnsi="仿宋_GB2312" w:cs="仿宋_GB2312"/>
          <w:sz w:val="32"/>
          <w:szCs w:val="32"/>
        </w:rPr>
      </w:pPr>
    </w:p>
    <w:p w:rsidR="00BB2F55" w:rsidRDefault="00BB2F55">
      <w:pPr>
        <w:spacing w:line="578" w:lineRule="exact"/>
        <w:ind w:firstLine="640"/>
        <w:rPr>
          <w:rFonts w:ascii="方正小标宋简体" w:eastAsia="方正小标宋简体" w:hAnsi="方正小标宋简体" w:cs="方正小标宋简体"/>
          <w:sz w:val="44"/>
          <w:szCs w:val="44"/>
        </w:rPr>
      </w:pPr>
    </w:p>
    <w:p w:rsidR="00432C25" w:rsidRDefault="00432C25">
      <w:pPr>
        <w:spacing w:line="578" w:lineRule="exact"/>
        <w:ind w:firstLine="640"/>
        <w:rPr>
          <w:rFonts w:ascii="方正小标宋简体" w:eastAsia="方正小标宋简体" w:hAnsi="方正小标宋简体" w:cs="方正小标宋简体"/>
          <w:sz w:val="44"/>
          <w:szCs w:val="44"/>
        </w:rPr>
      </w:pPr>
    </w:p>
    <w:p w:rsidR="00432C25" w:rsidRDefault="00432C25">
      <w:pPr>
        <w:spacing w:line="578" w:lineRule="exact"/>
        <w:ind w:firstLine="640"/>
        <w:rPr>
          <w:rFonts w:ascii="方正小标宋简体" w:eastAsia="方正小标宋简体" w:hAnsi="方正小标宋简体" w:cs="方正小标宋简体"/>
          <w:sz w:val="44"/>
          <w:szCs w:val="44"/>
        </w:rPr>
      </w:pPr>
    </w:p>
    <w:p w:rsidR="00432C25" w:rsidRPr="00432C25" w:rsidRDefault="00432C25">
      <w:pPr>
        <w:spacing w:line="578" w:lineRule="exact"/>
        <w:ind w:firstLine="640"/>
        <w:rPr>
          <w:rFonts w:ascii="方正小标宋简体" w:eastAsia="方正小标宋简体" w:hAnsi="方正小标宋简体" w:cs="方正小标宋简体"/>
          <w:sz w:val="44"/>
          <w:szCs w:val="44"/>
        </w:rPr>
      </w:pPr>
    </w:p>
    <w:p w:rsidR="00BB2F55" w:rsidRDefault="002E0451">
      <w:pPr>
        <w:numPr>
          <w:ilvl w:val="0"/>
          <w:numId w:val="2"/>
        </w:numPr>
        <w:spacing w:line="600" w:lineRule="exact"/>
        <w:ind w:firstLineChars="150" w:firstLine="663"/>
        <w:jc w:val="center"/>
        <w:outlineLvl w:val="0"/>
        <w:rPr>
          <w:rStyle w:val="1Char"/>
          <w:rFonts w:ascii="黑体" w:eastAsia="黑体" w:hAnsi="黑体"/>
          <w:b w:val="0"/>
        </w:rPr>
      </w:pPr>
      <w:bookmarkStart w:id="55" w:name="_Toc15377225"/>
      <w:bookmarkStart w:id="56" w:name="_Toc15396613"/>
      <w:r>
        <w:rPr>
          <w:rFonts w:ascii="黑体" w:eastAsia="黑体" w:hAnsi="黑体" w:hint="eastAsia"/>
          <w:b/>
          <w:sz w:val="44"/>
          <w:szCs w:val="44"/>
        </w:rPr>
        <w:t>名</w:t>
      </w:r>
      <w:r>
        <w:rPr>
          <w:rStyle w:val="1Char"/>
          <w:rFonts w:ascii="黑体" w:eastAsia="黑体" w:hAnsi="黑体" w:hint="eastAsia"/>
          <w:b w:val="0"/>
        </w:rPr>
        <w:t>词解释</w:t>
      </w:r>
      <w:bookmarkEnd w:id="55"/>
      <w:bookmarkEnd w:id="56"/>
    </w:p>
    <w:p w:rsidR="00BB2F55" w:rsidRDefault="00BB2F55">
      <w:pPr>
        <w:spacing w:line="600" w:lineRule="exact"/>
        <w:jc w:val="left"/>
        <w:rPr>
          <w:rFonts w:ascii="宋体"/>
          <w:b/>
          <w:sz w:val="44"/>
          <w:szCs w:val="44"/>
        </w:rPr>
      </w:pPr>
    </w:p>
    <w:p w:rsidR="00BB2F55" w:rsidRDefault="002E045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1.财政拨款收入：指单位从同级财政部门取得的财政预算资金。</w:t>
      </w:r>
    </w:p>
    <w:p w:rsidR="00BB2F55" w:rsidRDefault="002E045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BB2F55" w:rsidRDefault="002E045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3.年初结转和结余：指以前年度尚未完成、结转到本年按有关规定继续使用的资金。 </w:t>
      </w:r>
    </w:p>
    <w:p w:rsidR="00BB2F55" w:rsidRDefault="002E045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4.结余分配：指事业单位按照事业单位会计制度的规定从非财政补助结余中分配的事业基金和职工福利基金等。</w:t>
      </w:r>
    </w:p>
    <w:p w:rsidR="00BB2F55" w:rsidRDefault="002E045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5、年末结转和结余：指单位按有关规定结转到下年或以后年度继续使用的资金。</w:t>
      </w:r>
    </w:p>
    <w:p w:rsidR="00BB2F55" w:rsidRDefault="002E0451">
      <w:pPr>
        <w:ind w:firstLineChars="200" w:firstLine="640"/>
        <w:rPr>
          <w:rFonts w:ascii="仿宋_GB2312" w:eastAsia="仿宋_GB2312"/>
          <w:sz w:val="32"/>
          <w:szCs w:val="32"/>
        </w:rPr>
      </w:pPr>
      <w:r>
        <w:rPr>
          <w:rFonts w:ascii="仿宋_GB2312" w:eastAsia="仿宋_GB2312" w:hAnsi="仿宋_GB2312" w:cs="仿宋_GB2312" w:hint="eastAsia"/>
          <w:sz w:val="32"/>
          <w:szCs w:val="32"/>
        </w:rPr>
        <w:t>6.一般公共服务（类）商贸事务（款）招商引资（项）：指</w:t>
      </w:r>
      <w:r>
        <w:rPr>
          <w:rFonts w:ascii="仿宋_GB2312" w:eastAsia="仿宋_GB2312" w:hint="eastAsia"/>
          <w:sz w:val="32"/>
          <w:szCs w:val="32"/>
        </w:rPr>
        <w:t>指地方政府在（或地方政府成立的开发区）吸收（主要是非本地投资者）的活动中所产生的支出，包括</w:t>
      </w:r>
      <w:r>
        <w:rPr>
          <w:rFonts w:ascii="仿宋_GB2312" w:eastAsia="仿宋_GB2312" w:hAnsi="仿宋" w:hint="eastAsia"/>
          <w:sz w:val="32"/>
          <w:szCs w:val="32"/>
        </w:rPr>
        <w:t>负责当地政府对内对外开放、招商</w:t>
      </w:r>
      <w:r>
        <w:rPr>
          <w:rFonts w:ascii="仿宋_GB2312" w:eastAsia="仿宋_GB2312" w:hAnsi="仿宋" w:hint="eastAsia"/>
          <w:sz w:val="32"/>
          <w:szCs w:val="32"/>
        </w:rPr>
        <w:lastRenderedPageBreak/>
        <w:t>引资、经济合作工作的统筹、组织和服务；负责起草制定全县招商引资工作的总体规划、年度目标和年度重大招商活动的计划、方案</w:t>
      </w:r>
      <w:r>
        <w:rPr>
          <w:rFonts w:ascii="仿宋_GB2312" w:eastAsia="仿宋_GB2312" w:hint="eastAsia"/>
          <w:sz w:val="32"/>
          <w:szCs w:val="32"/>
        </w:rPr>
        <w:t>等所产生的支出。</w:t>
      </w:r>
    </w:p>
    <w:p w:rsidR="00BB2F55" w:rsidRDefault="002E0451">
      <w:pPr>
        <w:ind w:firstLineChars="200" w:firstLine="640"/>
        <w:rPr>
          <w:rFonts w:ascii="仿宋_GB2312" w:eastAsia="仿宋_GB2312"/>
          <w:sz w:val="32"/>
          <w:szCs w:val="32"/>
        </w:rPr>
      </w:pPr>
      <w:r>
        <w:rPr>
          <w:rFonts w:ascii="仿宋_GB2312" w:eastAsia="仿宋_GB2312" w:hint="eastAsia"/>
          <w:sz w:val="32"/>
          <w:szCs w:val="32"/>
        </w:rPr>
        <w:t>7.社会保障和就业（类）行政事业单位离退休（款）归口管理的行政单位离退休（项）：指社会保障和就业局发放离退休职工的退休金和相关补助之外所产生的费用支出。</w:t>
      </w:r>
    </w:p>
    <w:p w:rsidR="00BB2F55" w:rsidRDefault="002E0451">
      <w:pPr>
        <w:ind w:firstLineChars="200" w:firstLine="640"/>
        <w:rPr>
          <w:rFonts w:ascii="仿宋_GB2312" w:eastAsia="仿宋_GB2312"/>
          <w:sz w:val="32"/>
          <w:szCs w:val="32"/>
        </w:rPr>
      </w:pPr>
      <w:r>
        <w:rPr>
          <w:rFonts w:ascii="仿宋_GB2312" w:eastAsia="仿宋_GB2312" w:hint="eastAsia"/>
          <w:sz w:val="32"/>
          <w:szCs w:val="32"/>
        </w:rPr>
        <w:t>8.社会保障和就业（类）行政事业单位离退休（款）机关事业单位基本养老保险缴费支出（项）：指单位向社会保险事业管理局缴纳的纳入财政预算管理的职工养老保险，缴纳比例为职工工资总额的20%。</w:t>
      </w:r>
    </w:p>
    <w:p w:rsidR="00BB2F55" w:rsidRDefault="002E0451">
      <w:pPr>
        <w:ind w:firstLineChars="200" w:firstLine="640"/>
        <w:rPr>
          <w:rFonts w:ascii="仿宋_GB2312" w:eastAsia="仿宋_GB2312"/>
          <w:sz w:val="32"/>
          <w:szCs w:val="32"/>
        </w:rPr>
      </w:pPr>
      <w:r>
        <w:rPr>
          <w:rFonts w:ascii="仿宋_GB2312" w:eastAsia="仿宋_GB2312" w:hint="eastAsia"/>
          <w:sz w:val="32"/>
          <w:szCs w:val="32"/>
        </w:rPr>
        <w:t>9.社会保障和就业（类）抚恤（款）死亡抚恤（项）：指国家机关、企事业单位按照相关规定对死亡人员的家属进行抚慰和经济补偿。</w:t>
      </w:r>
    </w:p>
    <w:p w:rsidR="00BB2F55" w:rsidRDefault="002E045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10.商业服务业（类）其他商业服务支出（款）其他商业服务支出（项）：指反映其他用于商业流通事务方面的支出。</w:t>
      </w:r>
    </w:p>
    <w:p w:rsidR="00BB2F55" w:rsidRDefault="002E0451">
      <w:pPr>
        <w:ind w:firstLineChars="200" w:firstLine="640"/>
        <w:rPr>
          <w:rFonts w:ascii="仿宋_GB2312" w:eastAsia="仿宋_GB2312"/>
          <w:sz w:val="32"/>
          <w:szCs w:val="32"/>
        </w:rPr>
      </w:pPr>
      <w:r>
        <w:rPr>
          <w:rFonts w:ascii="仿宋_GB2312" w:eastAsia="仿宋_GB2312" w:hint="eastAsia"/>
          <w:sz w:val="32"/>
          <w:szCs w:val="32"/>
        </w:rPr>
        <w:t>11.住房保障（类）住房改革（款）住房公积金（项）：指国家机关、企事业单位及其在职职工按照相关规定的标准缴存的长期住房储金，具有普遍性、强制性（政策性）、福利性、返还性。</w:t>
      </w:r>
    </w:p>
    <w:p w:rsidR="00BB2F55" w:rsidRDefault="002E0451">
      <w:pPr>
        <w:ind w:firstLineChars="200" w:firstLine="640"/>
        <w:rPr>
          <w:rFonts w:ascii="仿宋_GB2312" w:eastAsia="仿宋_GB2312"/>
          <w:sz w:val="32"/>
          <w:szCs w:val="32"/>
        </w:rPr>
      </w:pPr>
      <w:r>
        <w:rPr>
          <w:rFonts w:ascii="仿宋_GB2312" w:eastAsia="仿宋_GB2312" w:hint="eastAsia"/>
          <w:sz w:val="32"/>
          <w:szCs w:val="32"/>
        </w:rPr>
        <w:lastRenderedPageBreak/>
        <w:t>12.基本支出：指为保障机构正常运转、完成日常工作任务而发生的人员支出和公用支出。</w:t>
      </w:r>
    </w:p>
    <w:p w:rsidR="00BB2F55" w:rsidRDefault="002E0451">
      <w:pPr>
        <w:ind w:firstLineChars="200" w:firstLine="640"/>
        <w:rPr>
          <w:rFonts w:ascii="仿宋_GB2312" w:eastAsia="仿宋_GB2312"/>
          <w:sz w:val="32"/>
          <w:szCs w:val="32"/>
        </w:rPr>
      </w:pPr>
      <w:r>
        <w:rPr>
          <w:rFonts w:ascii="仿宋_GB2312" w:eastAsia="仿宋_GB2312" w:hint="eastAsia"/>
          <w:sz w:val="32"/>
          <w:szCs w:val="32"/>
        </w:rPr>
        <w:t xml:space="preserve">13.项目支出：指在基本支出之外为完成特定行政任务和事业发展目标所发生的支出。 </w:t>
      </w:r>
    </w:p>
    <w:p w:rsidR="00BB2F55" w:rsidRDefault="002E0451">
      <w:pPr>
        <w:ind w:firstLineChars="200" w:firstLine="640"/>
        <w:rPr>
          <w:rFonts w:ascii="仿宋_GB2312" w:eastAsia="仿宋_GB2312"/>
          <w:sz w:val="32"/>
          <w:szCs w:val="32"/>
        </w:rPr>
      </w:pPr>
      <w:r>
        <w:rPr>
          <w:rFonts w:ascii="仿宋_GB2312" w:eastAsia="仿宋_GB2312" w:hint="eastAsia"/>
          <w:sz w:val="32"/>
          <w:szCs w:val="32"/>
        </w:rPr>
        <w:t>14.经营支出：指事业单位在专业业务活动及其辅助活动之外开展非独立核算经营活动发生的支出。</w:t>
      </w:r>
    </w:p>
    <w:p w:rsidR="00BB2F55" w:rsidRDefault="002E045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B2F55" w:rsidRDefault="002E0451">
      <w:pPr>
        <w:pStyle w:val="Default"/>
        <w:spacing w:line="560" w:lineRule="exact"/>
        <w:ind w:firstLineChars="200" w:firstLine="640"/>
        <w:rPr>
          <w:rFonts w:ascii="仿宋_GB2312" w:eastAsia="仿宋_GB2312" w:hAnsi="仿宋_GB2312" w:cs="仿宋_GB2312"/>
          <w:color w:val="auto"/>
          <w:sz w:val="32"/>
          <w:szCs w:val="32"/>
        </w:rPr>
      </w:pPr>
      <w:r>
        <w:rPr>
          <w:rFonts w:ascii="仿宋_GB2312" w:eastAsia="仿宋_GB2312" w:hint="eastAsia"/>
          <w:color w:val="auto"/>
          <w:sz w:val="32"/>
          <w:szCs w:val="32"/>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2F55" w:rsidRDefault="002E045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（名词解释部分请根据各部门实际列支情况罗列，并根据本部门职责职能增减名词解释内容。）</w:t>
      </w:r>
    </w:p>
    <w:p w:rsidR="00BB2F55" w:rsidRDefault="002E0451">
      <w:pPr>
        <w:spacing w:line="600" w:lineRule="exact"/>
        <w:jc w:val="center"/>
        <w:outlineLvl w:val="0"/>
        <w:rPr>
          <w:rStyle w:val="1Char"/>
          <w:rFonts w:ascii="黑体" w:eastAsia="黑体" w:hAnsi="黑体"/>
          <w:b w:val="0"/>
        </w:rPr>
      </w:pPr>
      <w:bookmarkStart w:id="57" w:name="_Toc15377226"/>
      <w:r>
        <w:rPr>
          <w:rFonts w:ascii="宋体"/>
          <w:b/>
          <w:sz w:val="44"/>
          <w:szCs w:val="44"/>
        </w:rPr>
        <w:br w:type="page"/>
      </w:r>
      <w:bookmarkStart w:id="58"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8"/>
    </w:p>
    <w:p w:rsidR="00BB2F55" w:rsidRDefault="00BB2F55">
      <w:pPr>
        <w:spacing w:line="600" w:lineRule="exact"/>
        <w:jc w:val="center"/>
        <w:outlineLvl w:val="0"/>
        <w:rPr>
          <w:rStyle w:val="1Char"/>
          <w:rFonts w:ascii="黑体" w:eastAsia="黑体" w:hAnsi="黑体"/>
          <w:b w:val="0"/>
        </w:rPr>
      </w:pPr>
    </w:p>
    <w:p w:rsidR="00BB2F55" w:rsidRDefault="002E0451">
      <w:pPr>
        <w:widowControl/>
        <w:spacing w:line="720" w:lineRule="exact"/>
        <w:rPr>
          <w:rFonts w:ascii="黑体" w:eastAsia="黑体" w:hAnsi="黑体"/>
          <w:bCs/>
          <w:sz w:val="32"/>
          <w:szCs w:val="32"/>
        </w:rPr>
      </w:pPr>
      <w:bookmarkStart w:id="59" w:name="_Toc15396618"/>
      <w:r>
        <w:rPr>
          <w:rFonts w:ascii="黑体" w:eastAsia="黑体" w:hAnsi="黑体" w:hint="eastAsia"/>
          <w:bCs/>
          <w:sz w:val="32"/>
          <w:szCs w:val="32"/>
        </w:rPr>
        <w:t>附件1</w:t>
      </w:r>
    </w:p>
    <w:p w:rsidR="005F7350" w:rsidRDefault="005F7350" w:rsidP="005F7350">
      <w:pPr>
        <w:widowControl/>
        <w:spacing w:line="720" w:lineRule="exact"/>
        <w:jc w:val="center"/>
        <w:rPr>
          <w:rFonts w:ascii="方正小标宋简体" w:eastAsia="方正小标宋简体" w:hAnsi="黑体" w:cs="黑体" w:hint="eastAsia"/>
          <w:bCs/>
          <w:sz w:val="44"/>
          <w:szCs w:val="44"/>
        </w:rPr>
      </w:pPr>
      <w:r>
        <w:rPr>
          <w:rFonts w:ascii="方正小标宋简体" w:eastAsia="方正小标宋简体" w:hAnsi="黑体" w:cs="黑体" w:hint="eastAsia"/>
          <w:bCs/>
          <w:sz w:val="44"/>
          <w:szCs w:val="44"/>
        </w:rPr>
        <w:t>大竹县投资促进服务中心2023年部门</w:t>
      </w:r>
    </w:p>
    <w:p w:rsidR="005F7350" w:rsidRDefault="005F7350" w:rsidP="005F7350">
      <w:pPr>
        <w:widowControl/>
        <w:spacing w:line="720" w:lineRule="exact"/>
        <w:jc w:val="center"/>
        <w:rPr>
          <w:rFonts w:ascii="方正小标宋简体" w:eastAsia="方正小标宋简体" w:hAnsi="黑体" w:cs="黑体" w:hint="eastAsia"/>
          <w:bCs/>
          <w:sz w:val="44"/>
          <w:szCs w:val="44"/>
        </w:rPr>
      </w:pPr>
      <w:r>
        <w:rPr>
          <w:rFonts w:ascii="方正小标宋简体" w:eastAsia="方正小标宋简体" w:hAnsi="黑体" w:cs="黑体" w:hint="eastAsia"/>
          <w:bCs/>
          <w:sz w:val="44"/>
          <w:szCs w:val="44"/>
        </w:rPr>
        <w:t>整体支出绩效报告</w:t>
      </w:r>
    </w:p>
    <w:p w:rsidR="005F7350" w:rsidRDefault="005F7350" w:rsidP="005F7350">
      <w:pPr>
        <w:widowControl/>
        <w:adjustRightInd w:val="0"/>
        <w:snapToGrid w:val="0"/>
        <w:spacing w:line="578" w:lineRule="exact"/>
        <w:ind w:firstLine="720"/>
        <w:jc w:val="left"/>
        <w:outlineLvl w:val="0"/>
        <w:rPr>
          <w:rFonts w:ascii="楷体_GB2312" w:eastAsia="楷体_GB2312" w:hAnsi="宋体" w:cs="宋体" w:hint="eastAsia"/>
          <w:b/>
          <w:kern w:val="0"/>
          <w:lang w:val="zh-CN"/>
        </w:rPr>
      </w:pPr>
    </w:p>
    <w:p w:rsidR="005F7350" w:rsidRDefault="005F7350" w:rsidP="005F7350">
      <w:pPr>
        <w:snapToGrid w:val="0"/>
        <w:spacing w:line="520" w:lineRule="exact"/>
        <w:ind w:firstLineChars="200" w:firstLine="640"/>
        <w:rPr>
          <w:rFonts w:ascii="黑体" w:eastAsia="黑体" w:hAnsi="黑体"/>
          <w:sz w:val="32"/>
          <w:szCs w:val="32"/>
        </w:rPr>
      </w:pPr>
      <w:bookmarkStart w:id="60" w:name="YS060101"/>
      <w:r>
        <w:rPr>
          <w:rFonts w:ascii="黑体" w:eastAsia="黑体" w:hAnsi="黑体" w:hint="eastAsia"/>
          <w:sz w:val="32"/>
          <w:szCs w:val="32"/>
        </w:rPr>
        <w:t>一、部门情况</w:t>
      </w:r>
    </w:p>
    <w:bookmarkEnd w:id="60"/>
    <w:p w:rsidR="005F7350" w:rsidRDefault="005F7350" w:rsidP="005F7350">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（一）基本情况。</w:t>
      </w:r>
    </w:p>
    <w:p w:rsidR="005F7350" w:rsidRDefault="005F7350" w:rsidP="005F735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1．主要职能。</w:t>
      </w:r>
    </w:p>
    <w:p w:rsidR="005F7350" w:rsidRDefault="005F7350" w:rsidP="005F7350">
      <w:pPr>
        <w:spacing w:line="540" w:lineRule="exact"/>
        <w:ind w:firstLineChars="200" w:firstLine="640"/>
        <w:rPr>
          <w:rFonts w:ascii="仿宋_GB2312" w:eastAsia="仿宋_GB2312"/>
          <w:sz w:val="32"/>
          <w:szCs w:val="32"/>
        </w:rPr>
      </w:pPr>
      <w:r>
        <w:rPr>
          <w:rFonts w:ascii="仿宋_GB2312" w:eastAsia="仿宋_GB2312" w:hint="eastAsia"/>
          <w:sz w:val="32"/>
          <w:szCs w:val="32"/>
        </w:rPr>
        <w:t>（1）贯彻执行党和国家、省委、省政府、市委、市政府、县委、县政府进一步扩大开放和实施西部大开发的方针政策；负责全县对内对外开放、招商引资、经济合作工作的统筹、组织和服务；负责起草制定全县招商引资工作的总体规划、年度目标和年度重大招商活动的计划、方案；拟订我县招商引资、经济合作的有关政策和规定。</w:t>
      </w:r>
    </w:p>
    <w:p w:rsidR="005F7350" w:rsidRDefault="005F7350" w:rsidP="005F7350">
      <w:pPr>
        <w:spacing w:line="540" w:lineRule="exact"/>
        <w:ind w:firstLineChars="200" w:firstLine="640"/>
        <w:rPr>
          <w:rFonts w:ascii="仿宋_GB2312" w:eastAsia="仿宋_GB2312"/>
          <w:sz w:val="32"/>
          <w:szCs w:val="32"/>
        </w:rPr>
      </w:pPr>
      <w:r>
        <w:rPr>
          <w:rFonts w:ascii="仿宋_GB2312" w:eastAsia="仿宋_GB2312" w:hint="eastAsia"/>
          <w:sz w:val="32"/>
          <w:szCs w:val="32"/>
        </w:rPr>
        <w:t>（2）负责组织和实施我县招商引资项目的收集、筛选、整理、翻译、包装、储备、推介、洽谈</w:t>
      </w:r>
      <w:r>
        <w:rPr>
          <w:rFonts w:ascii="仿宋_GB2312" w:eastAsia="仿宋_GB2312" w:hint="eastAsia"/>
          <w:sz w:val="32"/>
          <w:szCs w:val="32"/>
        </w:rPr>
        <w:lastRenderedPageBreak/>
        <w:t>和跟踪服务。</w:t>
      </w:r>
    </w:p>
    <w:p w:rsidR="005F7350" w:rsidRDefault="005F7350" w:rsidP="005F7350">
      <w:pPr>
        <w:spacing w:line="540" w:lineRule="exact"/>
        <w:ind w:firstLineChars="200" w:firstLine="640"/>
        <w:rPr>
          <w:rFonts w:ascii="仿宋_GB2312" w:eastAsia="仿宋_GB2312"/>
          <w:sz w:val="32"/>
          <w:szCs w:val="32"/>
        </w:rPr>
      </w:pPr>
      <w:r>
        <w:rPr>
          <w:rFonts w:ascii="仿宋_GB2312" w:eastAsia="仿宋_GB2312" w:hint="eastAsia"/>
          <w:sz w:val="32"/>
          <w:szCs w:val="32"/>
        </w:rPr>
        <w:t>（3）负责拟订全县招商引资工作考核意见和招商引资目标任务分解方案，开展对县级部门和各乡镇招商引资工作的督查和考核。</w:t>
      </w:r>
    </w:p>
    <w:p w:rsidR="005F7350" w:rsidRDefault="005F7350" w:rsidP="005F7350">
      <w:pPr>
        <w:spacing w:line="540" w:lineRule="exact"/>
        <w:ind w:firstLineChars="200" w:firstLine="640"/>
        <w:rPr>
          <w:rFonts w:ascii="仿宋_GB2312" w:eastAsia="仿宋_GB2312"/>
          <w:sz w:val="32"/>
          <w:szCs w:val="32"/>
        </w:rPr>
      </w:pPr>
      <w:r>
        <w:rPr>
          <w:rFonts w:ascii="仿宋_GB2312" w:eastAsia="仿宋_GB2312" w:hint="eastAsia"/>
          <w:sz w:val="32"/>
          <w:szCs w:val="32"/>
        </w:rPr>
        <w:t>（4）指导和组织全县区域经济合作工作。负责国内外友好城市的缔结、联络和大竹方的日常工作。</w:t>
      </w:r>
    </w:p>
    <w:p w:rsidR="005F7350" w:rsidRDefault="005F7350" w:rsidP="005F7350">
      <w:pPr>
        <w:spacing w:line="540" w:lineRule="exact"/>
        <w:ind w:firstLineChars="200" w:firstLine="640"/>
        <w:rPr>
          <w:rFonts w:ascii="仿宋_GB2312" w:eastAsia="仿宋_GB2312"/>
          <w:sz w:val="32"/>
          <w:szCs w:val="32"/>
        </w:rPr>
      </w:pPr>
      <w:r>
        <w:rPr>
          <w:rFonts w:ascii="仿宋_GB2312" w:eastAsia="仿宋_GB2312" w:hint="eastAsia"/>
          <w:sz w:val="32"/>
          <w:szCs w:val="32"/>
        </w:rPr>
        <w:t>（5）调查研究、搜集信息、搞好统计，建立和完善招商引资信息网络，提供相关的咨询服务。</w:t>
      </w:r>
    </w:p>
    <w:p w:rsidR="005F7350" w:rsidRDefault="005F7350" w:rsidP="005F7350">
      <w:pPr>
        <w:spacing w:line="540" w:lineRule="exact"/>
        <w:ind w:firstLineChars="200" w:firstLine="640"/>
        <w:rPr>
          <w:rFonts w:ascii="仿宋_GB2312" w:eastAsia="仿宋_GB2312"/>
          <w:sz w:val="32"/>
          <w:szCs w:val="32"/>
        </w:rPr>
      </w:pPr>
      <w:r>
        <w:rPr>
          <w:rFonts w:ascii="仿宋_GB2312" w:eastAsia="仿宋_GB2312" w:hint="eastAsia"/>
          <w:sz w:val="32"/>
          <w:szCs w:val="32"/>
        </w:rPr>
        <w:t>（6）负责我县企事业单位在外设经济窗口的考察、呈报、联系工作；研究提出加强我县驻外机构管理的有关规定和办法，并组织实施。</w:t>
      </w:r>
    </w:p>
    <w:p w:rsidR="005F7350" w:rsidRDefault="005F7350" w:rsidP="005F7350">
      <w:pPr>
        <w:spacing w:line="540" w:lineRule="exact"/>
        <w:ind w:firstLineChars="200" w:firstLine="640"/>
        <w:rPr>
          <w:rFonts w:ascii="仿宋_GB2312" w:eastAsia="仿宋_GB2312"/>
          <w:sz w:val="32"/>
          <w:szCs w:val="32"/>
        </w:rPr>
      </w:pPr>
      <w:r>
        <w:rPr>
          <w:rFonts w:ascii="仿宋_GB2312" w:eastAsia="仿宋_GB2312" w:hint="eastAsia"/>
          <w:sz w:val="32"/>
          <w:szCs w:val="32"/>
        </w:rPr>
        <w:t>（7）负责外县（区）政府设置驻我县办事机构的联络、呈报、服务工作；负责县外企事业单位来我县设非经营性机构的联系和服务工作。</w:t>
      </w:r>
    </w:p>
    <w:p w:rsidR="005F7350" w:rsidRDefault="005F7350" w:rsidP="005F7350">
      <w:pPr>
        <w:spacing w:line="540" w:lineRule="exact"/>
        <w:ind w:firstLineChars="200" w:firstLine="640"/>
        <w:rPr>
          <w:rFonts w:ascii="仿宋_GB2312" w:eastAsia="仿宋_GB2312"/>
          <w:sz w:val="32"/>
          <w:szCs w:val="32"/>
        </w:rPr>
      </w:pPr>
      <w:r>
        <w:rPr>
          <w:rFonts w:ascii="仿宋_GB2312" w:eastAsia="仿宋_GB2312" w:hint="eastAsia"/>
          <w:sz w:val="32"/>
          <w:szCs w:val="32"/>
        </w:rPr>
        <w:t>（8）负责“县政府外商投资服务中心”的日常管理工作；会同有关部门搞好服务中心“一站式”服务；会同有关部门督查投资环境改善的落实情况，并提出相关改进建议；协助解决外来投资企业所反映的问题、意见和合理要求。</w:t>
      </w:r>
    </w:p>
    <w:p w:rsidR="005F7350" w:rsidRDefault="005F7350" w:rsidP="005F7350">
      <w:pPr>
        <w:spacing w:line="540" w:lineRule="exact"/>
        <w:ind w:firstLineChars="200" w:firstLine="640"/>
        <w:rPr>
          <w:rFonts w:ascii="仿宋_GB2312" w:eastAsia="仿宋_GB2312"/>
          <w:sz w:val="32"/>
          <w:szCs w:val="32"/>
        </w:rPr>
      </w:pPr>
      <w:r>
        <w:rPr>
          <w:rFonts w:ascii="仿宋_GB2312" w:eastAsia="仿宋_GB2312" w:hint="eastAsia"/>
          <w:sz w:val="32"/>
          <w:szCs w:val="32"/>
        </w:rPr>
        <w:t>（9）负责我县外来投资企业协会或商会的联系和服务工作。</w:t>
      </w:r>
    </w:p>
    <w:p w:rsidR="005F7350" w:rsidRDefault="005F7350" w:rsidP="005F7350">
      <w:pPr>
        <w:snapToGrid w:val="0"/>
        <w:spacing w:line="540" w:lineRule="exact"/>
        <w:ind w:firstLineChars="200" w:firstLine="640"/>
        <w:rPr>
          <w:rFonts w:ascii="仿宋_GB2312" w:eastAsia="仿宋_GB2312" w:hAnsi="仿宋"/>
          <w:sz w:val="32"/>
          <w:szCs w:val="32"/>
        </w:rPr>
      </w:pPr>
      <w:r>
        <w:rPr>
          <w:rFonts w:ascii="仿宋_GB2312" w:eastAsia="仿宋_GB2312" w:hint="eastAsia"/>
          <w:sz w:val="32"/>
          <w:szCs w:val="32"/>
        </w:rPr>
        <w:t>（10）承办县政府交办的其它事项。</w:t>
      </w:r>
    </w:p>
    <w:p w:rsidR="005F7350" w:rsidRDefault="005F7350" w:rsidP="005F735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2．机构情况，包括当年变动情况及原因。</w:t>
      </w:r>
    </w:p>
    <w:p w:rsidR="005F7350" w:rsidRDefault="005F7350" w:rsidP="005F735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我中心是全额拨款的参照公务员管理事业单位，下设投资促进联系服务中心，执行事业单位会计制度，单位参公管理编制15人，事业编制26人。</w:t>
      </w:r>
    </w:p>
    <w:p w:rsidR="005F7350" w:rsidRDefault="005F7350" w:rsidP="005F735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3．人员情况，包括当年变动情况及原因。</w:t>
      </w:r>
    </w:p>
    <w:p w:rsidR="005F7350" w:rsidRDefault="005F7350" w:rsidP="005F735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2023年末职工人数41人，其中在职35人，退休6人。较2022年在职人员调入8人。</w:t>
      </w:r>
    </w:p>
    <w:p w:rsidR="005F7350" w:rsidRDefault="005F7350" w:rsidP="005F7350">
      <w:pPr>
        <w:widowControl/>
        <w:adjustRightInd w:val="0"/>
        <w:snapToGrid w:val="0"/>
        <w:spacing w:line="578" w:lineRule="exact"/>
        <w:ind w:firstLineChars="200" w:firstLine="42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rsidR="005F7350" w:rsidRDefault="005F7350" w:rsidP="005F7350">
      <w:pPr>
        <w:spacing w:afterLines="50" w:line="600" w:lineRule="exact"/>
        <w:ind w:firstLineChars="250" w:firstLine="527"/>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eastAsia="楷体_GB2312" w:hint="eastAsia"/>
          <w:b/>
          <w:bCs/>
          <w:color w:val="000000"/>
          <w:kern w:val="0"/>
          <w:szCs w:val="32"/>
          <w:shd w:val="clear" w:color="auto" w:fill="FFFFFF"/>
          <w:lang w:val="zh-CN"/>
        </w:rPr>
        <w:t>收入情况</w:t>
      </w:r>
      <w:r>
        <w:rPr>
          <w:rFonts w:eastAsia="楷体_GB2312"/>
          <w:b/>
          <w:bCs/>
          <w:color w:val="000000"/>
          <w:kern w:val="0"/>
          <w:szCs w:val="32"/>
          <w:shd w:val="clear" w:color="auto" w:fill="FFFFFF"/>
          <w:lang w:val="zh-CN"/>
        </w:rPr>
        <w:t>。</w:t>
      </w:r>
    </w:p>
    <w:p w:rsidR="005F7350" w:rsidRDefault="005F7350" w:rsidP="005F7350">
      <w:pPr>
        <w:spacing w:afterLines="50" w:line="600" w:lineRule="exact"/>
        <w:ind w:firstLineChars="250" w:firstLine="800"/>
        <w:rPr>
          <w:rFonts w:ascii="仿宋_GB2312" w:hAnsi="仿宋" w:hint="eastAsia"/>
        </w:rPr>
      </w:pPr>
      <w:r>
        <w:rPr>
          <w:rFonts w:eastAsia="仿宋_GB2312" w:hint="eastAsia"/>
          <w:sz w:val="32"/>
          <w:szCs w:val="32"/>
        </w:rPr>
        <w:t>2023</w:t>
      </w:r>
      <w:r>
        <w:rPr>
          <w:rFonts w:eastAsia="仿宋_GB2312" w:hint="eastAsia"/>
          <w:sz w:val="32"/>
          <w:szCs w:val="32"/>
        </w:rPr>
        <w:t>年度我部门年初收入支出预算数为</w:t>
      </w:r>
      <w:r>
        <w:rPr>
          <w:rFonts w:eastAsia="仿宋_GB2312" w:hint="eastAsia"/>
          <w:sz w:val="32"/>
          <w:szCs w:val="32"/>
        </w:rPr>
        <w:t>9659440.56</w:t>
      </w:r>
      <w:r>
        <w:rPr>
          <w:rFonts w:eastAsia="仿宋_GB2312" w:hint="eastAsia"/>
          <w:sz w:val="32"/>
          <w:szCs w:val="32"/>
        </w:rPr>
        <w:t>元</w:t>
      </w:r>
      <w:r>
        <w:rPr>
          <w:rFonts w:ascii="仿宋_GB2312" w:hAnsi="仿宋" w:hint="eastAsia"/>
        </w:rPr>
        <w:t>，详见下表：</w:t>
      </w:r>
    </w:p>
    <w:p w:rsidR="005F7350" w:rsidRDefault="005F7350" w:rsidP="005F7350">
      <w:pPr>
        <w:spacing w:afterLines="50" w:line="578" w:lineRule="exact"/>
        <w:ind w:firstLineChars="2050" w:firstLine="4305"/>
        <w:rPr>
          <w:rFonts w:ascii="仿宋_GB2312" w:hAnsi="仿宋"/>
        </w:rPr>
      </w:pPr>
      <w:r>
        <w:rPr>
          <w:rFonts w:ascii="仿宋_GB2312" w:hAnsi="仿宋" w:hint="eastAsia"/>
        </w:rPr>
        <w:t xml:space="preserve">   </w:t>
      </w:r>
      <w:r>
        <w:rPr>
          <w:rFonts w:ascii="仿宋_GB2312" w:hAnsi="仿宋" w:hint="eastAsia"/>
        </w:rPr>
        <w:t>单位：元</w:t>
      </w:r>
    </w:p>
    <w:tbl>
      <w:tblPr>
        <w:tblpPr w:leftFromText="180" w:rightFromText="180" w:vertAnchor="page" w:horzAnchor="margin" w:tblpXSpec="center" w:tblpY="2311"/>
        <w:tblW w:w="5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6"/>
        <w:gridCol w:w="3590"/>
        <w:gridCol w:w="3291"/>
        <w:gridCol w:w="2993"/>
        <w:gridCol w:w="2741"/>
      </w:tblGrid>
      <w:tr w:rsidR="005F7350" w:rsidTr="005F7350">
        <w:trPr>
          <w:trHeight w:hRule="exact" w:val="788"/>
        </w:trPr>
        <w:tc>
          <w:tcPr>
            <w:tcW w:w="1152"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项目</w:t>
            </w:r>
          </w:p>
        </w:tc>
        <w:tc>
          <w:tcPr>
            <w:tcW w:w="1095"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年初预算数</w:t>
            </w:r>
          </w:p>
        </w:tc>
        <w:tc>
          <w:tcPr>
            <w:tcW w:w="1004"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决算数</w:t>
            </w:r>
          </w:p>
        </w:tc>
        <w:tc>
          <w:tcPr>
            <w:tcW w:w="913"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增减</w:t>
            </w:r>
          </w:p>
        </w:tc>
        <w:tc>
          <w:tcPr>
            <w:tcW w:w="836"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增减%</w:t>
            </w:r>
          </w:p>
        </w:tc>
      </w:tr>
      <w:tr w:rsidR="005F7350" w:rsidTr="005F7350">
        <w:trPr>
          <w:trHeight w:hRule="exact" w:val="931"/>
        </w:trPr>
        <w:tc>
          <w:tcPr>
            <w:tcW w:w="1152"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lastRenderedPageBreak/>
              <w:t>人员经费</w:t>
            </w:r>
          </w:p>
        </w:tc>
        <w:tc>
          <w:tcPr>
            <w:tcW w:w="1095"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sz w:val="32"/>
                <w:szCs w:val="32"/>
              </w:rPr>
              <w:t>3277000.56</w:t>
            </w:r>
          </w:p>
        </w:tc>
        <w:tc>
          <w:tcPr>
            <w:tcW w:w="1004"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3725928.04</w:t>
            </w:r>
          </w:p>
        </w:tc>
        <w:tc>
          <w:tcPr>
            <w:tcW w:w="913" w:type="pct"/>
            <w:vAlign w:val="center"/>
          </w:tcPr>
          <w:p w:rsidR="005F7350" w:rsidRDefault="005F7350" w:rsidP="005F7350">
            <w:pPr>
              <w:jc w:val="center"/>
              <w:rPr>
                <w:rFonts w:ascii="仿宋_GB2312" w:eastAsia="仿宋_GB2312" w:hAnsi="仿宋"/>
                <w:sz w:val="32"/>
                <w:szCs w:val="32"/>
              </w:rPr>
            </w:pPr>
            <w:r>
              <w:rPr>
                <w:rFonts w:ascii="仿宋_GB2312" w:eastAsia="仿宋_GB2312" w:hAnsi="仿宋"/>
                <w:sz w:val="32"/>
                <w:szCs w:val="32"/>
              </w:rPr>
              <w:t>448927.48</w:t>
            </w:r>
          </w:p>
        </w:tc>
        <w:tc>
          <w:tcPr>
            <w:tcW w:w="836"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13.7%</w:t>
            </w:r>
          </w:p>
        </w:tc>
      </w:tr>
      <w:tr w:rsidR="005F7350" w:rsidTr="005F7350">
        <w:trPr>
          <w:trHeight w:hRule="exact" w:val="787"/>
        </w:trPr>
        <w:tc>
          <w:tcPr>
            <w:tcW w:w="1152"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日常公用经费</w:t>
            </w:r>
          </w:p>
        </w:tc>
        <w:tc>
          <w:tcPr>
            <w:tcW w:w="1095"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sz w:val="32"/>
                <w:szCs w:val="32"/>
              </w:rPr>
              <w:t>520440</w:t>
            </w:r>
          </w:p>
        </w:tc>
        <w:tc>
          <w:tcPr>
            <w:tcW w:w="1004"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590010.14</w:t>
            </w:r>
          </w:p>
        </w:tc>
        <w:tc>
          <w:tcPr>
            <w:tcW w:w="913"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sz w:val="32"/>
                <w:szCs w:val="32"/>
              </w:rPr>
              <w:t>69570.14</w:t>
            </w:r>
          </w:p>
        </w:tc>
        <w:tc>
          <w:tcPr>
            <w:tcW w:w="836"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13.4%</w:t>
            </w:r>
          </w:p>
        </w:tc>
      </w:tr>
      <w:tr w:rsidR="005F7350" w:rsidTr="005F7350">
        <w:trPr>
          <w:trHeight w:hRule="exact" w:val="840"/>
        </w:trPr>
        <w:tc>
          <w:tcPr>
            <w:tcW w:w="1152"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项目支出</w:t>
            </w:r>
          </w:p>
        </w:tc>
        <w:tc>
          <w:tcPr>
            <w:tcW w:w="1095"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5862000</w:t>
            </w:r>
          </w:p>
        </w:tc>
        <w:tc>
          <w:tcPr>
            <w:tcW w:w="1004"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8718158.37</w:t>
            </w:r>
          </w:p>
        </w:tc>
        <w:tc>
          <w:tcPr>
            <w:tcW w:w="913"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sz w:val="32"/>
                <w:szCs w:val="32"/>
              </w:rPr>
              <w:t>2856158.37</w:t>
            </w:r>
          </w:p>
        </w:tc>
        <w:tc>
          <w:tcPr>
            <w:tcW w:w="836"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48.7%</w:t>
            </w:r>
          </w:p>
        </w:tc>
      </w:tr>
      <w:tr w:rsidR="005F7350" w:rsidTr="005F7350">
        <w:trPr>
          <w:trHeight w:hRule="exact" w:val="780"/>
        </w:trPr>
        <w:tc>
          <w:tcPr>
            <w:tcW w:w="1152"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合计</w:t>
            </w:r>
          </w:p>
        </w:tc>
        <w:tc>
          <w:tcPr>
            <w:tcW w:w="1095"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sz w:val="32"/>
                <w:szCs w:val="32"/>
              </w:rPr>
              <w:t>9659440.56</w:t>
            </w:r>
          </w:p>
        </w:tc>
        <w:tc>
          <w:tcPr>
            <w:tcW w:w="1004"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13034096.55</w:t>
            </w:r>
          </w:p>
        </w:tc>
        <w:tc>
          <w:tcPr>
            <w:tcW w:w="913" w:type="pct"/>
            <w:vAlign w:val="center"/>
          </w:tcPr>
          <w:p w:rsidR="005F7350" w:rsidRDefault="005F7350" w:rsidP="005F7350">
            <w:pPr>
              <w:jc w:val="center"/>
              <w:rPr>
                <w:rFonts w:ascii="仿宋_GB2312" w:eastAsia="仿宋_GB2312" w:hAnsi="仿宋"/>
                <w:sz w:val="32"/>
                <w:szCs w:val="32"/>
              </w:rPr>
            </w:pPr>
            <w:r>
              <w:rPr>
                <w:rFonts w:ascii="仿宋_GB2312" w:eastAsia="仿宋_GB2312" w:hAnsi="仿宋"/>
                <w:sz w:val="32"/>
                <w:szCs w:val="32"/>
              </w:rPr>
              <w:t>3374655.99</w:t>
            </w:r>
          </w:p>
        </w:tc>
        <w:tc>
          <w:tcPr>
            <w:tcW w:w="836" w:type="pct"/>
            <w:vAlign w:val="center"/>
          </w:tcPr>
          <w:p w:rsidR="005F7350" w:rsidRDefault="005F7350" w:rsidP="005F7350">
            <w:pPr>
              <w:spacing w:line="578" w:lineRule="exact"/>
              <w:jc w:val="center"/>
              <w:rPr>
                <w:rFonts w:ascii="仿宋_GB2312" w:eastAsia="仿宋_GB2312" w:hAnsi="仿宋"/>
                <w:sz w:val="32"/>
                <w:szCs w:val="32"/>
              </w:rPr>
            </w:pPr>
            <w:r>
              <w:rPr>
                <w:rFonts w:ascii="仿宋_GB2312" w:eastAsia="仿宋_GB2312" w:hAnsi="仿宋" w:hint="eastAsia"/>
                <w:sz w:val="32"/>
                <w:szCs w:val="32"/>
              </w:rPr>
              <w:t>34.9%</w:t>
            </w:r>
          </w:p>
        </w:tc>
      </w:tr>
    </w:tbl>
    <w:p w:rsidR="005F7350" w:rsidRDefault="005F7350" w:rsidP="005F7350">
      <w:pPr>
        <w:spacing w:line="560" w:lineRule="exact"/>
        <w:ind w:firstLineChars="200" w:firstLine="640"/>
        <w:rPr>
          <w:rFonts w:ascii="仿宋_GB2312" w:hAnsi="仿宋"/>
        </w:rPr>
      </w:pPr>
      <w:r>
        <w:rPr>
          <w:rFonts w:eastAsia="仿宋_GB2312" w:hint="eastAsia"/>
          <w:sz w:val="32"/>
          <w:szCs w:val="32"/>
        </w:rPr>
        <w:t>较</w:t>
      </w:r>
      <w:r>
        <w:rPr>
          <w:rFonts w:eastAsia="仿宋_GB2312" w:hint="eastAsia"/>
          <w:sz w:val="32"/>
          <w:szCs w:val="32"/>
        </w:rPr>
        <w:t>2022</w:t>
      </w:r>
      <w:r>
        <w:rPr>
          <w:rFonts w:eastAsia="仿宋_GB2312" w:hint="eastAsia"/>
          <w:sz w:val="32"/>
          <w:szCs w:val="32"/>
        </w:rPr>
        <w:t>年年初收入支出预算数</w:t>
      </w:r>
      <w:r>
        <w:rPr>
          <w:rFonts w:eastAsia="仿宋_GB2312"/>
          <w:sz w:val="32"/>
          <w:szCs w:val="32"/>
        </w:rPr>
        <w:t>4576764.9</w:t>
      </w:r>
      <w:r>
        <w:rPr>
          <w:rFonts w:eastAsia="仿宋_GB2312" w:hint="eastAsia"/>
          <w:sz w:val="32"/>
          <w:szCs w:val="32"/>
        </w:rPr>
        <w:t>元增加</w:t>
      </w:r>
      <w:r>
        <w:rPr>
          <w:rFonts w:eastAsia="仿宋_GB2312" w:hint="eastAsia"/>
          <w:sz w:val="32"/>
          <w:szCs w:val="32"/>
        </w:rPr>
        <w:t>5082675.66</w:t>
      </w:r>
      <w:r>
        <w:rPr>
          <w:rFonts w:eastAsia="仿宋_GB2312" w:hint="eastAsia"/>
          <w:sz w:val="32"/>
          <w:szCs w:val="32"/>
        </w:rPr>
        <w:t>元。主要原因是</w:t>
      </w:r>
      <w:r>
        <w:rPr>
          <w:rFonts w:eastAsia="仿宋_GB2312" w:hint="eastAsia"/>
          <w:sz w:val="32"/>
          <w:szCs w:val="32"/>
        </w:rPr>
        <w:t>2023</w:t>
      </w:r>
      <w:r>
        <w:rPr>
          <w:rFonts w:eastAsia="仿宋_GB2312" w:hint="eastAsia"/>
          <w:sz w:val="32"/>
          <w:szCs w:val="32"/>
        </w:rPr>
        <w:t>年增加五个驻外招商分局经费</w:t>
      </w:r>
      <w:r>
        <w:rPr>
          <w:rFonts w:eastAsia="仿宋_GB2312" w:hint="eastAsia"/>
          <w:sz w:val="32"/>
          <w:szCs w:val="32"/>
        </w:rPr>
        <w:t>1650000.00</w:t>
      </w:r>
      <w:r>
        <w:rPr>
          <w:rFonts w:eastAsia="仿宋_GB2312" w:hint="eastAsia"/>
          <w:sz w:val="32"/>
          <w:szCs w:val="32"/>
        </w:rPr>
        <w:t>元、增加大竹县驻蓉经济产业国项目经费</w:t>
      </w:r>
      <w:r>
        <w:rPr>
          <w:rFonts w:eastAsia="仿宋_GB2312" w:hint="eastAsia"/>
          <w:sz w:val="32"/>
          <w:szCs w:val="32"/>
        </w:rPr>
        <w:t>2200000.00</w:t>
      </w:r>
      <w:r>
        <w:rPr>
          <w:rFonts w:eastAsia="仿宋_GB2312" w:hint="eastAsia"/>
          <w:sz w:val="32"/>
          <w:szCs w:val="32"/>
        </w:rPr>
        <w:t>元、开展了达州市重大招商引资现场推进活动，同时新增职工，故招商经费、人员经费和办公经费增加。</w:t>
      </w:r>
    </w:p>
    <w:p w:rsidR="005F7350" w:rsidRDefault="005F7350" w:rsidP="005F7350">
      <w:pPr>
        <w:numPr>
          <w:ilvl w:val="0"/>
          <w:numId w:val="5"/>
        </w:numPr>
        <w:spacing w:line="600" w:lineRule="exact"/>
        <w:ind w:firstLineChars="250" w:firstLine="527"/>
        <w:rPr>
          <w:rFonts w:eastAsia="楷体_GB2312"/>
          <w:b/>
          <w:bCs/>
          <w:color w:val="000000"/>
          <w:kern w:val="0"/>
          <w:szCs w:val="32"/>
          <w:shd w:val="clear" w:color="auto" w:fill="FFFFFF"/>
          <w:lang w:val="zh-CN"/>
        </w:rPr>
      </w:pPr>
      <w:r>
        <w:rPr>
          <w:rFonts w:eastAsia="楷体_GB2312" w:hint="eastAsia"/>
          <w:b/>
          <w:bCs/>
          <w:color w:val="000000"/>
          <w:kern w:val="0"/>
          <w:szCs w:val="32"/>
          <w:shd w:val="clear" w:color="auto" w:fill="FFFFFF"/>
          <w:lang w:val="zh-CN"/>
        </w:rPr>
        <w:t>支出情况</w:t>
      </w:r>
      <w:r>
        <w:rPr>
          <w:rFonts w:eastAsia="楷体_GB2312"/>
          <w:b/>
          <w:bCs/>
          <w:color w:val="000000"/>
          <w:kern w:val="0"/>
          <w:szCs w:val="32"/>
          <w:shd w:val="clear" w:color="auto" w:fill="FFFFFF"/>
          <w:lang w:val="zh-CN"/>
        </w:rPr>
        <w:t>。</w:t>
      </w:r>
    </w:p>
    <w:p w:rsidR="005F7350" w:rsidRDefault="005F7350" w:rsidP="005F7350">
      <w:pPr>
        <w:spacing w:line="600" w:lineRule="exact"/>
        <w:ind w:firstLineChars="200" w:firstLine="420"/>
        <w:rPr>
          <w:rFonts w:ascii="仿宋_GB2312" w:hAnsi="仿宋" w:hint="eastAsia"/>
          <w:sz w:val="32"/>
          <w:szCs w:val="32"/>
        </w:rPr>
      </w:pPr>
      <w:r>
        <w:rPr>
          <w:rFonts w:ascii="仿宋_GB2312" w:hAnsi="仿宋" w:hint="eastAsia"/>
        </w:rPr>
        <w:t>2023</w:t>
      </w:r>
      <w:r>
        <w:rPr>
          <w:rFonts w:ascii="仿宋_GB2312" w:hAnsi="仿宋" w:hint="eastAsia"/>
        </w:rPr>
        <w:t>年度我中心共支出</w:t>
      </w:r>
      <w:r>
        <w:rPr>
          <w:rFonts w:ascii="仿宋_GB2312" w:eastAsia="仿宋_GB2312" w:hAnsi="仿宋" w:hint="eastAsia"/>
          <w:sz w:val="32"/>
          <w:szCs w:val="32"/>
        </w:rPr>
        <w:t>13034096.55</w:t>
      </w:r>
      <w:r>
        <w:rPr>
          <w:rFonts w:ascii="仿宋_GB2312" w:hAnsi="仿宋" w:hint="eastAsia"/>
        </w:rPr>
        <w:t>元</w:t>
      </w:r>
      <w:r>
        <w:rPr>
          <w:rFonts w:ascii="仿宋_GB2312" w:hAnsi="仿宋" w:hint="eastAsia"/>
        </w:rPr>
        <w:t>,</w:t>
      </w:r>
      <w:r>
        <w:rPr>
          <w:rFonts w:ascii="仿宋_GB2312" w:hAnsi="仿宋" w:hint="eastAsia"/>
        </w:rPr>
        <w:t>其中人员经费</w:t>
      </w:r>
      <w:r>
        <w:rPr>
          <w:rFonts w:ascii="仿宋_GB2312" w:eastAsia="仿宋_GB2312" w:hAnsi="仿宋" w:hint="eastAsia"/>
          <w:sz w:val="32"/>
          <w:szCs w:val="32"/>
        </w:rPr>
        <w:t>3725928.04</w:t>
      </w:r>
      <w:r>
        <w:rPr>
          <w:rFonts w:ascii="仿宋_GB2312" w:hAnsi="仿宋" w:hint="eastAsia"/>
          <w:sz w:val="32"/>
          <w:szCs w:val="32"/>
        </w:rPr>
        <w:t>元，</w:t>
      </w:r>
      <w:r>
        <w:rPr>
          <w:rFonts w:ascii="仿宋_GB2312" w:eastAsia="仿宋_GB2312" w:hAnsi="仿宋" w:hint="eastAsia"/>
          <w:sz w:val="32"/>
          <w:szCs w:val="32"/>
        </w:rPr>
        <w:t>日常公用经费590010.14</w:t>
      </w:r>
      <w:r>
        <w:rPr>
          <w:rFonts w:ascii="仿宋_GB2312" w:hAnsi="仿宋" w:hint="eastAsia"/>
          <w:sz w:val="32"/>
          <w:szCs w:val="32"/>
        </w:rPr>
        <w:t>元，</w:t>
      </w:r>
      <w:r>
        <w:rPr>
          <w:rFonts w:ascii="仿宋_GB2312" w:eastAsia="仿宋_GB2312" w:hAnsi="仿宋" w:hint="eastAsia"/>
          <w:sz w:val="32"/>
          <w:szCs w:val="32"/>
        </w:rPr>
        <w:t>项目支出8718158.37</w:t>
      </w:r>
      <w:r>
        <w:rPr>
          <w:rFonts w:ascii="仿宋_GB2312" w:hAnsi="仿宋" w:hint="eastAsia"/>
          <w:sz w:val="32"/>
          <w:szCs w:val="32"/>
        </w:rPr>
        <w:t>元。</w:t>
      </w:r>
    </w:p>
    <w:p w:rsidR="005F7350" w:rsidRDefault="005F7350" w:rsidP="005F7350">
      <w:pPr>
        <w:numPr>
          <w:ilvl w:val="0"/>
          <w:numId w:val="5"/>
        </w:numPr>
        <w:spacing w:line="600" w:lineRule="exact"/>
        <w:ind w:firstLineChars="250" w:firstLine="527"/>
        <w:rPr>
          <w:rFonts w:eastAsia="楷体_GB2312" w:hint="eastAsia"/>
          <w:b/>
          <w:szCs w:val="32"/>
        </w:rPr>
      </w:pPr>
      <w:r>
        <w:rPr>
          <w:rFonts w:eastAsia="楷体_GB2312"/>
          <w:b/>
          <w:szCs w:val="32"/>
        </w:rPr>
        <w:t>结余分配和结转结余情况</w:t>
      </w:r>
      <w:r>
        <w:rPr>
          <w:rFonts w:eastAsia="楷体_GB2312" w:hint="eastAsia"/>
          <w:b/>
          <w:szCs w:val="32"/>
        </w:rPr>
        <w:t>。</w:t>
      </w:r>
    </w:p>
    <w:p w:rsidR="005F7350" w:rsidRDefault="005F7350" w:rsidP="005F7350">
      <w:pPr>
        <w:spacing w:line="600" w:lineRule="exact"/>
        <w:ind w:firstLineChars="200" w:firstLine="640"/>
        <w:rPr>
          <w:rFonts w:eastAsia="楷体_GB2312" w:hint="eastAsia"/>
          <w:b/>
          <w:szCs w:val="32"/>
        </w:rPr>
      </w:pPr>
      <w:r>
        <w:rPr>
          <w:rFonts w:ascii="仿宋_GB2312" w:eastAsia="仿宋_GB2312" w:hAnsi="仿宋" w:hint="eastAsia"/>
          <w:sz w:val="32"/>
          <w:szCs w:val="32"/>
        </w:rPr>
        <w:t>我单位2023年一般公共预算财政拨款收入为12895559.4元，共支出13034096.55元，结余0</w:t>
      </w:r>
      <w:r>
        <w:rPr>
          <w:rFonts w:ascii="仿宋_GB2312" w:eastAsia="仿宋_GB2312" w:hAnsi="仿宋" w:hint="eastAsia"/>
          <w:sz w:val="32"/>
          <w:szCs w:val="32"/>
        </w:rPr>
        <w:lastRenderedPageBreak/>
        <w:t>元。</w:t>
      </w:r>
    </w:p>
    <w:p w:rsidR="005F7350" w:rsidRDefault="005F7350" w:rsidP="005F7350">
      <w:pPr>
        <w:widowControl/>
        <w:adjustRightInd w:val="0"/>
        <w:snapToGrid w:val="0"/>
        <w:spacing w:line="578" w:lineRule="exact"/>
        <w:ind w:firstLineChars="200" w:firstLine="42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三、部门预算绩效分析</w:t>
      </w:r>
    </w:p>
    <w:p w:rsidR="005F7350" w:rsidRDefault="005F7350" w:rsidP="005F7350">
      <w:pPr>
        <w:widowControl/>
        <w:adjustRightInd w:val="0"/>
        <w:snapToGrid w:val="0"/>
        <w:spacing w:line="600" w:lineRule="exact"/>
        <w:ind w:firstLine="720"/>
        <w:jc w:val="left"/>
        <w:outlineLvl w:val="0"/>
        <w:rPr>
          <w:rFonts w:ascii="黑体" w:eastAsia="黑体" w:hAnsi="黑体" w:cs="宋体" w:hint="eastAsia"/>
          <w:kern w:val="0"/>
        </w:rPr>
      </w:pPr>
      <w:r>
        <w:rPr>
          <w:rFonts w:ascii="黑体" w:eastAsia="黑体" w:hAnsi="黑体" w:cs="宋体" w:hint="eastAsia"/>
          <w:kern w:val="0"/>
        </w:rPr>
        <w:t>（一）预算编制情况。</w:t>
      </w:r>
    </w:p>
    <w:p w:rsidR="005F7350" w:rsidRDefault="005F7350" w:rsidP="005F7350">
      <w:pPr>
        <w:widowControl/>
        <w:adjustRightInd w:val="0"/>
        <w:snapToGrid w:val="0"/>
        <w:spacing w:line="578" w:lineRule="exact"/>
        <w:ind w:firstLine="720"/>
        <w:jc w:val="left"/>
        <w:outlineLvl w:val="0"/>
        <w:rPr>
          <w:rFonts w:ascii="仿宋_GB2312" w:hAnsi="仿宋" w:hint="eastAsia"/>
        </w:rPr>
      </w:pPr>
      <w:r>
        <w:rPr>
          <w:rFonts w:ascii="仿宋_GB2312" w:hAnsi="仿宋" w:hint="eastAsia"/>
        </w:rPr>
        <w:t>2023</w:t>
      </w:r>
      <w:r>
        <w:rPr>
          <w:rFonts w:ascii="仿宋_GB2312" w:hAnsi="仿宋" w:hint="eastAsia"/>
        </w:rPr>
        <w:t>年我中心</w:t>
      </w:r>
      <w:r>
        <w:rPr>
          <w:rFonts w:ascii="仿宋_GB2312" w:hAnsi="仿宋"/>
        </w:rPr>
        <w:t>部门预算由收入预算、支出预算组成</w:t>
      </w:r>
      <w:r>
        <w:rPr>
          <w:rFonts w:ascii="仿宋_GB2312" w:hAnsi="仿宋" w:hint="eastAsia"/>
        </w:rPr>
        <w:t>，编制合理合规，</w:t>
      </w:r>
      <w:r>
        <w:rPr>
          <w:rFonts w:ascii="仿宋_GB2312" w:hAnsi="仿宋"/>
        </w:rPr>
        <w:t>保证本部门履行基本职能所需要的人员经费和公用经费，对其他弹性支出和专项支出应当严格控制。支出预算包括</w:t>
      </w:r>
      <w:r>
        <w:rPr>
          <w:rFonts w:ascii="仿宋_GB2312" w:hAnsi="仿宋"/>
        </w:rPr>
        <w:t>:</w:t>
      </w:r>
      <w:r>
        <w:rPr>
          <w:rFonts w:ascii="仿宋_GB2312" w:hAnsi="仿宋"/>
        </w:rPr>
        <w:t>人员支出、日常公用支出、对个人和家庭的补助支出、专项</w:t>
      </w:r>
      <w:r>
        <w:rPr>
          <w:rFonts w:ascii="仿宋_GB2312" w:hAnsi="仿宋" w:hint="eastAsia"/>
        </w:rPr>
        <w:t>业务经费</w:t>
      </w:r>
      <w:r>
        <w:rPr>
          <w:rFonts w:ascii="仿宋_GB2312" w:hAnsi="仿宋"/>
        </w:rPr>
        <w:t>支出。人员支出预算</w:t>
      </w:r>
      <w:r>
        <w:rPr>
          <w:rFonts w:ascii="仿宋_GB2312" w:hAnsi="仿宋" w:hint="eastAsia"/>
        </w:rPr>
        <w:t>和</w:t>
      </w:r>
      <w:r>
        <w:rPr>
          <w:rFonts w:ascii="仿宋_GB2312" w:hAnsi="仿宋"/>
        </w:rPr>
        <w:t>对个人和家庭的补助支出预算的编制</w:t>
      </w:r>
      <w:r>
        <w:rPr>
          <w:rFonts w:ascii="仿宋_GB2312" w:hAnsi="仿宋" w:hint="eastAsia"/>
        </w:rPr>
        <w:t>，</w:t>
      </w:r>
      <w:r>
        <w:rPr>
          <w:rFonts w:ascii="仿宋_GB2312" w:hAnsi="仿宋"/>
        </w:rPr>
        <w:t>严格按照国家政策规定和标准，逐项核定，没有政策规定的项目，</w:t>
      </w:r>
      <w:r>
        <w:rPr>
          <w:rFonts w:ascii="仿宋_GB2312" w:hAnsi="仿宋" w:hint="eastAsia"/>
        </w:rPr>
        <w:t>未</w:t>
      </w:r>
      <w:r>
        <w:rPr>
          <w:rFonts w:ascii="仿宋_GB2312" w:hAnsi="仿宋"/>
        </w:rPr>
        <w:t>列入预算。日常公用支出预算的编制应本着节约、从俭的原则编报</w:t>
      </w:r>
      <w:r>
        <w:rPr>
          <w:rFonts w:ascii="仿宋_GB2312" w:hAnsi="仿宋" w:hint="eastAsia"/>
        </w:rPr>
        <w:t>，并</w:t>
      </w:r>
      <w:r>
        <w:rPr>
          <w:rFonts w:ascii="仿宋_GB2312" w:hAnsi="仿宋"/>
        </w:rPr>
        <w:t>严格按照国家政策规定和标准，逐项核定。专项</w:t>
      </w:r>
      <w:r>
        <w:rPr>
          <w:rFonts w:ascii="仿宋_GB2312" w:hAnsi="仿宋" w:hint="eastAsia"/>
        </w:rPr>
        <w:t>业务</w:t>
      </w:r>
      <w:r>
        <w:rPr>
          <w:rFonts w:ascii="仿宋_GB2312" w:hAnsi="仿宋"/>
        </w:rPr>
        <w:t>支出预算的编制紧密结合单位当年主要职责任务、工作目标及事业发展设想，并充分考虑财政的承受能力，本着实事求是</w:t>
      </w:r>
      <w:r>
        <w:rPr>
          <w:rFonts w:ascii="仿宋_GB2312" w:hAnsi="仿宋" w:hint="eastAsia"/>
        </w:rPr>
        <w:t>、</w:t>
      </w:r>
      <w:r>
        <w:rPr>
          <w:rFonts w:ascii="仿宋_GB2312" w:hAnsi="仿宋"/>
        </w:rPr>
        <w:t>从严从紧、区别轻重缓急，急事优先的原则按序安排支出事项。</w:t>
      </w:r>
      <w:r>
        <w:rPr>
          <w:rFonts w:ascii="仿宋_GB2312" w:hAnsi="仿宋" w:hint="eastAsia"/>
        </w:rPr>
        <w:t>我中心为全额补助参公事业单位，收入均为财政拨款收入，无其他收入和事业收入，因此未编制相关预算。</w:t>
      </w:r>
    </w:p>
    <w:p w:rsidR="005F7350" w:rsidRDefault="005F7350" w:rsidP="005F7350">
      <w:pPr>
        <w:spacing w:line="578" w:lineRule="exact"/>
        <w:ind w:firstLineChars="200" w:firstLine="420"/>
        <w:rPr>
          <w:rFonts w:ascii="仿宋_GB2312" w:hAnsi="仿宋" w:hint="eastAsia"/>
        </w:rPr>
      </w:pPr>
      <w:r>
        <w:rPr>
          <w:rFonts w:ascii="仿宋_GB2312" w:hAnsi="仿宋" w:hint="eastAsia"/>
        </w:rPr>
        <w:t>绩效目标填报：</w:t>
      </w:r>
    </w:p>
    <w:p w:rsidR="005F7350" w:rsidRDefault="005F7350" w:rsidP="005F7350">
      <w:pPr>
        <w:spacing w:line="578" w:lineRule="exact"/>
        <w:ind w:firstLineChars="200" w:firstLine="420"/>
        <w:rPr>
          <w:rFonts w:ascii="仿宋_GB2312" w:hAnsi="仿宋" w:hint="eastAsia"/>
        </w:rPr>
      </w:pPr>
      <w:r>
        <w:rPr>
          <w:rFonts w:ascii="仿宋_GB2312" w:hAnsi="仿宋" w:hint="eastAsia"/>
        </w:rPr>
        <w:t>1.</w:t>
      </w:r>
      <w:r>
        <w:rPr>
          <w:rFonts w:ascii="仿宋_GB2312" w:hAnsi="仿宋" w:hint="eastAsia"/>
        </w:rPr>
        <w:t>加强党风廉政建设，坚持不懈打好防范化解重大风险攻坚战。</w:t>
      </w:r>
    </w:p>
    <w:p w:rsidR="005F7350" w:rsidRDefault="005F7350" w:rsidP="005F7350">
      <w:pPr>
        <w:spacing w:line="578" w:lineRule="exact"/>
        <w:rPr>
          <w:rFonts w:ascii="仿宋_GB2312" w:hAnsi="仿宋" w:hint="eastAsia"/>
        </w:rPr>
      </w:pPr>
      <w:r>
        <w:rPr>
          <w:rFonts w:ascii="仿宋_GB2312" w:hAnsi="仿宋" w:hint="eastAsia"/>
        </w:rPr>
        <w:t xml:space="preserve">    2.</w:t>
      </w:r>
      <w:r>
        <w:rPr>
          <w:rFonts w:ascii="仿宋_GB2312" w:hAnsi="仿宋" w:hint="eastAsia"/>
        </w:rPr>
        <w:t>打好蓝天、碧水、净土保卫战，打好污染防治攻坚战。</w:t>
      </w:r>
    </w:p>
    <w:p w:rsidR="005F7350" w:rsidRDefault="005F7350" w:rsidP="005F7350">
      <w:pPr>
        <w:spacing w:line="578" w:lineRule="exact"/>
        <w:ind w:firstLineChars="200" w:firstLine="420"/>
        <w:rPr>
          <w:rFonts w:ascii="仿宋_GB2312" w:hAnsi="仿宋" w:hint="eastAsia"/>
        </w:rPr>
      </w:pPr>
      <w:r>
        <w:rPr>
          <w:rFonts w:ascii="仿宋_GB2312" w:hAnsi="仿宋" w:hint="eastAsia"/>
        </w:rPr>
        <w:t>3.</w:t>
      </w:r>
      <w:r>
        <w:rPr>
          <w:rFonts w:ascii="仿宋_GB2312" w:hAnsi="仿宋" w:hint="eastAsia"/>
        </w:rPr>
        <w:t>高度重视，积极配合，打好</w:t>
      </w:r>
      <w:r>
        <w:rPr>
          <w:rFonts w:ascii="仿宋_GB2312" w:hAnsi="仿宋" w:hint="eastAsia"/>
        </w:rPr>
        <w:t>2023</w:t>
      </w:r>
      <w:r>
        <w:rPr>
          <w:rFonts w:ascii="仿宋_GB2312" w:hAnsi="仿宋" w:hint="eastAsia"/>
        </w:rPr>
        <w:t>年投资促进工作硬仗，此项工作为我单位</w:t>
      </w:r>
      <w:r>
        <w:rPr>
          <w:rFonts w:ascii="仿宋_GB2312" w:hAnsi="仿宋" w:hint="eastAsia"/>
        </w:rPr>
        <w:t>2023</w:t>
      </w:r>
      <w:r>
        <w:rPr>
          <w:rFonts w:ascii="仿宋_GB2312" w:hAnsi="仿宋" w:hint="eastAsia"/>
        </w:rPr>
        <w:t>年的中心工作。</w:t>
      </w:r>
    </w:p>
    <w:p w:rsidR="005F7350" w:rsidRDefault="005F7350" w:rsidP="005F7350">
      <w:pPr>
        <w:spacing w:line="578" w:lineRule="exact"/>
        <w:ind w:firstLine="600"/>
        <w:rPr>
          <w:rFonts w:hint="eastAsia"/>
        </w:rPr>
      </w:pPr>
      <w:r>
        <w:t xml:space="preserve"> “</w:t>
      </w:r>
      <w:r>
        <w:t>越是取得成绩的时候，越要有如履薄冰的危机感</w:t>
      </w:r>
      <w:r>
        <w:t>”</w:t>
      </w:r>
      <w:r>
        <w:t>。</w:t>
      </w:r>
      <w:r>
        <w:rPr>
          <w:rFonts w:hint="eastAsia"/>
        </w:rPr>
        <w:t xml:space="preserve"> 2023</w:t>
      </w:r>
      <w:r>
        <w:rPr>
          <w:rFonts w:hint="eastAsia"/>
        </w:rPr>
        <w:t>年，我</w:t>
      </w:r>
      <w:r>
        <w:t>中心</w:t>
      </w:r>
      <w:r>
        <w:rPr>
          <w:rFonts w:hint="eastAsia"/>
        </w:rPr>
        <w:t>取得招商引资重大战果，</w:t>
      </w:r>
      <w:r>
        <w:rPr>
          <w:rFonts w:hint="eastAsia"/>
        </w:rPr>
        <w:t>2024</w:t>
      </w:r>
      <w:r>
        <w:rPr>
          <w:rFonts w:hint="eastAsia"/>
        </w:rPr>
        <w:t>年</w:t>
      </w:r>
      <w:r>
        <w:t>将始终坚定不移争当招商前线的</w:t>
      </w:r>
      <w:r>
        <w:t>“</w:t>
      </w:r>
      <w:r>
        <w:t>战斗员</w:t>
      </w:r>
      <w:r>
        <w:t>”</w:t>
      </w:r>
      <w:r>
        <w:t>，</w:t>
      </w:r>
      <w:r>
        <w:lastRenderedPageBreak/>
        <w:t>在项目引进上积极行动、主动作为；争当投资环境的</w:t>
      </w:r>
      <w:r>
        <w:t>“</w:t>
      </w:r>
      <w:r>
        <w:t>宣传员</w:t>
      </w:r>
      <w:r>
        <w:t>”</w:t>
      </w:r>
      <w:r>
        <w:t>，准确把握全县产业发展现状，适时向外推介大竹优势；当好各方关系的</w:t>
      </w:r>
      <w:r>
        <w:t>“</w:t>
      </w:r>
      <w:r>
        <w:t>协调员</w:t>
      </w:r>
      <w:r>
        <w:t>”</w:t>
      </w:r>
      <w:r>
        <w:t>，在项目的受理、考察、评审、签约、建设及投资认定各个环节，做好各部门协调工作；当好企业客商的</w:t>
      </w:r>
      <w:r>
        <w:t>“</w:t>
      </w:r>
      <w:r>
        <w:t>服务员</w:t>
      </w:r>
      <w:r>
        <w:t>”</w:t>
      </w:r>
      <w:r>
        <w:t>，真心实意帮助外来投资企业排忧解难，助推大竹县域工业经济实现高质量发展。</w:t>
      </w:r>
    </w:p>
    <w:p w:rsidR="005F7350" w:rsidRDefault="005F7350" w:rsidP="005F7350">
      <w:pPr>
        <w:widowControl/>
        <w:adjustRightInd w:val="0"/>
        <w:snapToGrid w:val="0"/>
        <w:spacing w:line="600" w:lineRule="exact"/>
        <w:ind w:firstLine="720"/>
        <w:jc w:val="left"/>
        <w:outlineLvl w:val="0"/>
        <w:rPr>
          <w:rFonts w:ascii="黑体" w:eastAsia="黑体" w:hAnsi="黑体" w:cs="宋体" w:hint="eastAsia"/>
          <w:kern w:val="0"/>
        </w:rPr>
      </w:pPr>
      <w:r>
        <w:rPr>
          <w:rFonts w:ascii="黑体" w:eastAsia="黑体" w:hAnsi="黑体" w:cs="宋体" w:hint="eastAsia"/>
          <w:kern w:val="0"/>
        </w:rPr>
        <w:t>（二）执行管理情况。</w:t>
      </w:r>
    </w:p>
    <w:p w:rsidR="005F7350" w:rsidRDefault="005F7350" w:rsidP="005F7350">
      <w:pPr>
        <w:spacing w:line="578" w:lineRule="exact"/>
        <w:ind w:firstLineChars="200" w:firstLine="420"/>
        <w:rPr>
          <w:rFonts w:ascii="仿宋_GB2312" w:hAnsi="仿宋" w:hint="eastAsia"/>
        </w:rPr>
      </w:pPr>
      <w:r>
        <w:rPr>
          <w:rFonts w:ascii="仿宋_GB2312" w:hAnsi="仿宋" w:hint="eastAsia"/>
        </w:rPr>
        <w:t>绩效目标考核支出：</w:t>
      </w:r>
      <w:r>
        <w:rPr>
          <w:rFonts w:ascii="仿宋_GB2312" w:hAnsi="仿宋" w:hint="eastAsia"/>
        </w:rPr>
        <w:t>2023</w:t>
      </w:r>
      <w:r>
        <w:rPr>
          <w:rFonts w:ascii="仿宋_GB2312" w:hAnsi="仿宋" w:hint="eastAsia"/>
        </w:rPr>
        <w:t>年，我</w:t>
      </w:r>
      <w:r>
        <w:rPr>
          <w:rFonts w:ascii="仿宋_GB2312" w:hAnsi="仿宋"/>
        </w:rPr>
        <w:t>单位</w:t>
      </w:r>
      <w:r>
        <w:rPr>
          <w:rFonts w:ascii="仿宋_GB2312" w:hAnsi="仿宋" w:hint="eastAsia"/>
        </w:rPr>
        <w:t>严格按照上级文件要求和考核结论核定标准和范围，不虚列，不超标，并</w:t>
      </w:r>
      <w:r>
        <w:rPr>
          <w:rFonts w:ascii="仿宋_GB2312" w:hAnsi="仿宋"/>
        </w:rPr>
        <w:t>按规定报同级财政部门审核、报批</w:t>
      </w:r>
      <w:r>
        <w:rPr>
          <w:rFonts w:ascii="仿宋_GB2312" w:hAnsi="仿宋" w:hint="eastAsia"/>
        </w:rPr>
        <w:t>，</w:t>
      </w:r>
      <w:r>
        <w:rPr>
          <w:rFonts w:ascii="仿宋_GB2312" w:hAnsi="仿宋"/>
        </w:rPr>
        <w:t>按</w:t>
      </w:r>
      <w:r>
        <w:rPr>
          <w:rFonts w:ascii="仿宋_GB2312" w:hAnsi="仿宋" w:hint="eastAsia"/>
        </w:rPr>
        <w:t>相关</w:t>
      </w:r>
      <w:r>
        <w:rPr>
          <w:rFonts w:ascii="仿宋_GB2312" w:hAnsi="仿宋"/>
        </w:rPr>
        <w:t>法定程序</w:t>
      </w:r>
      <w:r>
        <w:rPr>
          <w:rFonts w:ascii="仿宋_GB2312" w:hAnsi="仿宋" w:hint="eastAsia"/>
        </w:rPr>
        <w:t>及时发放，不截留</w:t>
      </w:r>
      <w:r>
        <w:rPr>
          <w:rFonts w:ascii="仿宋_GB2312" w:hAnsi="仿宋"/>
        </w:rPr>
        <w:t>。</w:t>
      </w:r>
    </w:p>
    <w:p w:rsidR="005F7350" w:rsidRDefault="005F7350" w:rsidP="005F7350">
      <w:pPr>
        <w:widowControl/>
        <w:adjustRightInd w:val="0"/>
        <w:snapToGrid w:val="0"/>
        <w:spacing w:line="600" w:lineRule="exact"/>
        <w:ind w:firstLine="720"/>
        <w:jc w:val="left"/>
        <w:outlineLvl w:val="0"/>
        <w:rPr>
          <w:rFonts w:hint="eastAsia"/>
        </w:rPr>
      </w:pPr>
      <w:r>
        <w:t>单位</w:t>
      </w:r>
      <w:r>
        <w:rPr>
          <w:rFonts w:hint="eastAsia"/>
        </w:rPr>
        <w:t>合理</w:t>
      </w:r>
      <w:r>
        <w:t>编制支出预算，财政下达的预算</w:t>
      </w:r>
      <w:r>
        <w:rPr>
          <w:rFonts w:hint="eastAsia"/>
        </w:rPr>
        <w:t>后</w:t>
      </w:r>
      <w:r>
        <w:t>，单位结合工作实际制定用款计划和项目支出计划</w:t>
      </w:r>
      <w:r>
        <w:rPr>
          <w:rFonts w:hint="eastAsia"/>
        </w:rPr>
        <w:t>，并</w:t>
      </w:r>
      <w:r>
        <w:t>加强对本级财政预算安排的项目资金和上级补助资金的管理，建立健全项目的申报、论证、实施、评审及验收制度，保证项目的顺利实施。专项资金实行项目管理，专款专用，</w:t>
      </w:r>
      <w:r>
        <w:rPr>
          <w:rFonts w:hint="eastAsia"/>
        </w:rPr>
        <w:t>未</w:t>
      </w:r>
      <w:r>
        <w:t>虚列项目</w:t>
      </w:r>
      <w:r>
        <w:rPr>
          <w:rFonts w:hint="eastAsia"/>
        </w:rPr>
        <w:t>支</w:t>
      </w:r>
      <w:r>
        <w:t>出，</w:t>
      </w:r>
      <w:r>
        <w:rPr>
          <w:rFonts w:hint="eastAsia"/>
        </w:rPr>
        <w:t>未</w:t>
      </w:r>
      <w:r>
        <w:t>截留、挤占、挪用、浪费、套取、转移专项资金，</w:t>
      </w:r>
      <w:r>
        <w:rPr>
          <w:rFonts w:hint="eastAsia"/>
        </w:rPr>
        <w:t>未</w:t>
      </w:r>
      <w:r>
        <w:t>进行二次分配。单位建立专项资金绩效考核评价制度，提高</w:t>
      </w:r>
      <w:r>
        <w:rPr>
          <w:rFonts w:hint="eastAsia"/>
        </w:rPr>
        <w:t>了</w:t>
      </w:r>
      <w:r>
        <w:t>资金使用效益</w:t>
      </w:r>
      <w:r>
        <w:rPr>
          <w:rFonts w:hint="eastAsia"/>
        </w:rPr>
        <w:t>。</w:t>
      </w:r>
    </w:p>
    <w:p w:rsidR="005F7350" w:rsidRDefault="005F7350" w:rsidP="005F7350">
      <w:pPr>
        <w:widowControl/>
        <w:adjustRightInd w:val="0"/>
        <w:snapToGrid w:val="0"/>
        <w:spacing w:line="600" w:lineRule="exact"/>
        <w:ind w:firstLine="720"/>
        <w:jc w:val="left"/>
        <w:outlineLvl w:val="0"/>
        <w:rPr>
          <w:rFonts w:hint="eastAsia"/>
        </w:rPr>
      </w:pPr>
      <w:r>
        <w:rPr>
          <w:rFonts w:hint="eastAsia"/>
        </w:rPr>
        <w:t>一般财政预算公共</w:t>
      </w:r>
      <w:r>
        <w:t>支出符合国家的现行规定，</w:t>
      </w:r>
      <w:r>
        <w:rPr>
          <w:rFonts w:hint="eastAsia"/>
        </w:rPr>
        <w:t>未</w:t>
      </w:r>
      <w:r>
        <w:t>擅自提高补贴标准</w:t>
      </w:r>
      <w:r>
        <w:rPr>
          <w:rFonts w:hint="eastAsia"/>
        </w:rPr>
        <w:t>，未</w:t>
      </w:r>
      <w:r>
        <w:t>巧立名目、变相扩大个人补贴范围</w:t>
      </w:r>
      <w:r>
        <w:t>;</w:t>
      </w:r>
      <w:r>
        <w:rPr>
          <w:rFonts w:hint="eastAsia"/>
        </w:rPr>
        <w:t>未</w:t>
      </w:r>
      <w:r>
        <w:t>随意提高差旅费、会议费等报销标准</w:t>
      </w:r>
      <w:r>
        <w:t>;</w:t>
      </w:r>
      <w:r>
        <w:rPr>
          <w:rFonts w:hint="eastAsia"/>
        </w:rPr>
        <w:t>未</w:t>
      </w:r>
      <w:r>
        <w:t>追求奢华超财力购置或配备高档交通工具、办公设备和其他设施</w:t>
      </w:r>
      <w:r>
        <w:rPr>
          <w:rFonts w:hint="eastAsia"/>
        </w:rPr>
        <w:t>，坚决执行节能降耗。</w:t>
      </w:r>
    </w:p>
    <w:p w:rsidR="005F7350" w:rsidRDefault="005F7350" w:rsidP="005F7350">
      <w:pPr>
        <w:widowControl/>
        <w:adjustRightInd w:val="0"/>
        <w:snapToGrid w:val="0"/>
        <w:spacing w:line="600" w:lineRule="exact"/>
        <w:ind w:firstLineChars="150" w:firstLine="315"/>
        <w:jc w:val="left"/>
        <w:outlineLvl w:val="0"/>
        <w:rPr>
          <w:rFonts w:hint="eastAsia"/>
        </w:rPr>
      </w:pPr>
      <w:r>
        <w:rPr>
          <w:rFonts w:hint="eastAsia"/>
        </w:rPr>
        <w:t>“三公”经费预算执行情况：</w:t>
      </w:r>
    </w:p>
    <w:p w:rsidR="005F7350" w:rsidRDefault="005F7350" w:rsidP="005F7350">
      <w:pPr>
        <w:widowControl/>
        <w:adjustRightInd w:val="0"/>
        <w:snapToGrid w:val="0"/>
        <w:spacing w:line="600" w:lineRule="exact"/>
        <w:ind w:firstLineChars="200" w:firstLine="420"/>
        <w:jc w:val="left"/>
        <w:outlineLvl w:val="0"/>
        <w:rPr>
          <w:rFonts w:hint="eastAsia"/>
        </w:rPr>
      </w:pPr>
      <w:r>
        <w:rPr>
          <w:rFonts w:hint="eastAsia"/>
        </w:rPr>
        <w:t>不存在无公函进行公务接待问题；不存在接待费报销“三单”不齐的问题；不存在超范围、超标准开支接待费的问题；不存在无预算、超预算开支接待费的问题，以及擅自调整其他科目、其他经费用于公务接待开支的问题；接待费支付严格执行国库集中支付和公务卡管理有关规定；严格按规定向</w:t>
      </w:r>
      <w:r>
        <w:rPr>
          <w:rFonts w:hint="eastAsia"/>
        </w:rPr>
        <w:lastRenderedPageBreak/>
        <w:t>社会公开公务接待费预决算；针对外来投资企业来竹考察的商务接待，参考公务接待管理实施细则，制定了外来投资企业接待工作规则，严格按照接待程序和标准接待客商。</w:t>
      </w:r>
    </w:p>
    <w:p w:rsidR="005F7350" w:rsidRDefault="005F7350" w:rsidP="005F7350">
      <w:pPr>
        <w:widowControl/>
        <w:adjustRightInd w:val="0"/>
        <w:snapToGrid w:val="0"/>
        <w:spacing w:line="600" w:lineRule="exact"/>
        <w:ind w:firstLineChars="200" w:firstLine="420"/>
        <w:jc w:val="left"/>
        <w:outlineLvl w:val="0"/>
        <w:rPr>
          <w:rFonts w:ascii="仿宋_GB2312" w:hAnsi="仿宋" w:hint="eastAsia"/>
          <w:sz w:val="28"/>
          <w:szCs w:val="28"/>
        </w:rPr>
      </w:pPr>
      <w:r>
        <w:rPr>
          <w:rFonts w:ascii="仿宋_GB2312" w:hAnsi="仿宋" w:hint="eastAsia"/>
        </w:rPr>
        <w:t>我中心</w:t>
      </w:r>
      <w:r>
        <w:rPr>
          <w:rFonts w:ascii="仿宋_GB2312" w:hAnsi="仿宋" w:hint="eastAsia"/>
        </w:rPr>
        <w:t>2023</w:t>
      </w:r>
      <w:r>
        <w:rPr>
          <w:rFonts w:ascii="仿宋_GB2312" w:hAnsi="仿宋" w:hint="eastAsia"/>
        </w:rPr>
        <w:t>年无因公出国（境）费</w:t>
      </w:r>
    </w:p>
    <w:p w:rsidR="005F7350" w:rsidRDefault="005F7350" w:rsidP="005F7350">
      <w:pPr>
        <w:widowControl/>
        <w:adjustRightInd w:val="0"/>
        <w:snapToGrid w:val="0"/>
        <w:spacing w:line="600" w:lineRule="exact"/>
        <w:ind w:firstLineChars="200" w:firstLine="420"/>
        <w:jc w:val="left"/>
        <w:outlineLvl w:val="0"/>
        <w:rPr>
          <w:rFonts w:hint="eastAsia"/>
        </w:rPr>
      </w:pPr>
      <w:r>
        <w:rPr>
          <w:rFonts w:hint="eastAsia"/>
        </w:rPr>
        <w:t>我中心</w:t>
      </w:r>
      <w:r>
        <w:rPr>
          <w:rFonts w:hint="eastAsia"/>
        </w:rPr>
        <w:t>2023</w:t>
      </w:r>
      <w:r>
        <w:rPr>
          <w:rFonts w:hint="eastAsia"/>
        </w:rPr>
        <w:t>年无公务用车购置及运行维护费。</w:t>
      </w:r>
    </w:p>
    <w:p w:rsidR="005F7350" w:rsidRDefault="005F7350" w:rsidP="005F7350">
      <w:pPr>
        <w:widowControl/>
        <w:adjustRightInd w:val="0"/>
        <w:snapToGrid w:val="0"/>
        <w:spacing w:line="600" w:lineRule="exact"/>
        <w:ind w:firstLine="720"/>
        <w:jc w:val="left"/>
        <w:outlineLvl w:val="0"/>
        <w:rPr>
          <w:rFonts w:ascii="黑体" w:eastAsia="黑体" w:hAnsi="黑体" w:cs="宋体" w:hint="eastAsia"/>
          <w:kern w:val="0"/>
        </w:rPr>
      </w:pPr>
      <w:r>
        <w:rPr>
          <w:rFonts w:ascii="黑体" w:eastAsia="黑体" w:hAnsi="黑体" w:cs="宋体" w:hint="eastAsia"/>
          <w:kern w:val="0"/>
        </w:rPr>
        <w:t>（三）综合管理情况。</w:t>
      </w:r>
    </w:p>
    <w:p w:rsidR="005F7350" w:rsidRDefault="005F7350" w:rsidP="005F7350">
      <w:pPr>
        <w:adjustRightInd w:val="0"/>
        <w:snapToGrid w:val="0"/>
        <w:spacing w:line="600" w:lineRule="exact"/>
        <w:ind w:firstLine="720"/>
        <w:jc w:val="left"/>
        <w:outlineLvl w:val="0"/>
        <w:rPr>
          <w:rFonts w:hint="eastAsia"/>
        </w:rPr>
      </w:pPr>
      <w:r>
        <w:rPr>
          <w:rFonts w:hint="eastAsia"/>
        </w:rPr>
        <w:t>我中心无政府性债务和非税收入。</w:t>
      </w:r>
    </w:p>
    <w:p w:rsidR="005F7350" w:rsidRDefault="005F7350" w:rsidP="005F7350">
      <w:pPr>
        <w:spacing w:line="580" w:lineRule="exact"/>
        <w:ind w:firstLineChars="246" w:firstLine="517"/>
        <w:rPr>
          <w:rFonts w:hint="eastAsia"/>
        </w:rPr>
      </w:pPr>
      <w:r>
        <w:rPr>
          <w:rFonts w:hint="eastAsia"/>
        </w:rPr>
        <w:t>政策采购管理：大宗物品采购严格按照《大竹县县级公共资源交易目录》执行，不存在规避政府集中采购的问题。</w:t>
      </w:r>
    </w:p>
    <w:p w:rsidR="005F7350" w:rsidRDefault="005F7350" w:rsidP="005F7350">
      <w:pPr>
        <w:spacing w:line="580" w:lineRule="exact"/>
        <w:ind w:firstLineChars="246" w:firstLine="517"/>
        <w:rPr>
          <w:rFonts w:hint="eastAsia"/>
        </w:rPr>
      </w:pPr>
      <w:r>
        <w:rPr>
          <w:rFonts w:hint="eastAsia"/>
        </w:rPr>
        <w:t>资产管理：我中心建立了完善的资产管理制度，确定了专门的资产管理机构，每项资产落实到具体的股室和使用人，并建立固定资产卡片，固定资产存放地点、管理人员明确，及时准确掌握资产情况，有效地管理事业单位国有资产，最大限度发挥其作用。</w:t>
      </w:r>
    </w:p>
    <w:p w:rsidR="005F7350" w:rsidRDefault="005F7350" w:rsidP="005F7350">
      <w:pPr>
        <w:spacing w:line="578" w:lineRule="exact"/>
        <w:ind w:firstLineChars="250" w:firstLine="525"/>
        <w:rPr>
          <w:rFonts w:hint="eastAsia"/>
        </w:rPr>
      </w:pPr>
      <w:r>
        <w:rPr>
          <w:rFonts w:hint="eastAsia"/>
        </w:rPr>
        <w:t>内控制度管理：县财政局组织全县贯彻实施行政事业单位内控规范，对全县贯彻实施《内控规范》工作做动员部署后，我中心度重视内部控制制度建设工作，制定了贯彻实施《行政事业单位内部控制规范》工作方案及《大竹县投资促进中心内部控制管理相关制度》，成立了贯彻实施行政事业单位内部控制领导小组和工作小组，负责本中心贯彻实施内控工作方案、协调解决重大事项、监督指导工作开展，领导小组办公室设在财务室。通过强化内部控制制度建设，切实做到有章可行，有据可依。</w:t>
      </w:r>
    </w:p>
    <w:p w:rsidR="005F7350" w:rsidRDefault="005F7350" w:rsidP="005F7350">
      <w:pPr>
        <w:spacing w:line="578" w:lineRule="exact"/>
        <w:ind w:firstLineChars="250" w:firstLine="525"/>
        <w:rPr>
          <w:rFonts w:hint="eastAsia"/>
        </w:rPr>
      </w:pPr>
      <w:r>
        <w:rPr>
          <w:rFonts w:hint="eastAsia"/>
        </w:rPr>
        <w:t>信息公开：根据县财政批复及要求，我中心的预决算在政府门户网站及时地进行了公开。</w:t>
      </w:r>
    </w:p>
    <w:p w:rsidR="005F7350" w:rsidRDefault="005F7350" w:rsidP="005F7350">
      <w:pPr>
        <w:spacing w:line="578" w:lineRule="exact"/>
        <w:ind w:firstLineChars="250" w:firstLine="525"/>
        <w:rPr>
          <w:rFonts w:hint="eastAsia"/>
        </w:rPr>
      </w:pPr>
      <w:r>
        <w:rPr>
          <w:rFonts w:hint="eastAsia"/>
        </w:rPr>
        <w:lastRenderedPageBreak/>
        <w:t>绩效评价及依法接受财政监督情况：我中心认真开展内部控制制度执行情况专项检查，内控制度得到严格、规范运行，并达到合理保证经济活动合符法规、资金安全和有效使用、财务信息真实完整，有效地防范舞弊和预防腐败，提高公共服务的效率和效果。资金专项检查由中心领导牵头，各科室配合开展廉政风险、专项资金的拨付和使用，专项排查，确保良好的内部控制制度得到有效监督，切实防范内部控制运行风险。同时，积级配合财政各级部门的监督与审计。</w:t>
      </w:r>
    </w:p>
    <w:p w:rsidR="005F7350" w:rsidRDefault="005F7350" w:rsidP="005F7350">
      <w:pPr>
        <w:widowControl/>
        <w:adjustRightInd w:val="0"/>
        <w:snapToGrid w:val="0"/>
        <w:spacing w:line="600" w:lineRule="exact"/>
        <w:ind w:firstLine="720"/>
        <w:jc w:val="left"/>
        <w:outlineLvl w:val="0"/>
        <w:rPr>
          <w:rFonts w:ascii="黑体" w:eastAsia="黑体" w:hAnsi="黑体" w:cs="宋体" w:hint="eastAsia"/>
          <w:kern w:val="0"/>
        </w:rPr>
      </w:pPr>
      <w:r>
        <w:rPr>
          <w:rFonts w:ascii="黑体" w:eastAsia="黑体" w:hAnsi="黑体" w:cs="宋体" w:hint="eastAsia"/>
          <w:kern w:val="0"/>
        </w:rPr>
        <w:t>（四）整体绩效。</w:t>
      </w:r>
    </w:p>
    <w:p w:rsidR="005F7350" w:rsidRDefault="005F7350" w:rsidP="005F7350">
      <w:pPr>
        <w:snapToGrid w:val="0"/>
        <w:spacing w:line="520" w:lineRule="exact"/>
        <w:ind w:firstLineChars="200" w:firstLine="420"/>
        <w:rPr>
          <w:rFonts w:ascii="仿宋_GB2312" w:hAnsi="仿宋"/>
        </w:rPr>
      </w:pPr>
      <w:r>
        <w:rPr>
          <w:rFonts w:ascii="仿宋_GB2312" w:hAnsi="仿宋" w:hint="eastAsia"/>
        </w:rPr>
        <w:t>单位整体支出绩效目标实现情况。</w:t>
      </w:r>
    </w:p>
    <w:p w:rsidR="005F7350" w:rsidRDefault="005F7350" w:rsidP="005F7350">
      <w:pPr>
        <w:spacing w:line="582" w:lineRule="exact"/>
        <w:ind w:firstLineChars="200" w:firstLine="640"/>
        <w:rPr>
          <w:rFonts w:eastAsia="仿宋_GB2312"/>
          <w:sz w:val="32"/>
          <w:szCs w:val="32"/>
        </w:rPr>
      </w:pPr>
      <w:r>
        <w:rPr>
          <w:rFonts w:eastAsia="仿宋_GB2312" w:hint="eastAsia"/>
          <w:sz w:val="32"/>
          <w:szCs w:val="32"/>
        </w:rPr>
        <w:t>截至</w:t>
      </w:r>
      <w:r>
        <w:rPr>
          <w:rFonts w:hint="eastAsia"/>
          <w:sz w:val="32"/>
          <w:szCs w:val="32"/>
        </w:rPr>
        <w:t>2023</w:t>
      </w:r>
      <w:r>
        <w:rPr>
          <w:rFonts w:hint="eastAsia"/>
          <w:sz w:val="32"/>
          <w:szCs w:val="32"/>
        </w:rPr>
        <w:t>年</w:t>
      </w:r>
      <w:r>
        <w:rPr>
          <w:rFonts w:eastAsia="仿宋_GB2312" w:hint="eastAsia"/>
          <w:sz w:val="32"/>
          <w:szCs w:val="32"/>
        </w:rPr>
        <w:t>12</w:t>
      </w:r>
      <w:r>
        <w:rPr>
          <w:rFonts w:eastAsia="仿宋_GB2312" w:hint="eastAsia"/>
          <w:sz w:val="32"/>
          <w:szCs w:val="32"/>
        </w:rPr>
        <w:t>月，全县招商引资到位资金</w:t>
      </w:r>
      <w:r>
        <w:rPr>
          <w:rFonts w:eastAsia="仿宋_GB2312" w:hint="eastAsia"/>
          <w:sz w:val="32"/>
          <w:szCs w:val="32"/>
        </w:rPr>
        <w:t>130.1</w:t>
      </w:r>
      <w:r>
        <w:rPr>
          <w:rFonts w:eastAsia="仿宋_GB2312" w:hint="eastAsia"/>
          <w:sz w:val="32"/>
          <w:szCs w:val="32"/>
        </w:rPr>
        <w:t>亿元，完成目标任务的</w:t>
      </w:r>
      <w:r>
        <w:rPr>
          <w:rFonts w:eastAsia="仿宋_GB2312" w:hint="eastAsia"/>
          <w:sz w:val="32"/>
          <w:szCs w:val="32"/>
        </w:rPr>
        <w:t>108.42%</w:t>
      </w:r>
      <w:r>
        <w:rPr>
          <w:rFonts w:eastAsia="仿宋_GB2312" w:hint="eastAsia"/>
          <w:sz w:val="32"/>
          <w:szCs w:val="32"/>
        </w:rPr>
        <w:t>；省外固定资产投资</w:t>
      </w:r>
      <w:r>
        <w:rPr>
          <w:rFonts w:eastAsia="仿宋_GB2312" w:hint="eastAsia"/>
          <w:sz w:val="32"/>
          <w:szCs w:val="32"/>
        </w:rPr>
        <w:t>101.13</w:t>
      </w:r>
      <w:r>
        <w:rPr>
          <w:rFonts w:eastAsia="仿宋_GB2312" w:hint="eastAsia"/>
          <w:sz w:val="32"/>
          <w:szCs w:val="32"/>
        </w:rPr>
        <w:t>亿元，完成目标任务的</w:t>
      </w:r>
      <w:r>
        <w:rPr>
          <w:rFonts w:eastAsia="仿宋_GB2312" w:hint="eastAsia"/>
          <w:sz w:val="32"/>
          <w:szCs w:val="32"/>
        </w:rPr>
        <w:t>119%</w:t>
      </w:r>
      <w:r>
        <w:rPr>
          <w:rFonts w:eastAsia="仿宋_GB2312" w:hint="eastAsia"/>
          <w:sz w:val="32"/>
          <w:szCs w:val="32"/>
        </w:rPr>
        <w:t>；引进</w:t>
      </w:r>
      <w:r>
        <w:rPr>
          <w:rFonts w:eastAsia="仿宋_GB2312" w:hint="eastAsia"/>
          <w:sz w:val="32"/>
          <w:szCs w:val="32"/>
        </w:rPr>
        <w:t>10</w:t>
      </w:r>
      <w:r>
        <w:rPr>
          <w:rFonts w:eastAsia="仿宋_GB2312" w:hint="eastAsia"/>
          <w:sz w:val="32"/>
          <w:szCs w:val="32"/>
        </w:rPr>
        <w:t>—</w:t>
      </w:r>
      <w:r>
        <w:rPr>
          <w:rFonts w:eastAsia="仿宋_GB2312" w:hint="eastAsia"/>
          <w:sz w:val="32"/>
          <w:szCs w:val="32"/>
        </w:rPr>
        <w:t>30</w:t>
      </w:r>
      <w:r>
        <w:rPr>
          <w:rFonts w:eastAsia="仿宋_GB2312" w:hint="eastAsia"/>
          <w:sz w:val="32"/>
          <w:szCs w:val="32"/>
        </w:rPr>
        <w:t>亿元项目</w:t>
      </w:r>
      <w:r>
        <w:rPr>
          <w:rFonts w:eastAsia="仿宋_GB2312" w:hint="eastAsia"/>
          <w:sz w:val="32"/>
          <w:szCs w:val="32"/>
        </w:rPr>
        <w:t>21</w:t>
      </w:r>
      <w:r>
        <w:rPr>
          <w:rFonts w:eastAsia="仿宋_GB2312" w:hint="eastAsia"/>
          <w:sz w:val="32"/>
          <w:szCs w:val="32"/>
        </w:rPr>
        <w:t>个、</w:t>
      </w:r>
      <w:r>
        <w:rPr>
          <w:rFonts w:eastAsia="仿宋_GB2312" w:hint="eastAsia"/>
          <w:sz w:val="32"/>
          <w:szCs w:val="32"/>
        </w:rPr>
        <w:t>30</w:t>
      </w:r>
      <w:r>
        <w:rPr>
          <w:rFonts w:eastAsia="仿宋_GB2312" w:hint="eastAsia"/>
          <w:sz w:val="32"/>
          <w:szCs w:val="32"/>
        </w:rPr>
        <w:t>—</w:t>
      </w:r>
      <w:r>
        <w:rPr>
          <w:rFonts w:eastAsia="仿宋_GB2312" w:hint="eastAsia"/>
          <w:sz w:val="32"/>
          <w:szCs w:val="32"/>
        </w:rPr>
        <w:t>50</w:t>
      </w:r>
      <w:r>
        <w:rPr>
          <w:rFonts w:eastAsia="仿宋_GB2312" w:hint="eastAsia"/>
          <w:sz w:val="32"/>
          <w:szCs w:val="32"/>
        </w:rPr>
        <w:t>亿元项目</w:t>
      </w:r>
      <w:r>
        <w:rPr>
          <w:rFonts w:eastAsia="仿宋_GB2312" w:hint="eastAsia"/>
          <w:sz w:val="32"/>
          <w:szCs w:val="32"/>
        </w:rPr>
        <w:t>2</w:t>
      </w:r>
      <w:r>
        <w:rPr>
          <w:rFonts w:eastAsia="仿宋_GB2312" w:hint="eastAsia"/>
          <w:sz w:val="32"/>
          <w:szCs w:val="32"/>
        </w:rPr>
        <w:t>个、</w:t>
      </w:r>
      <w:r>
        <w:rPr>
          <w:rFonts w:eastAsia="仿宋_GB2312" w:hint="eastAsia"/>
          <w:sz w:val="32"/>
          <w:szCs w:val="32"/>
        </w:rPr>
        <w:t>50-100</w:t>
      </w:r>
      <w:r>
        <w:rPr>
          <w:rFonts w:eastAsia="仿宋_GB2312" w:hint="eastAsia"/>
          <w:sz w:val="32"/>
          <w:szCs w:val="32"/>
        </w:rPr>
        <w:t>亿项目</w:t>
      </w:r>
      <w:r>
        <w:rPr>
          <w:rFonts w:eastAsia="仿宋_GB2312" w:hint="eastAsia"/>
          <w:sz w:val="32"/>
          <w:szCs w:val="32"/>
        </w:rPr>
        <w:t>1</w:t>
      </w:r>
      <w:r>
        <w:rPr>
          <w:rFonts w:eastAsia="仿宋_GB2312" w:hint="eastAsia"/>
          <w:sz w:val="32"/>
          <w:szCs w:val="32"/>
        </w:rPr>
        <w:t>个，</w:t>
      </w:r>
      <w:r>
        <w:rPr>
          <w:rFonts w:eastAsia="仿宋_GB2312" w:hint="eastAsia"/>
          <w:sz w:val="32"/>
          <w:szCs w:val="32"/>
        </w:rPr>
        <w:t>25</w:t>
      </w:r>
      <w:r>
        <w:rPr>
          <w:rFonts w:eastAsia="仿宋_GB2312" w:hint="eastAsia"/>
          <w:sz w:val="32"/>
          <w:szCs w:val="32"/>
        </w:rPr>
        <w:t>亿元以上项目</w:t>
      </w:r>
      <w:r>
        <w:rPr>
          <w:rFonts w:eastAsia="仿宋_GB2312" w:hint="eastAsia"/>
          <w:sz w:val="32"/>
          <w:szCs w:val="32"/>
        </w:rPr>
        <w:t>15</w:t>
      </w:r>
      <w:r>
        <w:rPr>
          <w:rFonts w:eastAsia="仿宋_GB2312" w:hint="eastAsia"/>
          <w:sz w:val="32"/>
          <w:szCs w:val="32"/>
        </w:rPr>
        <w:t>个；</w:t>
      </w:r>
      <w:r>
        <w:rPr>
          <w:rFonts w:eastAsia="仿宋_GB2312" w:hint="eastAsia"/>
          <w:sz w:val="32"/>
          <w:szCs w:val="32"/>
        </w:rPr>
        <w:t>FDI</w:t>
      </w:r>
      <w:r>
        <w:rPr>
          <w:rFonts w:eastAsia="仿宋_GB2312" w:hint="eastAsia"/>
          <w:sz w:val="32"/>
          <w:szCs w:val="32"/>
        </w:rPr>
        <w:t>到资</w:t>
      </w:r>
      <w:r>
        <w:rPr>
          <w:rFonts w:eastAsia="仿宋_GB2312" w:hint="eastAsia"/>
          <w:sz w:val="32"/>
          <w:szCs w:val="32"/>
        </w:rPr>
        <w:t>10</w:t>
      </w:r>
      <w:r>
        <w:rPr>
          <w:rFonts w:eastAsia="仿宋_GB2312" w:hint="eastAsia"/>
          <w:sz w:val="32"/>
          <w:szCs w:val="32"/>
        </w:rPr>
        <w:t>万港币，新注册成立外资公司</w:t>
      </w:r>
      <w:r>
        <w:rPr>
          <w:rFonts w:eastAsia="仿宋_GB2312" w:hint="eastAsia"/>
          <w:sz w:val="32"/>
          <w:szCs w:val="32"/>
        </w:rPr>
        <w:t>1</w:t>
      </w:r>
      <w:r>
        <w:rPr>
          <w:rFonts w:eastAsia="仿宋_GB2312" w:hint="eastAsia"/>
          <w:sz w:val="32"/>
          <w:szCs w:val="32"/>
        </w:rPr>
        <w:t>家。</w:t>
      </w:r>
      <w:r>
        <w:rPr>
          <w:rFonts w:eastAsia="仿宋_GB2312" w:hint="eastAsia"/>
          <w:sz w:val="32"/>
          <w:szCs w:val="32"/>
        </w:rPr>
        <w:t>2023</w:t>
      </w:r>
      <w:r>
        <w:rPr>
          <w:rFonts w:eastAsia="仿宋_GB2312" w:hint="eastAsia"/>
          <w:sz w:val="32"/>
          <w:szCs w:val="32"/>
        </w:rPr>
        <w:t>年督办项目综合“三率”（履约率、开工率、投产率）分别达到</w:t>
      </w:r>
      <w:r>
        <w:rPr>
          <w:rFonts w:eastAsia="仿宋_GB2312" w:hint="eastAsia"/>
          <w:sz w:val="32"/>
          <w:szCs w:val="32"/>
        </w:rPr>
        <w:t>93.33%</w:t>
      </w:r>
      <w:r>
        <w:rPr>
          <w:rFonts w:eastAsia="仿宋_GB2312" w:hint="eastAsia"/>
          <w:sz w:val="32"/>
          <w:szCs w:val="32"/>
        </w:rPr>
        <w:t>、</w:t>
      </w:r>
      <w:r>
        <w:rPr>
          <w:rFonts w:eastAsia="仿宋_GB2312" w:hint="eastAsia"/>
          <w:sz w:val="32"/>
          <w:szCs w:val="32"/>
        </w:rPr>
        <w:t>80%</w:t>
      </w:r>
      <w:r>
        <w:rPr>
          <w:rFonts w:eastAsia="仿宋_GB2312" w:hint="eastAsia"/>
          <w:sz w:val="32"/>
          <w:szCs w:val="32"/>
        </w:rPr>
        <w:t>、</w:t>
      </w:r>
      <w:r>
        <w:rPr>
          <w:rFonts w:eastAsia="仿宋_GB2312" w:hint="eastAsia"/>
          <w:sz w:val="32"/>
          <w:szCs w:val="32"/>
        </w:rPr>
        <w:t>53.33%</w:t>
      </w:r>
      <w:r>
        <w:rPr>
          <w:rFonts w:eastAsia="仿宋_GB2312" w:hint="eastAsia"/>
          <w:sz w:val="32"/>
          <w:szCs w:val="32"/>
        </w:rPr>
        <w:t>。获评省外产业项目新增实际投资先进单位、全市招商引资工作先进集体，</w:t>
      </w:r>
      <w:r>
        <w:rPr>
          <w:rFonts w:eastAsia="仿宋_GB2312" w:hint="eastAsia"/>
          <w:sz w:val="32"/>
          <w:szCs w:val="32"/>
        </w:rPr>
        <w:t>4</w:t>
      </w:r>
      <w:r>
        <w:rPr>
          <w:rFonts w:eastAsia="仿宋_GB2312" w:hint="eastAsia"/>
          <w:sz w:val="32"/>
          <w:szCs w:val="32"/>
        </w:rPr>
        <w:t>次荣获市对县招商引资月度考核第一名。成功签约引进单晶硅新能源电池、悦迪（雅迪）大竹高新技术产业园、鹤明宏华全产业链建设、中农储</w:t>
      </w:r>
      <w:r>
        <w:rPr>
          <w:rFonts w:ascii="宋体" w:hAnsi="宋体" w:cs="宋体" w:hint="eastAsia"/>
          <w:sz w:val="32"/>
          <w:szCs w:val="32"/>
        </w:rPr>
        <w:t>•</w:t>
      </w:r>
      <w:r>
        <w:rPr>
          <w:rFonts w:ascii="仿宋_GB2312" w:eastAsia="仿宋_GB2312" w:hAnsi="仿宋_GB2312" w:cs="仿宋_GB2312" w:hint="eastAsia"/>
          <w:sz w:val="32"/>
          <w:szCs w:val="32"/>
        </w:rPr>
        <w:t>川东国际农贸城等项目。</w:t>
      </w:r>
    </w:p>
    <w:p w:rsidR="005F7350" w:rsidRDefault="005F7350" w:rsidP="005F7350">
      <w:pPr>
        <w:widowControl/>
        <w:adjustRightInd w:val="0"/>
        <w:snapToGrid w:val="0"/>
        <w:spacing w:line="578" w:lineRule="exact"/>
        <w:ind w:firstLineChars="200" w:firstLine="420"/>
        <w:contextualSpacing/>
        <w:jc w:val="left"/>
        <w:rPr>
          <w:rFonts w:eastAsia="黑体" w:hint="eastAsia"/>
          <w:color w:val="000000"/>
          <w:kern w:val="0"/>
          <w:szCs w:val="32"/>
          <w:shd w:val="clear" w:color="auto" w:fill="FFFFFF"/>
          <w:lang w:val="zh-CN"/>
        </w:rPr>
      </w:pPr>
      <w:r>
        <w:rPr>
          <w:rFonts w:eastAsia="黑体" w:hint="eastAsia"/>
          <w:color w:val="000000"/>
          <w:kern w:val="0"/>
          <w:szCs w:val="32"/>
          <w:shd w:val="clear" w:color="auto" w:fill="FFFFFF"/>
          <w:lang w:val="zh-CN"/>
        </w:rPr>
        <w:t>四、评价结论及建议</w:t>
      </w:r>
    </w:p>
    <w:p w:rsidR="005F7350" w:rsidRDefault="005F7350" w:rsidP="005F7350">
      <w:pPr>
        <w:widowControl/>
        <w:adjustRightInd w:val="0"/>
        <w:snapToGrid w:val="0"/>
        <w:spacing w:line="600" w:lineRule="exact"/>
        <w:ind w:firstLine="720"/>
        <w:jc w:val="left"/>
        <w:outlineLvl w:val="0"/>
        <w:rPr>
          <w:rFonts w:ascii="黑体" w:eastAsia="黑体" w:hAnsi="黑体" w:cs="宋体" w:hint="eastAsia"/>
          <w:kern w:val="0"/>
        </w:rPr>
      </w:pPr>
      <w:r>
        <w:rPr>
          <w:rFonts w:ascii="黑体" w:eastAsia="黑体" w:hAnsi="黑体" w:cs="宋体" w:hint="eastAsia"/>
          <w:kern w:val="0"/>
        </w:rPr>
        <w:lastRenderedPageBreak/>
        <w:t>（一）评价结论。</w:t>
      </w:r>
    </w:p>
    <w:p w:rsidR="005F7350" w:rsidRDefault="005F7350" w:rsidP="005F7350">
      <w:pPr>
        <w:widowControl/>
        <w:adjustRightInd w:val="0"/>
        <w:snapToGrid w:val="0"/>
        <w:spacing w:line="600" w:lineRule="exact"/>
        <w:ind w:firstLine="720"/>
        <w:jc w:val="left"/>
        <w:outlineLvl w:val="0"/>
        <w:rPr>
          <w:rFonts w:ascii="仿宋_GB2312" w:hAnsi="仿宋" w:hint="eastAsia"/>
        </w:rPr>
      </w:pPr>
      <w:r>
        <w:rPr>
          <w:rFonts w:ascii="仿宋_GB2312" w:hAnsi="仿宋" w:hint="eastAsia"/>
        </w:rPr>
        <w:t>各项工作成绩突出，资金管理规范，资金使用率高，内控制度建全，执行力强，整体支出绩效良好。</w:t>
      </w:r>
    </w:p>
    <w:p w:rsidR="005F7350" w:rsidRDefault="005F7350" w:rsidP="005F7350">
      <w:pPr>
        <w:widowControl/>
        <w:adjustRightInd w:val="0"/>
        <w:snapToGrid w:val="0"/>
        <w:spacing w:line="600" w:lineRule="exact"/>
        <w:ind w:firstLine="720"/>
        <w:jc w:val="left"/>
        <w:outlineLvl w:val="0"/>
        <w:rPr>
          <w:rFonts w:ascii="黑体" w:eastAsia="黑体" w:hAnsi="黑体" w:cs="宋体" w:hint="eastAsia"/>
          <w:kern w:val="0"/>
        </w:rPr>
      </w:pPr>
      <w:r>
        <w:rPr>
          <w:rFonts w:ascii="黑体" w:eastAsia="黑体" w:hAnsi="黑体" w:cs="宋体" w:hint="eastAsia"/>
          <w:kern w:val="0"/>
        </w:rPr>
        <w:t>（二）存在问题。</w:t>
      </w:r>
    </w:p>
    <w:p w:rsidR="005F7350" w:rsidRDefault="005F7350" w:rsidP="005F7350">
      <w:pPr>
        <w:spacing w:line="578" w:lineRule="exact"/>
        <w:ind w:firstLineChars="200" w:firstLine="420"/>
        <w:rPr>
          <w:rFonts w:ascii="黑体" w:eastAsia="黑体" w:hAnsi="黑体" w:cs="黑体" w:hint="eastAsia"/>
        </w:rPr>
      </w:pPr>
      <w:r>
        <w:rPr>
          <w:rFonts w:ascii="仿宋_GB2312"/>
        </w:rPr>
        <w:t>在肯定成绩的同时，我们也清醒地认识到，在招商引资工作中仍然存在不少的问题和不足，在一定程度上制约了我县招商引资工作的发展，主要表现在：</w:t>
      </w:r>
    </w:p>
    <w:p w:rsidR="005F7350" w:rsidRDefault="005F7350" w:rsidP="005F7350">
      <w:pPr>
        <w:spacing w:line="578" w:lineRule="exact"/>
        <w:ind w:firstLineChars="200" w:firstLine="420"/>
      </w:pPr>
      <w:r>
        <w:t xml:space="preserve">1. </w:t>
      </w:r>
      <w:r>
        <w:t>招商引资方面存在的问题</w:t>
      </w:r>
    </w:p>
    <w:p w:rsidR="005F7350" w:rsidRDefault="005F7350" w:rsidP="005F7350">
      <w:pPr>
        <w:spacing w:line="578" w:lineRule="exact"/>
        <w:ind w:firstLineChars="200" w:firstLine="420"/>
      </w:pPr>
      <w:r>
        <w:t>区域环境：（</w:t>
      </w:r>
      <w:r>
        <w:t>1</w:t>
      </w:r>
      <w:r>
        <w:t>）</w:t>
      </w:r>
      <w:r>
        <w:rPr>
          <w:b/>
          <w:bCs/>
          <w:kern w:val="0"/>
        </w:rPr>
        <w:t>经济下行压力加大，招商难度增加。</w:t>
      </w:r>
      <w:r>
        <w:rPr>
          <w:kern w:val="0"/>
        </w:rPr>
        <w:t>由于经济下行，企业对新的投资项目越来越慎重，观望等待现象较为普遍；少数已签约项目暂缓投资，部分已开工项目建</w:t>
      </w:r>
      <w:r>
        <w:t>设进度减慢；引进重大项目的条件持续提高，招商难度不断增大。（</w:t>
      </w:r>
      <w:r>
        <w:rPr>
          <w:rFonts w:hint="eastAsia"/>
        </w:rPr>
        <w:t>2</w:t>
      </w:r>
      <w:r>
        <w:t>）</w:t>
      </w:r>
      <w:r>
        <w:rPr>
          <w:b/>
          <w:bCs/>
        </w:rPr>
        <w:t>要素保障不足，项目承载力不强。</w:t>
      </w:r>
      <w:r>
        <w:t>园区现有标准化厂房已租赁完毕，对新的项目无承接力。土地管理制度从紧从严，企业资金</w:t>
      </w:r>
      <w:r>
        <w:rPr>
          <w:rFonts w:hint="eastAsia"/>
        </w:rPr>
        <w:t>链</w:t>
      </w:r>
      <w:r>
        <w:t>紧张，用工成本不断提高，对开展招商引资、新上项目带来了一定影响。（</w:t>
      </w:r>
      <w:r>
        <w:rPr>
          <w:rFonts w:hint="eastAsia"/>
        </w:rPr>
        <w:t>3</w:t>
      </w:r>
      <w:r>
        <w:t>）</w:t>
      </w:r>
      <w:r>
        <w:rPr>
          <w:b/>
          <w:bCs/>
        </w:rPr>
        <w:t>行业龙头企业缺乏，产业链有待完善。</w:t>
      </w:r>
      <w:r>
        <w:t>入园企业</w:t>
      </w:r>
      <w:r>
        <w:rPr>
          <w:rFonts w:hint="eastAsia"/>
        </w:rPr>
        <w:t>中</w:t>
      </w:r>
      <w:r>
        <w:t>属于高新技术的项目不多，项目整体规模、水平、档次不高</w:t>
      </w:r>
      <w:r>
        <w:rPr>
          <w:rFonts w:hint="eastAsia"/>
        </w:rPr>
        <w:t>，</w:t>
      </w:r>
      <w:r>
        <w:t>产品的技术含量和附加值普遍较低，缺乏龙头型、压舱石类的大型工业企业，难以发挥区域辐射带动作用</w:t>
      </w:r>
      <w:r>
        <w:rPr>
          <w:rFonts w:hint="eastAsia"/>
        </w:rPr>
        <w:t>。</w:t>
      </w:r>
    </w:p>
    <w:p w:rsidR="005F7350" w:rsidRDefault="005F7350" w:rsidP="005F7350">
      <w:pPr>
        <w:numPr>
          <w:ilvl w:val="0"/>
          <w:numId w:val="6"/>
        </w:numPr>
        <w:spacing w:line="578" w:lineRule="exact"/>
        <w:ind w:firstLineChars="200" w:firstLine="420"/>
      </w:pPr>
      <w:r>
        <w:t>绩效管理工作方面</w:t>
      </w:r>
    </w:p>
    <w:p w:rsidR="005F7350" w:rsidRDefault="005F7350" w:rsidP="005F7350">
      <w:pPr>
        <w:widowControl/>
        <w:adjustRightInd w:val="0"/>
        <w:snapToGrid w:val="0"/>
        <w:spacing w:line="600" w:lineRule="exact"/>
        <w:ind w:firstLine="720"/>
        <w:jc w:val="left"/>
        <w:outlineLvl w:val="0"/>
        <w:rPr>
          <w:rFonts w:ascii="楷体_GB2312" w:eastAsia="楷体_GB2312" w:hAnsi="宋体" w:cs="宋体" w:hint="eastAsia"/>
          <w:b/>
          <w:kern w:val="0"/>
          <w:lang w:val="zh-CN"/>
        </w:rPr>
      </w:pPr>
      <w:r>
        <w:t>我中心绩效管理工作建设存在着执行力度不够和监督力度不够等问题，单位职工对财经纪律、内部控制的学习不够，对绩效管理工作方面的创新力度不够。</w:t>
      </w:r>
    </w:p>
    <w:p w:rsidR="005F7350" w:rsidRDefault="005F7350" w:rsidP="005F7350">
      <w:pPr>
        <w:widowControl/>
        <w:adjustRightInd w:val="0"/>
        <w:snapToGrid w:val="0"/>
        <w:spacing w:line="600" w:lineRule="exact"/>
        <w:ind w:firstLine="720"/>
        <w:jc w:val="left"/>
        <w:outlineLvl w:val="0"/>
        <w:rPr>
          <w:rFonts w:ascii="黑体" w:eastAsia="黑体" w:hAnsi="黑体" w:cs="宋体" w:hint="eastAsia"/>
          <w:kern w:val="0"/>
        </w:rPr>
      </w:pPr>
      <w:r>
        <w:rPr>
          <w:rFonts w:ascii="黑体" w:eastAsia="黑体" w:hAnsi="黑体" w:cs="宋体" w:hint="eastAsia"/>
          <w:kern w:val="0"/>
        </w:rPr>
        <w:lastRenderedPageBreak/>
        <w:t>（三）改进建议。</w:t>
      </w:r>
    </w:p>
    <w:p w:rsidR="005F7350" w:rsidRDefault="005F7350" w:rsidP="005F7350">
      <w:pPr>
        <w:spacing w:line="578" w:lineRule="exact"/>
        <w:ind w:firstLineChars="200" w:firstLine="420"/>
        <w:rPr>
          <w:rFonts w:ascii="仿宋_GB2312" w:hAnsi="黑体" w:hint="eastAsia"/>
        </w:rPr>
      </w:pPr>
      <w:r>
        <w:rPr>
          <w:rFonts w:ascii="仿宋_GB2312" w:hAnsi="黑体" w:hint="eastAsia"/>
        </w:rPr>
        <w:t>1.</w:t>
      </w:r>
      <w:r>
        <w:rPr>
          <w:rFonts w:ascii="仿宋_GB2312" w:hAnsi="黑体" w:hint="eastAsia"/>
        </w:rPr>
        <w:t>投资促进方面：</w:t>
      </w:r>
    </w:p>
    <w:p w:rsidR="005F7350" w:rsidRDefault="005F7350" w:rsidP="005F7350">
      <w:pPr>
        <w:spacing w:line="582" w:lineRule="exact"/>
        <w:ind w:firstLineChars="200" w:firstLine="640"/>
        <w:rPr>
          <w:rFonts w:eastAsia="仿宋_GB2312"/>
          <w:sz w:val="32"/>
          <w:szCs w:val="32"/>
        </w:rPr>
      </w:pPr>
      <w:r>
        <w:rPr>
          <w:rFonts w:eastAsia="楷体_GB2312"/>
          <w:sz w:val="32"/>
          <w:szCs w:val="32"/>
        </w:rPr>
        <w:t>统筹联动，整合招商力量。</w:t>
      </w:r>
      <w:r>
        <w:rPr>
          <w:rFonts w:eastAsia="仿宋_GB2312"/>
          <w:b/>
          <w:bCs/>
          <w:sz w:val="32"/>
          <w:szCs w:val="32"/>
        </w:rPr>
        <w:t>一是统筹商会助力。</w:t>
      </w:r>
      <w:r>
        <w:rPr>
          <w:rFonts w:eastAsia="仿宋_GB2312"/>
          <w:sz w:val="32"/>
          <w:szCs w:val="32"/>
        </w:rPr>
        <w:t>发挥商会、智力支乡联谊会作用，通过统筹本地与异地，充分发挥商会在对外交流、开放合作中的桥梁纽带作用。</w:t>
      </w:r>
      <w:r>
        <w:rPr>
          <w:rFonts w:eastAsia="仿宋_GB2312"/>
          <w:b/>
          <w:bCs/>
          <w:sz w:val="32"/>
          <w:szCs w:val="32"/>
        </w:rPr>
        <w:t>二是统筹平台借力。</w:t>
      </w:r>
      <w:r>
        <w:rPr>
          <w:rFonts w:eastAsia="仿宋_GB2312"/>
          <w:sz w:val="32"/>
          <w:szCs w:val="32"/>
        </w:rPr>
        <w:t>利用西博会、西洽会、中外知名企业四川行等专业平台，探索线上招商、平台招商等形式，通过统筹传统与新兴，充分发挥平台在宣传推介、项目招引中的示范带动作用。</w:t>
      </w:r>
      <w:r>
        <w:rPr>
          <w:rFonts w:eastAsia="仿宋_GB2312"/>
          <w:b/>
          <w:bCs/>
          <w:sz w:val="32"/>
          <w:szCs w:val="32"/>
        </w:rPr>
        <w:t>三是统筹部门合力。</w:t>
      </w:r>
      <w:r>
        <w:rPr>
          <w:rFonts w:eastAsia="仿宋_GB2312"/>
          <w:sz w:val="32"/>
          <w:szCs w:val="32"/>
        </w:rPr>
        <w:t>加强与各部门间联动配合，通过统筹分工与合作，充分发挥部门在项目对接、签约落地中的服务保障作用。</w:t>
      </w:r>
    </w:p>
    <w:p w:rsidR="005F7350" w:rsidRDefault="005F7350" w:rsidP="005F7350">
      <w:pPr>
        <w:spacing w:line="582" w:lineRule="exact"/>
        <w:ind w:firstLine="640"/>
        <w:rPr>
          <w:rFonts w:eastAsia="仿宋_GB2312"/>
          <w:sz w:val="32"/>
          <w:szCs w:val="32"/>
        </w:rPr>
      </w:pPr>
      <w:r>
        <w:rPr>
          <w:rFonts w:eastAsia="楷体_GB2312"/>
          <w:sz w:val="32"/>
          <w:szCs w:val="32"/>
        </w:rPr>
        <w:t>聚焦重点，攻坚项目招引。</w:t>
      </w:r>
      <w:r>
        <w:rPr>
          <w:rFonts w:eastAsia="仿宋_GB2312"/>
          <w:b/>
          <w:bCs/>
          <w:sz w:val="32"/>
          <w:szCs w:val="32"/>
        </w:rPr>
        <w:t>一是聚焦主导产业。</w:t>
      </w:r>
      <w:r>
        <w:rPr>
          <w:rFonts w:eastAsia="仿宋_GB2312"/>
          <w:sz w:val="32"/>
          <w:szCs w:val="32"/>
        </w:rPr>
        <w:t>围绕</w:t>
      </w:r>
      <w:r>
        <w:rPr>
          <w:rFonts w:eastAsia="仿宋_GB2312"/>
          <w:sz w:val="32"/>
          <w:szCs w:val="32"/>
        </w:rPr>
        <w:t>“1+2+N”</w:t>
      </w:r>
      <w:r>
        <w:rPr>
          <w:rFonts w:eastAsia="仿宋_GB2312"/>
          <w:sz w:val="32"/>
          <w:szCs w:val="32"/>
        </w:rPr>
        <w:t>重点产业，聚力招引产业引领型、配套补链型、税收贡献型企业，抓实补链、延链、强链等环节，力争在产业集群上实现新突破。</w:t>
      </w:r>
      <w:r>
        <w:rPr>
          <w:rFonts w:eastAsia="仿宋_GB2312"/>
          <w:b/>
          <w:bCs/>
          <w:sz w:val="32"/>
          <w:szCs w:val="32"/>
        </w:rPr>
        <w:t>二是聚焦延链配套。</w:t>
      </w:r>
      <w:r>
        <w:rPr>
          <w:rFonts w:eastAsia="仿宋_GB2312"/>
          <w:sz w:val="32"/>
          <w:szCs w:val="32"/>
        </w:rPr>
        <w:t>支持已落地龙头企业上下游配套企业引进，深化企业上下游、企业间、企地间合作，形成产业聚合优势，促进全产业链顺畅运转。</w:t>
      </w:r>
      <w:r>
        <w:rPr>
          <w:rFonts w:eastAsia="仿宋_GB2312"/>
          <w:b/>
          <w:bCs/>
          <w:sz w:val="32"/>
          <w:szCs w:val="32"/>
        </w:rPr>
        <w:t>三是聚焦行业龙头。</w:t>
      </w:r>
      <w:r>
        <w:rPr>
          <w:rFonts w:eastAsia="仿宋_GB2312"/>
          <w:sz w:val="32"/>
          <w:szCs w:val="32"/>
        </w:rPr>
        <w:t>加大力度对接</w:t>
      </w:r>
      <w:r>
        <w:rPr>
          <w:rFonts w:eastAsia="仿宋_GB2312"/>
          <w:sz w:val="32"/>
          <w:szCs w:val="32"/>
        </w:rPr>
        <w:t>“</w:t>
      </w:r>
      <w:r>
        <w:rPr>
          <w:rFonts w:eastAsia="仿宋_GB2312"/>
          <w:sz w:val="32"/>
          <w:szCs w:val="32"/>
        </w:rPr>
        <w:t>三类</w:t>
      </w:r>
      <w:r>
        <w:rPr>
          <w:rFonts w:eastAsia="仿宋_GB2312"/>
          <w:sz w:val="32"/>
          <w:szCs w:val="32"/>
        </w:rPr>
        <w:t>500</w:t>
      </w:r>
      <w:r>
        <w:rPr>
          <w:rFonts w:eastAsia="仿宋_GB2312"/>
          <w:sz w:val="32"/>
          <w:szCs w:val="32"/>
        </w:rPr>
        <w:t>强</w:t>
      </w:r>
      <w:r>
        <w:rPr>
          <w:rFonts w:eastAsia="仿宋_GB2312"/>
          <w:sz w:val="32"/>
          <w:szCs w:val="32"/>
        </w:rPr>
        <w:t>”</w:t>
      </w:r>
      <w:r>
        <w:rPr>
          <w:rFonts w:eastAsia="仿宋_GB2312"/>
          <w:sz w:val="32"/>
          <w:szCs w:val="32"/>
        </w:rPr>
        <w:t>、上市公司、隐形冠军等优质企业，持续发力百亿级项目对接，全力推动项目签约落地，力争实现引进一个企业带动一个产业发展的局面。</w:t>
      </w:r>
    </w:p>
    <w:p w:rsidR="005F7350" w:rsidRDefault="005F7350" w:rsidP="005F7350">
      <w:pPr>
        <w:spacing w:line="578" w:lineRule="exact"/>
        <w:ind w:firstLineChars="200" w:firstLine="640"/>
      </w:pPr>
      <w:r>
        <w:rPr>
          <w:rFonts w:eastAsia="楷体_GB2312"/>
          <w:sz w:val="32"/>
          <w:szCs w:val="32"/>
        </w:rPr>
        <w:t>做好协调，强化服务保障。</w:t>
      </w:r>
      <w:r>
        <w:rPr>
          <w:rFonts w:eastAsia="仿宋_GB2312"/>
          <w:b/>
          <w:bCs/>
          <w:sz w:val="32"/>
          <w:szCs w:val="32"/>
        </w:rPr>
        <w:t>一做好帮办服务。</w:t>
      </w:r>
      <w:r>
        <w:rPr>
          <w:rFonts w:eastAsia="仿宋_GB2312"/>
          <w:sz w:val="32"/>
          <w:szCs w:val="32"/>
        </w:rPr>
        <w:t>招商项目从对接洽谈、项目签约、落地建设、投产</w:t>
      </w:r>
      <w:r>
        <w:rPr>
          <w:rFonts w:eastAsia="仿宋_GB2312"/>
          <w:sz w:val="32"/>
          <w:szCs w:val="32"/>
        </w:rPr>
        <w:lastRenderedPageBreak/>
        <w:t>运营等全过程明确专人负责，手续全程代办、全程帮办。</w:t>
      </w:r>
      <w:r>
        <w:rPr>
          <w:rFonts w:eastAsia="仿宋_GB2312"/>
          <w:b/>
          <w:bCs/>
          <w:sz w:val="32"/>
          <w:szCs w:val="32"/>
        </w:rPr>
        <w:t>二是做好跟踪推进。</w:t>
      </w:r>
      <w:r>
        <w:rPr>
          <w:rFonts w:eastAsia="仿宋_GB2312"/>
          <w:sz w:val="32"/>
          <w:szCs w:val="32"/>
        </w:rPr>
        <w:t>定期分析调度、汇总项目推进情况，及时研判会商和上门推进，加快项目签约落地。</w:t>
      </w:r>
      <w:r>
        <w:rPr>
          <w:rFonts w:eastAsia="仿宋_GB2312"/>
          <w:b/>
          <w:bCs/>
          <w:sz w:val="32"/>
          <w:szCs w:val="32"/>
        </w:rPr>
        <w:t>三是做好协调保障。</w:t>
      </w:r>
      <w:r>
        <w:rPr>
          <w:rFonts w:eastAsia="仿宋_GB2312"/>
          <w:color w:val="000000"/>
          <w:kern w:val="0"/>
          <w:sz w:val="32"/>
          <w:szCs w:val="32"/>
        </w:rPr>
        <w:t>对以往对接和签约项目，逐个明确项目落地、开工、投产等时间节点；对在建项目，及时协调相关部门，解决项目用地、政策兑现、要素保障等问题，推动项目快速落地、投产达效。</w:t>
      </w:r>
    </w:p>
    <w:p w:rsidR="005F7350" w:rsidRDefault="005F7350" w:rsidP="005F7350">
      <w:pPr>
        <w:autoSpaceDE w:val="0"/>
        <w:spacing w:line="600" w:lineRule="exact"/>
        <w:ind w:firstLineChars="250" w:firstLine="525"/>
        <w:rPr>
          <w:rFonts w:ascii="仿宋_GB2312" w:hAnsi="仿宋" w:hint="eastAsia"/>
        </w:rPr>
      </w:pPr>
      <w:r>
        <w:rPr>
          <w:rFonts w:ascii="仿宋_GB2312" w:hAnsi="仿宋" w:hint="eastAsia"/>
        </w:rPr>
        <w:t>2.</w:t>
      </w:r>
      <w:r>
        <w:rPr>
          <w:rFonts w:ascii="仿宋_GB2312" w:hAnsi="仿宋" w:hint="eastAsia"/>
        </w:rPr>
        <w:t>内部控制管理方面：</w:t>
      </w:r>
    </w:p>
    <w:p w:rsidR="005F7350" w:rsidRDefault="005F7350" w:rsidP="005F7350">
      <w:pPr>
        <w:autoSpaceDE w:val="0"/>
        <w:spacing w:line="600" w:lineRule="exact"/>
        <w:ind w:firstLineChars="250" w:firstLine="525"/>
        <w:rPr>
          <w:rFonts w:ascii="仿宋_GB2312" w:hAnsi="仿宋" w:hint="eastAsia"/>
        </w:rPr>
      </w:pPr>
      <w:r>
        <w:rPr>
          <w:rFonts w:ascii="仿宋_GB2312" w:hAnsi="仿宋" w:hint="eastAsia"/>
        </w:rPr>
        <w:t>科学制定计划，高效稳步推进。今后将举办各种政策、制度知识培训，在全中心掀起人人遵守制度，个个执行制度，全员维护制度的热潮。适时关注各项财经制度的改革动向，及时调整、完整我中心内部控制工作规则、相互监督，各项规章制度得到严格、规范运行，保障经济活动合理、合法、合规，保障资金安全及有效使用，确保财务信息真实完整，有效防范舞弊和预防腐败，提高公共服务的效率和效果。进一步加强预算管理，增强预算的科学性，使预算管理的约束力得到充分发挥，将内控意识纳入投资促进中心议事日程之中，使贯彻执行内部控制制度成为每一位职工的自觉行动，最终形成“人人学内控、个个讲内控、全员受约束”的良好气氛，做到事前有防范、事中有控制、事后有监督，进而完善制度体系，促进我中心建立系统、规范、高效的内部控制管理长效机制。</w:t>
      </w:r>
    </w:p>
    <w:p w:rsidR="005F7350" w:rsidRDefault="005F7350" w:rsidP="005F7350">
      <w:pPr>
        <w:autoSpaceDE w:val="0"/>
        <w:spacing w:line="600" w:lineRule="exact"/>
        <w:ind w:firstLineChars="250" w:firstLine="525"/>
      </w:pPr>
      <w:r>
        <w:t>多方面开展绩效管理、各种政策、制度知识培训，提升绩效管理理念，科学制定计划，高效编制预算，高效稳步推进。在全中心掀起人人遵守制度，个个执行制度，全员维护制度的热潮。适时关注各项财经制度的改革动向，及时调整、完整我中心内部控制工作规则、相互监督，各项规章制度得到严</w:t>
      </w:r>
      <w:r>
        <w:lastRenderedPageBreak/>
        <w:t>格、规范运行，保障经济活动合理、合法、合规，保障资金安全及有效使用，确保财务信息真实完整，有效防范舞弊和预防腐败，提高公共服务的效率和效果。进一步加强预算管理，增强预算的科学性，使预算管理的约束力得到充分发挥，将绩效管理工作纳入投资促进服务中心议事日程之中，做到事前有评估、事中有控制、事后有监督，同时完善制度体系，促进我中心建立系统、规范、高效的绩效管理长效机制。</w:t>
      </w:r>
    </w:p>
    <w:p w:rsidR="005F7350" w:rsidRDefault="005F7350" w:rsidP="005F7350">
      <w:pPr>
        <w:autoSpaceDE w:val="0"/>
        <w:spacing w:line="600" w:lineRule="exact"/>
        <w:ind w:firstLineChars="250" w:firstLine="525"/>
        <w:rPr>
          <w:color w:val="000000"/>
          <w:kern w:val="0"/>
          <w:szCs w:val="32"/>
          <w:shd w:val="clear" w:color="auto" w:fill="FFFFFF"/>
        </w:rPr>
      </w:pPr>
      <w:r>
        <w:rPr>
          <w:rFonts w:hint="eastAsia"/>
          <w:color w:val="000000"/>
          <w:kern w:val="0"/>
          <w:szCs w:val="32"/>
          <w:shd w:val="clear" w:color="auto" w:fill="FFFFFF"/>
        </w:rPr>
        <w:t>附表：</w:t>
      </w:r>
      <w:r>
        <w:rPr>
          <w:color w:val="000000"/>
          <w:kern w:val="0"/>
          <w:szCs w:val="32"/>
          <w:shd w:val="clear" w:color="auto" w:fill="FFFFFF"/>
        </w:rPr>
        <w:t>部门整体支出绩效目标完成情况自评表</w:t>
      </w:r>
    </w:p>
    <w:p w:rsidR="005F7350" w:rsidRDefault="005F7350" w:rsidP="005F7350">
      <w:pPr>
        <w:pStyle w:val="5"/>
        <w:rPr>
          <w:rFonts w:ascii="Times New Roman" w:hAnsi="Times New Roman"/>
          <w:color w:val="000000"/>
          <w:kern w:val="0"/>
          <w:szCs w:val="32"/>
          <w:shd w:val="clear" w:color="auto" w:fill="FFFFFF"/>
        </w:rPr>
      </w:pPr>
    </w:p>
    <w:p w:rsidR="005F7350" w:rsidRDefault="005F7350" w:rsidP="005F7350">
      <w:pPr>
        <w:rPr>
          <w:color w:val="000000"/>
          <w:kern w:val="0"/>
          <w:szCs w:val="32"/>
          <w:shd w:val="clear" w:color="auto" w:fill="FFFFFF"/>
        </w:rPr>
      </w:pPr>
    </w:p>
    <w:p w:rsidR="005F7350" w:rsidRDefault="005F7350" w:rsidP="005F7350">
      <w:pPr>
        <w:pStyle w:val="5"/>
      </w:pPr>
    </w:p>
    <w:p w:rsidR="005F7350" w:rsidRDefault="005F7350" w:rsidP="005F7350">
      <w:pPr>
        <w:pStyle w:val="5"/>
        <w:rPr>
          <w:rFonts w:hint="eastAsia"/>
        </w:rPr>
      </w:pPr>
      <w:r>
        <w:rPr>
          <w:rFonts w:ascii="黑体" w:hAnsi="黑体" w:cs="黑体" w:hint="eastAsia"/>
          <w:sz w:val="32"/>
          <w:szCs w:val="24"/>
        </w:rPr>
        <w:t>附表</w:t>
      </w:r>
    </w:p>
    <w:tbl>
      <w:tblPr>
        <w:tblW w:w="10560" w:type="dxa"/>
        <w:jc w:val="center"/>
        <w:tblLayout w:type="fixed"/>
        <w:tblCellMar>
          <w:top w:w="15" w:type="dxa"/>
          <w:left w:w="15" w:type="dxa"/>
          <w:bottom w:w="15" w:type="dxa"/>
          <w:right w:w="15" w:type="dxa"/>
        </w:tblCellMar>
        <w:tblLook w:val="0000"/>
      </w:tblPr>
      <w:tblGrid>
        <w:gridCol w:w="1308"/>
        <w:gridCol w:w="1347"/>
        <w:gridCol w:w="1273"/>
        <w:gridCol w:w="1100"/>
        <w:gridCol w:w="1145"/>
        <w:gridCol w:w="1289"/>
        <w:gridCol w:w="1058"/>
        <w:gridCol w:w="926"/>
        <w:gridCol w:w="1114"/>
      </w:tblGrid>
      <w:tr w:rsidR="005F7350" w:rsidTr="005F7350">
        <w:trPr>
          <w:trHeight w:hRule="exact" w:val="762"/>
          <w:jc w:val="center"/>
        </w:trPr>
        <w:tc>
          <w:tcPr>
            <w:tcW w:w="10560" w:type="dxa"/>
            <w:gridSpan w:val="9"/>
            <w:vAlign w:val="center"/>
          </w:tcPr>
          <w:p w:rsidR="005F7350" w:rsidRDefault="005F7350" w:rsidP="005F7350">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rPr>
              <w:t>部门整体支出绩效目标完成情况自评表</w:t>
            </w:r>
          </w:p>
        </w:tc>
      </w:tr>
      <w:tr w:rsidR="005F7350" w:rsidTr="005F7350">
        <w:trPr>
          <w:trHeight w:val="23"/>
          <w:jc w:val="center"/>
        </w:trPr>
        <w:tc>
          <w:tcPr>
            <w:tcW w:w="10560" w:type="dxa"/>
            <w:gridSpan w:val="9"/>
            <w:vAlign w:val="center"/>
          </w:tcPr>
          <w:p w:rsidR="005F7350" w:rsidRDefault="005F7350" w:rsidP="005F7350">
            <w:pPr>
              <w:widowControl/>
              <w:spacing w:line="300" w:lineRule="exact"/>
              <w:jc w:val="center"/>
              <w:textAlignment w:val="center"/>
              <w:rPr>
                <w:color w:val="000000"/>
                <w:sz w:val="28"/>
                <w:szCs w:val="28"/>
              </w:rPr>
            </w:pPr>
            <w:r>
              <w:rPr>
                <w:color w:val="000000"/>
                <w:kern w:val="0"/>
                <w:sz w:val="28"/>
                <w:szCs w:val="28"/>
                <w:lang/>
              </w:rPr>
              <w:t>（</w:t>
            </w:r>
            <w:r>
              <w:rPr>
                <w:color w:val="000000"/>
                <w:kern w:val="0"/>
                <w:sz w:val="28"/>
                <w:szCs w:val="28"/>
                <w:lang/>
              </w:rPr>
              <w:t>2023</w:t>
            </w:r>
            <w:r>
              <w:rPr>
                <w:color w:val="000000"/>
                <w:kern w:val="0"/>
                <w:sz w:val="28"/>
                <w:szCs w:val="28"/>
                <w:lang/>
              </w:rPr>
              <w:t>年度）</w:t>
            </w:r>
          </w:p>
        </w:tc>
      </w:tr>
      <w:tr w:rsidR="005F7350" w:rsidTr="005F7350">
        <w:trPr>
          <w:trHeight w:val="23"/>
          <w:jc w:val="center"/>
        </w:trPr>
        <w:tc>
          <w:tcPr>
            <w:tcW w:w="10560" w:type="dxa"/>
            <w:gridSpan w:val="9"/>
            <w:tcBorders>
              <w:bottom w:val="single" w:sz="4" w:space="0" w:color="000000"/>
            </w:tcBorders>
            <w:vAlign w:val="center"/>
          </w:tcPr>
          <w:p w:rsidR="005F7350" w:rsidRDefault="005F7350" w:rsidP="005F7350">
            <w:pPr>
              <w:widowControl/>
              <w:spacing w:line="300" w:lineRule="exact"/>
              <w:jc w:val="right"/>
              <w:textAlignment w:val="center"/>
              <w:rPr>
                <w:color w:val="000000"/>
                <w:szCs w:val="21"/>
              </w:rPr>
            </w:pPr>
            <w:r>
              <w:rPr>
                <w:color w:val="000000"/>
                <w:kern w:val="0"/>
                <w:szCs w:val="21"/>
                <w:lang/>
              </w:rPr>
              <w:t>单位：万元</w:t>
            </w:r>
          </w:p>
        </w:tc>
      </w:tr>
      <w:tr w:rsidR="005F7350" w:rsidTr="005F7350">
        <w:trPr>
          <w:trHeight w:val="23"/>
          <w:jc w:val="center"/>
        </w:trPr>
        <w:tc>
          <w:tcPr>
            <w:tcW w:w="3929" w:type="dxa"/>
            <w:gridSpan w:val="3"/>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部门名称</w:t>
            </w:r>
          </w:p>
        </w:tc>
        <w:tc>
          <w:tcPr>
            <w:tcW w:w="6631" w:type="dxa"/>
            <w:gridSpan w:val="6"/>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大竹县投资促进服务中心部门</w:t>
            </w:r>
          </w:p>
        </w:tc>
      </w:tr>
      <w:tr w:rsidR="005F7350" w:rsidTr="005F7350">
        <w:trPr>
          <w:trHeight w:val="23"/>
          <w:jc w:val="center"/>
        </w:trPr>
        <w:tc>
          <w:tcPr>
            <w:tcW w:w="1309" w:type="dxa"/>
            <w:vMerge w:val="restart"/>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年度部门整体支出预算</w:t>
            </w: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资金总额</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财政拨款</w:t>
            </w:r>
          </w:p>
        </w:tc>
        <w:tc>
          <w:tcPr>
            <w:tcW w:w="4387" w:type="dxa"/>
            <w:gridSpan w:val="4"/>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其他资金</w:t>
            </w:r>
          </w:p>
        </w:tc>
      </w:tr>
      <w:tr w:rsidR="005F7350" w:rsidTr="005F7350">
        <w:trPr>
          <w:trHeight w:val="23"/>
          <w:jc w:val="center"/>
        </w:trPr>
        <w:tc>
          <w:tcPr>
            <w:tcW w:w="1309"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965.94</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965.94</w:t>
            </w:r>
          </w:p>
        </w:tc>
        <w:tc>
          <w:tcPr>
            <w:tcW w:w="4387" w:type="dxa"/>
            <w:gridSpan w:val="4"/>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0</w:t>
            </w:r>
          </w:p>
        </w:tc>
      </w:tr>
      <w:tr w:rsidR="005F7350" w:rsidTr="005F7350">
        <w:trPr>
          <w:trHeight w:val="23"/>
          <w:jc w:val="center"/>
        </w:trPr>
        <w:tc>
          <w:tcPr>
            <w:tcW w:w="130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r>
              <w:rPr>
                <w:color w:val="000000"/>
                <w:kern w:val="0"/>
                <w:sz w:val="24"/>
                <w:lang/>
              </w:rPr>
              <w:t>年度总体</w:t>
            </w:r>
          </w:p>
          <w:p w:rsidR="005F7350" w:rsidRDefault="005F7350" w:rsidP="005F7350">
            <w:pPr>
              <w:widowControl/>
              <w:spacing w:line="300" w:lineRule="exact"/>
              <w:jc w:val="center"/>
              <w:textAlignment w:val="center"/>
              <w:rPr>
                <w:color w:val="000000"/>
                <w:sz w:val="24"/>
              </w:rPr>
            </w:pPr>
            <w:r>
              <w:rPr>
                <w:color w:val="000000"/>
                <w:kern w:val="0"/>
                <w:sz w:val="24"/>
                <w:lang/>
              </w:rPr>
              <w:lastRenderedPageBreak/>
              <w:t>目标</w:t>
            </w:r>
          </w:p>
        </w:tc>
        <w:tc>
          <w:tcPr>
            <w:tcW w:w="9251" w:type="dxa"/>
            <w:gridSpan w:val="8"/>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sz w:val="24"/>
              </w:rPr>
            </w:pPr>
            <w:r>
              <w:rPr>
                <w:color w:val="000000"/>
                <w:kern w:val="0"/>
                <w:sz w:val="24"/>
                <w:lang/>
              </w:rPr>
              <w:lastRenderedPageBreak/>
              <w:t>负责组织实施我县对内对外招商引资项目的收集、筛选、整理、翻译、包装、储备、推</w:t>
            </w:r>
            <w:r>
              <w:rPr>
                <w:color w:val="000000"/>
                <w:kern w:val="0"/>
                <w:sz w:val="24"/>
                <w:lang/>
              </w:rPr>
              <w:lastRenderedPageBreak/>
              <w:t>介、洽谈和跟踪服务，以及座谈会、推介会、洽谈会、达商会、中外知名企业四川行活动、西博会、西洽会、大型招商引资专题活动等，并做好前期筹备、广告制作、邀请客商、签约项目、宣传和相关后勤保障工作。</w:t>
            </w:r>
          </w:p>
        </w:tc>
      </w:tr>
      <w:tr w:rsidR="005F7350" w:rsidTr="005F7350">
        <w:trPr>
          <w:trHeight w:val="23"/>
          <w:jc w:val="center"/>
        </w:trPr>
        <w:tc>
          <w:tcPr>
            <w:tcW w:w="1309" w:type="dxa"/>
            <w:vMerge w:val="restart"/>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r>
              <w:rPr>
                <w:color w:val="000000"/>
                <w:kern w:val="0"/>
                <w:sz w:val="24"/>
                <w:lang/>
              </w:rPr>
              <w:lastRenderedPageBreak/>
              <w:t>年度主要</w:t>
            </w:r>
          </w:p>
          <w:p w:rsidR="005F7350" w:rsidRDefault="005F7350" w:rsidP="005F7350">
            <w:pPr>
              <w:widowControl/>
              <w:spacing w:line="300" w:lineRule="exact"/>
              <w:jc w:val="center"/>
              <w:textAlignment w:val="center"/>
              <w:rPr>
                <w:color w:val="000000"/>
                <w:sz w:val="24"/>
              </w:rPr>
            </w:pPr>
            <w:r>
              <w:rPr>
                <w:color w:val="000000"/>
                <w:kern w:val="0"/>
                <w:sz w:val="24"/>
                <w:lang/>
              </w:rPr>
              <w:t>任务</w:t>
            </w: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任务名称</w:t>
            </w:r>
          </w:p>
        </w:tc>
        <w:tc>
          <w:tcPr>
            <w:tcW w:w="6631" w:type="dxa"/>
            <w:gridSpan w:val="6"/>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主要内容</w:t>
            </w:r>
          </w:p>
        </w:tc>
      </w:tr>
      <w:tr w:rsidR="005F7350" w:rsidTr="005F7350">
        <w:trPr>
          <w:trHeight w:val="23"/>
          <w:jc w:val="center"/>
        </w:trPr>
        <w:tc>
          <w:tcPr>
            <w:tcW w:w="1309"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接待来竹考察客商经费</w:t>
            </w:r>
          </w:p>
        </w:tc>
        <w:tc>
          <w:tcPr>
            <w:tcW w:w="6631" w:type="dxa"/>
            <w:gridSpan w:val="6"/>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接待各地来竹考察客商，促进大竹经济发展。</w:t>
            </w:r>
          </w:p>
        </w:tc>
      </w:tr>
      <w:tr w:rsidR="005F7350" w:rsidTr="005F7350">
        <w:trPr>
          <w:trHeight w:val="23"/>
          <w:jc w:val="center"/>
        </w:trPr>
        <w:tc>
          <w:tcPr>
            <w:tcW w:w="1309"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组织参加中外知名企业四川行活动</w:t>
            </w:r>
          </w:p>
        </w:tc>
        <w:tc>
          <w:tcPr>
            <w:tcW w:w="6631" w:type="dxa"/>
            <w:gridSpan w:val="6"/>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中外知名企业四川行活动是我省市县一年一度最重要、影响最深远的投资促进活动。</w:t>
            </w:r>
          </w:p>
        </w:tc>
      </w:tr>
      <w:tr w:rsidR="005F7350" w:rsidTr="005F7350">
        <w:trPr>
          <w:trHeight w:val="23"/>
          <w:jc w:val="center"/>
        </w:trPr>
        <w:tc>
          <w:tcPr>
            <w:tcW w:w="1309"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组织参加西洽会、西博会、招商专题推介会</w:t>
            </w:r>
          </w:p>
        </w:tc>
        <w:tc>
          <w:tcPr>
            <w:tcW w:w="6631" w:type="dxa"/>
            <w:gridSpan w:val="6"/>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高效筹备并积极参加2023年西洽会、西博会、招商专题推介会，大力宣传推介大竹区域优势、营商环境，招商引资工作取得更大实效。</w:t>
            </w:r>
          </w:p>
        </w:tc>
      </w:tr>
      <w:tr w:rsidR="005F7350" w:rsidTr="005F7350">
        <w:trPr>
          <w:trHeight w:val="23"/>
          <w:jc w:val="center"/>
        </w:trPr>
        <w:tc>
          <w:tcPr>
            <w:tcW w:w="1309"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县级领导带队赴广东、深圳、成渝、江浙、福建等地开展投资促进活动</w:t>
            </w:r>
          </w:p>
        </w:tc>
        <w:tc>
          <w:tcPr>
            <w:tcW w:w="6631" w:type="dxa"/>
            <w:gridSpan w:val="6"/>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县级领导带队外出开展招商工作，高位推进在谈项目签约落地。</w:t>
            </w:r>
          </w:p>
        </w:tc>
      </w:tr>
      <w:tr w:rsidR="005F7350" w:rsidTr="005F7350">
        <w:trPr>
          <w:trHeight w:val="23"/>
          <w:jc w:val="center"/>
        </w:trPr>
        <w:tc>
          <w:tcPr>
            <w:tcW w:w="1309"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五个驻外招商工作组工作经费</w:t>
            </w:r>
          </w:p>
        </w:tc>
        <w:tc>
          <w:tcPr>
            <w:tcW w:w="6631" w:type="dxa"/>
            <w:gridSpan w:val="6"/>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jc w:val="left"/>
              <w:textAlignment w:val="center"/>
              <w:rPr>
                <w:color w:val="000000"/>
                <w:sz w:val="24"/>
              </w:rPr>
            </w:pPr>
            <w:r>
              <w:rPr>
                <w:rFonts w:ascii="宋体" w:hAnsi="宋体" w:cs="宋体"/>
                <w:color w:val="000000"/>
                <w:kern w:val="0"/>
                <w:sz w:val="24"/>
                <w:lang/>
              </w:rPr>
              <w:t>壮大招商队伍，持续健全“8+5+6”招商机制，打造覆盖珠三角、长三角、成渝地区和京津冀地区的招商网络，大量搜集商情商源，储备在谈项目。</w:t>
            </w:r>
          </w:p>
        </w:tc>
      </w:tr>
      <w:tr w:rsidR="005F7350" w:rsidTr="005F7350">
        <w:trPr>
          <w:trHeight w:val="23"/>
          <w:jc w:val="center"/>
        </w:trPr>
        <w:tc>
          <w:tcPr>
            <w:tcW w:w="1309" w:type="dxa"/>
            <w:vMerge w:val="restart"/>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r>
              <w:rPr>
                <w:color w:val="000000"/>
                <w:kern w:val="0"/>
                <w:sz w:val="24"/>
                <w:lang/>
              </w:rPr>
              <w:t>年度绩效</w:t>
            </w:r>
          </w:p>
          <w:p w:rsidR="005F7350" w:rsidRDefault="005F7350" w:rsidP="005F7350">
            <w:pPr>
              <w:widowControl/>
              <w:spacing w:line="300" w:lineRule="exact"/>
              <w:jc w:val="center"/>
              <w:textAlignment w:val="center"/>
              <w:rPr>
                <w:color w:val="000000"/>
                <w:sz w:val="24"/>
              </w:rPr>
            </w:pPr>
            <w:r>
              <w:rPr>
                <w:color w:val="000000"/>
                <w:kern w:val="0"/>
                <w:sz w:val="24"/>
                <w:lang/>
              </w:rPr>
              <w:t>指标</w:t>
            </w:r>
          </w:p>
        </w:tc>
        <w:tc>
          <w:tcPr>
            <w:tcW w:w="1347"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一级指标</w:t>
            </w:r>
          </w:p>
        </w:tc>
        <w:tc>
          <w:tcPr>
            <w:tcW w:w="127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二级指标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三级指标</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r>
              <w:rPr>
                <w:color w:val="000000"/>
                <w:kern w:val="0"/>
                <w:sz w:val="24"/>
                <w:lang/>
              </w:rPr>
              <w:t>绩效指标</w:t>
            </w:r>
          </w:p>
          <w:p w:rsidR="005F7350" w:rsidRDefault="005F7350" w:rsidP="005F7350">
            <w:pPr>
              <w:widowControl/>
              <w:spacing w:line="300" w:lineRule="exact"/>
              <w:jc w:val="center"/>
              <w:textAlignment w:val="center"/>
              <w:rPr>
                <w:color w:val="000000"/>
                <w:sz w:val="24"/>
              </w:rPr>
            </w:pPr>
            <w:r>
              <w:rPr>
                <w:color w:val="000000"/>
                <w:kern w:val="0"/>
                <w:sz w:val="24"/>
                <w:lang/>
              </w:rPr>
              <w:t>性质</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绩效指标值</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绩效度量单位</w:t>
            </w:r>
          </w:p>
        </w:tc>
        <w:tc>
          <w:tcPr>
            <w:tcW w:w="926" w:type="dxa"/>
            <w:tcBorders>
              <w:top w:val="single" w:sz="4" w:space="0" w:color="000000"/>
              <w:left w:val="single" w:sz="4" w:space="0" w:color="000000"/>
              <w:bottom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权重</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r>
              <w:rPr>
                <w:color w:val="000000"/>
                <w:kern w:val="0"/>
                <w:sz w:val="24"/>
                <w:lang/>
              </w:rPr>
              <w:t>实际完成</w:t>
            </w:r>
          </w:p>
          <w:p w:rsidR="005F7350" w:rsidRDefault="005F7350" w:rsidP="005F7350">
            <w:pPr>
              <w:widowControl/>
              <w:spacing w:line="300" w:lineRule="exact"/>
              <w:jc w:val="center"/>
              <w:textAlignment w:val="center"/>
              <w:rPr>
                <w:color w:val="000000"/>
                <w:sz w:val="24"/>
              </w:rPr>
            </w:pPr>
            <w:r>
              <w:rPr>
                <w:color w:val="000000"/>
                <w:kern w:val="0"/>
                <w:sz w:val="24"/>
                <w:lang/>
              </w:rPr>
              <w:t>指标值</w:t>
            </w:r>
          </w:p>
        </w:tc>
      </w:tr>
      <w:tr w:rsidR="005F7350" w:rsidTr="005F7350">
        <w:trPr>
          <w:trHeight w:val="1240"/>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产出指标</w:t>
            </w:r>
          </w:p>
        </w:tc>
        <w:tc>
          <w:tcPr>
            <w:tcW w:w="1273" w:type="dxa"/>
            <w:vMerge w:val="restart"/>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数量指标</w:t>
            </w:r>
          </w:p>
        </w:tc>
        <w:tc>
          <w:tcPr>
            <w:tcW w:w="1100"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color w:val="000000"/>
                <w:kern w:val="0"/>
                <w:sz w:val="24"/>
                <w:lang/>
              </w:rPr>
              <w:t>省外固定资产投资目标任务保证目标</w:t>
            </w:r>
          </w:p>
        </w:tc>
        <w:tc>
          <w:tcPr>
            <w:tcW w:w="1145"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color w:val="000000"/>
                <w:kern w:val="0"/>
                <w:sz w:val="24"/>
                <w:lang/>
              </w:rPr>
              <w:t>＝</w:t>
            </w:r>
          </w:p>
        </w:tc>
        <w:tc>
          <w:tcPr>
            <w:tcW w:w="1289"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rFonts w:hint="eastAsia"/>
                <w:color w:val="000000"/>
                <w:kern w:val="0"/>
                <w:sz w:val="24"/>
                <w:lang/>
              </w:rPr>
              <w:t>85</w:t>
            </w:r>
          </w:p>
        </w:tc>
        <w:tc>
          <w:tcPr>
            <w:tcW w:w="1058"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color w:val="000000"/>
                <w:kern w:val="0"/>
                <w:sz w:val="24"/>
                <w:lang/>
              </w:rPr>
              <w:t>亿元</w:t>
            </w:r>
          </w:p>
        </w:tc>
        <w:tc>
          <w:tcPr>
            <w:tcW w:w="926"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rFonts w:hint="eastAsia"/>
                <w:color w:val="000000"/>
                <w:kern w:val="0"/>
                <w:sz w:val="24"/>
                <w:lang/>
              </w:rPr>
              <w:t>15</w:t>
            </w:r>
            <w:r>
              <w:rPr>
                <w:color w:val="000000"/>
                <w:kern w:val="0"/>
                <w:sz w:val="24"/>
                <w:lang/>
              </w:rPr>
              <w:t>%</w:t>
            </w:r>
          </w:p>
        </w:tc>
        <w:tc>
          <w:tcPr>
            <w:tcW w:w="1113" w:type="dxa"/>
            <w:tcBorders>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sz w:val="24"/>
              </w:rPr>
            </w:pPr>
            <w:r>
              <w:rPr>
                <w:rFonts w:hint="eastAsia"/>
                <w:color w:val="000000"/>
                <w:sz w:val="24"/>
              </w:rPr>
              <w:t>87.56</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p>
        </w:tc>
        <w:tc>
          <w:tcPr>
            <w:tcW w:w="1273" w:type="dxa"/>
            <w:vMerge/>
            <w:tcBorders>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color w:val="000000"/>
                <w:kern w:val="0"/>
                <w:sz w:val="24"/>
                <w:lang/>
              </w:rPr>
              <w:t>省外固定资产投资目标任务</w:t>
            </w:r>
            <w:r>
              <w:rPr>
                <w:color w:val="000000"/>
                <w:kern w:val="0"/>
                <w:sz w:val="24"/>
                <w:lang/>
              </w:rPr>
              <w:lastRenderedPageBreak/>
              <w:t>工作目标</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color w:val="000000"/>
                <w:kern w:val="0"/>
                <w:sz w:val="24"/>
                <w:lang/>
              </w:rPr>
              <w:lastRenderedPageBreak/>
              <w:t>＝</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rFonts w:hint="eastAsia"/>
                <w:color w:val="000000"/>
                <w:kern w:val="0"/>
                <w:sz w:val="24"/>
                <w:lang/>
              </w:rPr>
              <w:t>94</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color w:val="000000"/>
                <w:kern w:val="0"/>
                <w:sz w:val="24"/>
                <w:lang/>
              </w:rPr>
              <w:t>亿元</w:t>
            </w: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rFonts w:hint="eastAsia"/>
                <w:color w:val="000000"/>
                <w:kern w:val="0"/>
                <w:sz w:val="24"/>
                <w:lang/>
              </w:rPr>
              <w:t>14</w:t>
            </w:r>
            <w:r>
              <w:rPr>
                <w:color w:val="000000"/>
                <w:kern w:val="0"/>
                <w:sz w:val="24"/>
                <w:lang/>
              </w:rPr>
              <w:t>%</w:t>
            </w:r>
          </w:p>
        </w:tc>
        <w:tc>
          <w:tcPr>
            <w:tcW w:w="1113" w:type="dxa"/>
            <w:tcBorders>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textAlignment w:val="center"/>
              <w:rPr>
                <w:color w:val="000000"/>
                <w:kern w:val="0"/>
                <w:sz w:val="24"/>
                <w:lang/>
              </w:rPr>
            </w:pPr>
            <w:r>
              <w:rPr>
                <w:rFonts w:hint="eastAsia"/>
                <w:color w:val="000000"/>
                <w:kern w:val="0"/>
                <w:sz w:val="24"/>
                <w:lang/>
              </w:rPr>
              <w:t>87.56</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全年目标任务保证目标</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120</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亿元</w:t>
            </w: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15</w:t>
            </w:r>
            <w:r>
              <w:rPr>
                <w:color w:val="000000"/>
                <w:kern w:val="0"/>
                <w:sz w:val="24"/>
                <w:lang/>
              </w:rPr>
              <w:t>%</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121.32</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273" w:type="dxa"/>
            <w:vMerge w:val="restart"/>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质量指标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项目开工率</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80</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7</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80</w:t>
            </w:r>
          </w:p>
        </w:tc>
      </w:tr>
      <w:tr w:rsidR="005F7350" w:rsidTr="005F7350">
        <w:trPr>
          <w:trHeight w:val="680"/>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273" w:type="dxa"/>
            <w:vMerge/>
            <w:tcBorders>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p>
        </w:tc>
        <w:tc>
          <w:tcPr>
            <w:tcW w:w="1100"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项目履约率</w:t>
            </w:r>
          </w:p>
        </w:tc>
        <w:tc>
          <w:tcPr>
            <w:tcW w:w="1145"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p>
        </w:tc>
        <w:tc>
          <w:tcPr>
            <w:tcW w:w="1289"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90</w:t>
            </w:r>
          </w:p>
        </w:tc>
        <w:tc>
          <w:tcPr>
            <w:tcW w:w="1058"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w:t>
            </w:r>
          </w:p>
        </w:tc>
        <w:tc>
          <w:tcPr>
            <w:tcW w:w="926"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4</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93.33</w:t>
            </w:r>
          </w:p>
        </w:tc>
      </w:tr>
      <w:tr w:rsidR="005F7350" w:rsidTr="005F7350">
        <w:trPr>
          <w:trHeight w:val="680"/>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273" w:type="dxa"/>
            <w:vMerge w:val="restart"/>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时效指标</w:t>
            </w:r>
          </w:p>
        </w:tc>
        <w:tc>
          <w:tcPr>
            <w:tcW w:w="1100"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项目投产率</w:t>
            </w:r>
          </w:p>
        </w:tc>
        <w:tc>
          <w:tcPr>
            <w:tcW w:w="1145"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p>
        </w:tc>
        <w:tc>
          <w:tcPr>
            <w:tcW w:w="1289"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30</w:t>
            </w:r>
          </w:p>
        </w:tc>
        <w:tc>
          <w:tcPr>
            <w:tcW w:w="1058"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w:t>
            </w:r>
          </w:p>
        </w:tc>
        <w:tc>
          <w:tcPr>
            <w:tcW w:w="926" w:type="dxa"/>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1</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53.33</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val="restart"/>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效益指标</w:t>
            </w:r>
          </w:p>
        </w:tc>
        <w:tc>
          <w:tcPr>
            <w:tcW w:w="1273" w:type="dxa"/>
            <w:vMerge w:val="restart"/>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生态效益指标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增加居民收入</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定性</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好坏</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8</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rFonts w:hint="eastAsia"/>
                <w:color w:val="000000"/>
                <w:sz w:val="24"/>
              </w:rPr>
            </w:pPr>
            <w:r>
              <w:rPr>
                <w:rFonts w:hint="eastAsia"/>
                <w:color w:val="000000"/>
                <w:sz w:val="24"/>
              </w:rPr>
              <w:t>好</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273" w:type="dxa"/>
            <w:vMerge/>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招商引资的入驻企业以环保为准入基准</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定性</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好坏</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5</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rFonts w:hint="eastAsia"/>
                <w:color w:val="000000"/>
                <w:sz w:val="24"/>
              </w:rPr>
            </w:pPr>
            <w:r>
              <w:rPr>
                <w:rFonts w:hint="eastAsia"/>
                <w:color w:val="000000"/>
                <w:sz w:val="24"/>
              </w:rPr>
              <w:t>好</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可持续影响指标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r>
              <w:rPr>
                <w:color w:val="000000"/>
                <w:sz w:val="24"/>
              </w:rPr>
              <w:t>工业强项</w:t>
            </w:r>
            <w:r>
              <w:rPr>
                <w:color w:val="000000"/>
                <w:sz w:val="24"/>
              </w:rPr>
              <w:t>”</w:t>
            </w:r>
            <w:r>
              <w:rPr>
                <w:color w:val="000000"/>
                <w:sz w:val="24"/>
              </w:rPr>
              <w:t>核心战略</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定性</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好坏</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8</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rFonts w:hint="eastAsia"/>
                <w:color w:val="000000"/>
                <w:sz w:val="24"/>
              </w:rPr>
            </w:pPr>
            <w:r>
              <w:rPr>
                <w:rFonts w:hint="eastAsia"/>
                <w:color w:val="000000"/>
                <w:sz w:val="24"/>
              </w:rPr>
              <w:t>好</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满意度指标</w:t>
            </w:r>
          </w:p>
        </w:tc>
        <w:tc>
          <w:tcPr>
            <w:tcW w:w="127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sz w:val="24"/>
              </w:rPr>
            </w:pPr>
            <w:r>
              <w:rPr>
                <w:color w:val="000000"/>
                <w:kern w:val="0"/>
                <w:sz w:val="24"/>
                <w:lang/>
              </w:rPr>
              <w:t>满意度指标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企业满意度</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95</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3</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100</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val="restart"/>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r>
              <w:rPr>
                <w:color w:val="000000"/>
                <w:kern w:val="0"/>
                <w:sz w:val="24"/>
                <w:lang/>
              </w:rPr>
              <w:t>成本指标</w:t>
            </w:r>
          </w:p>
        </w:tc>
        <w:tc>
          <w:tcPr>
            <w:tcW w:w="1273" w:type="dxa"/>
            <w:vMerge w:val="restart"/>
            <w:tcBorders>
              <w:top w:val="single" w:sz="4" w:space="0" w:color="000000"/>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r>
              <w:rPr>
                <w:color w:val="000000"/>
                <w:kern w:val="0"/>
                <w:sz w:val="24"/>
                <w:lang/>
              </w:rPr>
              <w:t>经济成本指标</w:t>
            </w: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5</w:t>
            </w:r>
            <w:r>
              <w:rPr>
                <w:color w:val="000000"/>
                <w:sz w:val="24"/>
              </w:rPr>
              <w:t>个驻点招商工作组工作经</w:t>
            </w:r>
            <w:r>
              <w:rPr>
                <w:color w:val="000000"/>
                <w:sz w:val="24"/>
              </w:rPr>
              <w:lastRenderedPageBreak/>
              <w:t>费</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lastRenderedPageBreak/>
              <w:t>＝</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165</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万元</w:t>
            </w: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5</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165</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p>
        </w:tc>
        <w:tc>
          <w:tcPr>
            <w:tcW w:w="1273" w:type="dxa"/>
            <w:vMerge/>
            <w:tcBorders>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接待来竹考察客商经费</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35</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万元</w:t>
            </w: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3</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35</w:t>
            </w:r>
          </w:p>
        </w:tc>
      </w:tr>
      <w:tr w:rsidR="005F7350" w:rsidTr="005F7350">
        <w:trPr>
          <w:trHeight w:val="23"/>
          <w:jc w:val="center"/>
        </w:trPr>
        <w:tc>
          <w:tcPr>
            <w:tcW w:w="1309" w:type="dxa"/>
            <w:vMerge/>
            <w:tcBorders>
              <w:left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p>
        </w:tc>
        <w:tc>
          <w:tcPr>
            <w:tcW w:w="1273" w:type="dxa"/>
            <w:vMerge/>
            <w:tcBorders>
              <w:left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县级领导带队赴广东、深圳、成渝、江浙、福建等地开展投资促进活动</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60</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万元</w:t>
            </w: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1</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60</w:t>
            </w:r>
          </w:p>
        </w:tc>
      </w:tr>
      <w:tr w:rsidR="005F7350" w:rsidTr="005F7350">
        <w:trPr>
          <w:trHeight w:val="23"/>
          <w:jc w:val="center"/>
        </w:trPr>
        <w:tc>
          <w:tcPr>
            <w:tcW w:w="1309" w:type="dxa"/>
            <w:vMerge/>
            <w:tcBorders>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rPr>
                <w:color w:val="000000"/>
                <w:sz w:val="24"/>
              </w:rPr>
            </w:pPr>
          </w:p>
        </w:tc>
        <w:tc>
          <w:tcPr>
            <w:tcW w:w="1347" w:type="dxa"/>
            <w:vMerge/>
            <w:tcBorders>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p>
        </w:tc>
        <w:tc>
          <w:tcPr>
            <w:tcW w:w="1273" w:type="dxa"/>
            <w:vMerge/>
            <w:tcBorders>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center"/>
              <w:textAlignment w:val="center"/>
              <w:rPr>
                <w:color w:val="000000"/>
                <w:kern w:val="0"/>
                <w:sz w:val="24"/>
                <w:lang/>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组织参加四川行、西洽会、西博会、招商专题推介会</w:t>
            </w:r>
          </w:p>
        </w:tc>
        <w:tc>
          <w:tcPr>
            <w:tcW w:w="1145"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w:t>
            </w:r>
          </w:p>
        </w:tc>
        <w:tc>
          <w:tcPr>
            <w:tcW w:w="1289"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105</w:t>
            </w:r>
          </w:p>
        </w:tc>
        <w:tc>
          <w:tcPr>
            <w:tcW w:w="1058"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万元</w:t>
            </w:r>
          </w:p>
        </w:tc>
        <w:tc>
          <w:tcPr>
            <w:tcW w:w="926"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color w:val="000000"/>
                <w:sz w:val="24"/>
              </w:rPr>
              <w:t>1</w:t>
            </w:r>
          </w:p>
        </w:tc>
        <w:tc>
          <w:tcPr>
            <w:tcW w:w="1113" w:type="dxa"/>
            <w:tcBorders>
              <w:top w:val="single" w:sz="4" w:space="0" w:color="000000"/>
              <w:left w:val="single" w:sz="4" w:space="0" w:color="000000"/>
              <w:bottom w:val="single" w:sz="4" w:space="0" w:color="000000"/>
              <w:right w:val="single" w:sz="4" w:space="0" w:color="000000"/>
            </w:tcBorders>
            <w:vAlign w:val="center"/>
          </w:tcPr>
          <w:p w:rsidR="005F7350" w:rsidRDefault="005F7350" w:rsidP="005F7350">
            <w:pPr>
              <w:widowControl/>
              <w:spacing w:line="300" w:lineRule="exact"/>
              <w:jc w:val="left"/>
              <w:rPr>
                <w:color w:val="000000"/>
                <w:sz w:val="24"/>
              </w:rPr>
            </w:pPr>
            <w:r>
              <w:rPr>
                <w:rFonts w:hint="eastAsia"/>
                <w:color w:val="000000"/>
                <w:sz w:val="24"/>
              </w:rPr>
              <w:t>105</w:t>
            </w:r>
          </w:p>
        </w:tc>
      </w:tr>
    </w:tbl>
    <w:p w:rsidR="005F7350" w:rsidRDefault="005F7350" w:rsidP="005F7350">
      <w:pPr>
        <w:spacing w:line="578" w:lineRule="exact"/>
        <w:rPr>
          <w:rFonts w:hint="eastAsia"/>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2E0451">
      <w:pPr>
        <w:widowControl/>
        <w:spacing w:line="720" w:lineRule="exact"/>
        <w:rPr>
          <w:rFonts w:ascii="黑体" w:eastAsia="黑体" w:hAnsi="黑体"/>
          <w:bCs/>
          <w:sz w:val="32"/>
          <w:szCs w:val="32"/>
        </w:rPr>
      </w:pPr>
      <w:r>
        <w:rPr>
          <w:rFonts w:ascii="黑体" w:eastAsia="黑体" w:hAnsi="黑体" w:hint="eastAsia"/>
          <w:bCs/>
          <w:sz w:val="32"/>
          <w:szCs w:val="32"/>
        </w:rPr>
        <w:t>附件2</w:t>
      </w:r>
    </w:p>
    <w:tbl>
      <w:tblPr>
        <w:tblW w:w="13180" w:type="dxa"/>
        <w:tblInd w:w="96" w:type="dxa"/>
        <w:tblLook w:val="04A0"/>
      </w:tblPr>
      <w:tblGrid>
        <w:gridCol w:w="863"/>
        <w:gridCol w:w="2457"/>
        <w:gridCol w:w="1840"/>
        <w:gridCol w:w="2840"/>
        <w:gridCol w:w="1480"/>
        <w:gridCol w:w="1720"/>
        <w:gridCol w:w="1120"/>
        <w:gridCol w:w="860"/>
      </w:tblGrid>
      <w:tr w:rsidR="00344A8A" w:rsidRPr="00344A8A" w:rsidTr="00344A8A">
        <w:trPr>
          <w:trHeight w:val="904"/>
        </w:trPr>
        <w:tc>
          <w:tcPr>
            <w:tcW w:w="13180" w:type="dxa"/>
            <w:gridSpan w:val="8"/>
            <w:tcBorders>
              <w:top w:val="nil"/>
              <w:left w:val="nil"/>
              <w:bottom w:val="nil"/>
              <w:right w:val="nil"/>
            </w:tcBorders>
            <w:shd w:val="clear" w:color="auto" w:fill="auto"/>
            <w:vAlign w:val="center"/>
            <w:hideMark/>
          </w:tcPr>
          <w:p w:rsidR="00344A8A" w:rsidRPr="00344A8A" w:rsidRDefault="00344A8A" w:rsidP="00344A8A">
            <w:pPr>
              <w:widowControl/>
              <w:jc w:val="center"/>
              <w:rPr>
                <w:rFonts w:ascii="黑体" w:eastAsia="黑体" w:hAnsi="黑体" w:cs="宋体"/>
                <w:color w:val="000000"/>
                <w:kern w:val="0"/>
                <w:sz w:val="30"/>
                <w:szCs w:val="30"/>
              </w:rPr>
            </w:pPr>
            <w:r w:rsidRPr="00344A8A">
              <w:rPr>
                <w:rFonts w:ascii="黑体" w:eastAsia="黑体" w:hAnsi="黑体" w:cs="宋体" w:hint="eastAsia"/>
                <w:color w:val="000000"/>
                <w:kern w:val="0"/>
                <w:sz w:val="30"/>
                <w:szCs w:val="30"/>
              </w:rPr>
              <w:t>部门整体支出绩效目标表</w:t>
            </w:r>
          </w:p>
        </w:tc>
      </w:tr>
      <w:tr w:rsidR="00344A8A" w:rsidRPr="00344A8A" w:rsidTr="00344A8A">
        <w:trPr>
          <w:trHeight w:val="285"/>
        </w:trPr>
        <w:tc>
          <w:tcPr>
            <w:tcW w:w="13180" w:type="dxa"/>
            <w:gridSpan w:val="8"/>
            <w:tcBorders>
              <w:top w:val="nil"/>
              <w:left w:val="nil"/>
              <w:bottom w:val="nil"/>
              <w:right w:val="nil"/>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（2023年度）</w:t>
            </w:r>
          </w:p>
        </w:tc>
      </w:tr>
      <w:tr w:rsidR="00344A8A" w:rsidRPr="00344A8A" w:rsidTr="00344A8A">
        <w:trPr>
          <w:trHeight w:val="285"/>
        </w:trPr>
        <w:tc>
          <w:tcPr>
            <w:tcW w:w="13180" w:type="dxa"/>
            <w:gridSpan w:val="8"/>
            <w:tcBorders>
              <w:top w:val="nil"/>
              <w:left w:val="nil"/>
              <w:bottom w:val="single" w:sz="4" w:space="0" w:color="000000"/>
              <w:right w:val="nil"/>
            </w:tcBorders>
            <w:shd w:val="clear" w:color="auto" w:fill="auto"/>
            <w:vAlign w:val="center"/>
            <w:hideMark/>
          </w:tcPr>
          <w:p w:rsidR="00344A8A" w:rsidRPr="00344A8A" w:rsidRDefault="00344A8A" w:rsidP="00344A8A">
            <w:pPr>
              <w:widowControl/>
              <w:jc w:val="right"/>
              <w:rPr>
                <w:rFonts w:ascii="宋体" w:hAnsi="宋体" w:cs="宋体"/>
                <w:color w:val="000000"/>
                <w:kern w:val="0"/>
                <w:sz w:val="18"/>
                <w:szCs w:val="18"/>
              </w:rPr>
            </w:pPr>
            <w:r w:rsidRPr="00344A8A">
              <w:rPr>
                <w:rFonts w:ascii="宋体" w:hAnsi="宋体" w:cs="宋体" w:hint="eastAsia"/>
                <w:color w:val="000000"/>
                <w:kern w:val="0"/>
                <w:sz w:val="18"/>
                <w:szCs w:val="18"/>
              </w:rPr>
              <w:t>单位：万元</w:t>
            </w:r>
          </w:p>
        </w:tc>
      </w:tr>
      <w:tr w:rsidR="00344A8A" w:rsidRPr="00344A8A" w:rsidTr="00344A8A">
        <w:trPr>
          <w:trHeight w:val="570"/>
        </w:trPr>
        <w:tc>
          <w:tcPr>
            <w:tcW w:w="5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部门名称</w:t>
            </w:r>
          </w:p>
        </w:tc>
        <w:tc>
          <w:tcPr>
            <w:tcW w:w="802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大竹县投资促进服务中心部门</w:t>
            </w:r>
          </w:p>
        </w:tc>
      </w:tr>
      <w:tr w:rsidR="00344A8A" w:rsidRPr="00344A8A" w:rsidTr="00344A8A">
        <w:trPr>
          <w:trHeight w:val="570"/>
        </w:trPr>
        <w:tc>
          <w:tcPr>
            <w:tcW w:w="8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年度部门整体支出预算</w:t>
            </w:r>
          </w:p>
        </w:tc>
        <w:tc>
          <w:tcPr>
            <w:tcW w:w="4297"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资金总额</w:t>
            </w:r>
          </w:p>
        </w:tc>
        <w:tc>
          <w:tcPr>
            <w:tcW w:w="4320"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财政拨款</w:t>
            </w:r>
          </w:p>
        </w:tc>
        <w:tc>
          <w:tcPr>
            <w:tcW w:w="3700" w:type="dxa"/>
            <w:gridSpan w:val="3"/>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其他资金</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4297"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right"/>
              <w:rPr>
                <w:rFonts w:ascii="宋体" w:hAnsi="宋体" w:cs="宋体"/>
                <w:color w:val="000000"/>
                <w:kern w:val="0"/>
                <w:sz w:val="18"/>
                <w:szCs w:val="18"/>
              </w:rPr>
            </w:pPr>
            <w:r w:rsidRPr="00344A8A">
              <w:rPr>
                <w:rFonts w:ascii="宋体" w:hAnsi="宋体" w:cs="宋体" w:hint="eastAsia"/>
                <w:color w:val="000000"/>
                <w:kern w:val="0"/>
                <w:sz w:val="18"/>
                <w:szCs w:val="18"/>
              </w:rPr>
              <w:t>965.94</w:t>
            </w:r>
          </w:p>
        </w:tc>
        <w:tc>
          <w:tcPr>
            <w:tcW w:w="4320"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right"/>
              <w:rPr>
                <w:rFonts w:ascii="宋体" w:hAnsi="宋体" w:cs="宋体"/>
                <w:color w:val="000000"/>
                <w:kern w:val="0"/>
                <w:sz w:val="18"/>
                <w:szCs w:val="18"/>
              </w:rPr>
            </w:pPr>
            <w:r w:rsidRPr="00344A8A">
              <w:rPr>
                <w:rFonts w:ascii="宋体" w:hAnsi="宋体" w:cs="宋体" w:hint="eastAsia"/>
                <w:color w:val="000000"/>
                <w:kern w:val="0"/>
                <w:sz w:val="18"/>
                <w:szCs w:val="18"/>
              </w:rPr>
              <w:t>965.94</w:t>
            </w:r>
          </w:p>
        </w:tc>
        <w:tc>
          <w:tcPr>
            <w:tcW w:w="3700" w:type="dxa"/>
            <w:gridSpan w:val="3"/>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right"/>
              <w:rPr>
                <w:rFonts w:ascii="宋体" w:hAnsi="宋体" w:cs="宋体"/>
                <w:color w:val="000000"/>
                <w:kern w:val="0"/>
                <w:sz w:val="18"/>
                <w:szCs w:val="18"/>
              </w:rPr>
            </w:pPr>
            <w:r w:rsidRPr="00344A8A">
              <w:rPr>
                <w:rFonts w:ascii="宋体" w:hAnsi="宋体" w:cs="宋体" w:hint="eastAsia"/>
                <w:color w:val="000000"/>
                <w:kern w:val="0"/>
                <w:sz w:val="18"/>
                <w:szCs w:val="18"/>
              </w:rPr>
              <w:t>0.00</w:t>
            </w:r>
          </w:p>
        </w:tc>
      </w:tr>
      <w:tr w:rsidR="00344A8A" w:rsidRPr="00344A8A" w:rsidTr="00344A8A">
        <w:trPr>
          <w:trHeight w:val="1144"/>
        </w:trPr>
        <w:tc>
          <w:tcPr>
            <w:tcW w:w="863" w:type="dxa"/>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年度总体目标</w:t>
            </w:r>
          </w:p>
        </w:tc>
        <w:tc>
          <w:tcPr>
            <w:tcW w:w="12317" w:type="dxa"/>
            <w:gridSpan w:val="7"/>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负责组织实施我县对内对外招商引资项目的收集、筛选、整理、翻译、包装、储备、推介、洽谈和跟踪服务，以及座谈会、推介会、洽谈会、达商会、中外知名企业四川行活动、西博会、西洽会、大型招商引资专题活动等，并做好前期筹备、广告制作、邀请客商、签约项目、宣传和相关后勤保障工作。</w:t>
            </w:r>
          </w:p>
        </w:tc>
      </w:tr>
      <w:tr w:rsidR="00344A8A" w:rsidRPr="00344A8A" w:rsidTr="00344A8A">
        <w:trPr>
          <w:trHeight w:val="570"/>
        </w:trPr>
        <w:tc>
          <w:tcPr>
            <w:tcW w:w="8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年度主要任务</w:t>
            </w:r>
          </w:p>
        </w:tc>
        <w:tc>
          <w:tcPr>
            <w:tcW w:w="4297"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任务名称</w:t>
            </w:r>
          </w:p>
        </w:tc>
        <w:tc>
          <w:tcPr>
            <w:tcW w:w="802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主要内容</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4297"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接待来竹考察客商经费</w:t>
            </w:r>
          </w:p>
        </w:tc>
        <w:tc>
          <w:tcPr>
            <w:tcW w:w="802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接待各地来竹考察客商，促进大竹经济发展。</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4297"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组织参加中外知名企业四川行活动</w:t>
            </w:r>
          </w:p>
        </w:tc>
        <w:tc>
          <w:tcPr>
            <w:tcW w:w="802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中外知名企业四川行活动是我省市县一年一度最重要、影响最深远的投资促进活动。</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4297"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组织参加西洽会、西博会、招商专题推介会</w:t>
            </w:r>
          </w:p>
        </w:tc>
        <w:tc>
          <w:tcPr>
            <w:tcW w:w="802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高效筹备并积极参加2023年西洽会、西博会、招商专题推介会，大力宣传推介大竹区域优势、营商环境，招商引资工作取得更大实效。</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4297"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县级领导带队赴广东、深圳、成渝、江浙、福建等地开展投资促进活动</w:t>
            </w:r>
          </w:p>
        </w:tc>
        <w:tc>
          <w:tcPr>
            <w:tcW w:w="802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县级领导带队外出开展招商工作，高位推进在谈项目签约落地。</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4297" w:type="dxa"/>
            <w:gridSpan w:val="2"/>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五个驻外招商工作组工作经费</w:t>
            </w:r>
          </w:p>
        </w:tc>
        <w:tc>
          <w:tcPr>
            <w:tcW w:w="802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壮大招商队伍，持续健全“8+5+6”招商机制，打造覆盖珠三角、长三角、成渝地区和京津冀地区的招商网络，大量搜集商情商源，储备在谈项目。</w:t>
            </w:r>
          </w:p>
        </w:tc>
      </w:tr>
      <w:tr w:rsidR="00344A8A" w:rsidRPr="00344A8A" w:rsidTr="00344A8A">
        <w:trPr>
          <w:trHeight w:val="570"/>
        </w:trPr>
        <w:tc>
          <w:tcPr>
            <w:tcW w:w="8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年度绩效指标</w:t>
            </w:r>
          </w:p>
        </w:tc>
        <w:tc>
          <w:tcPr>
            <w:tcW w:w="2457"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一级指标</w:t>
            </w:r>
          </w:p>
        </w:tc>
        <w:tc>
          <w:tcPr>
            <w:tcW w:w="1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二级指标</w:t>
            </w: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三级指标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绩效指标性质</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绩效指标值</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绩效度量单位</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权重</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产出指标</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数量指标</w:t>
            </w: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全年目标任务工作目标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120</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亿元</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10</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省外固定资产投资目标任务保证目标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63</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亿元</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15</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省外固定资产投资目标任务工作目标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65</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亿元</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10</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全年目标任务保证目标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115</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亿元</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15</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质量指标</w:t>
            </w: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项目开工率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80</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3</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项目履约率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90</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2</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项目资金到位率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30</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2</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时效指标</w:t>
            </w: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签约项目注册率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90</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2</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项目投产率</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20</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效益指标</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生态效益指标</w:t>
            </w: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增加居民收入</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定性</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好坏</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8</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招商引资的入驻企业以环保为准入基准</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定性</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好坏</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5</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可持续影响指标</w:t>
            </w: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“工业强项”核心战略</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定性</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好坏</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8</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满意度指标</w:t>
            </w:r>
          </w:p>
        </w:tc>
        <w:tc>
          <w:tcPr>
            <w:tcW w:w="1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满意度指标</w:t>
            </w: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企业满意度</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95</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13</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成本指标</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经济成本指标</w:t>
            </w: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5个驻点招商工作组工作经费</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165</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万元</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接待来竹考察客商经费</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35</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万元</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3</w:t>
            </w:r>
          </w:p>
        </w:tc>
      </w:tr>
      <w:tr w:rsidR="00344A8A" w:rsidRPr="00344A8A" w:rsidTr="00344A8A">
        <w:trPr>
          <w:trHeight w:val="679"/>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县级领导带队赴广东、深圳、成渝、江浙、福建等地开展投资促进活动</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60</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万元</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w:t>
            </w:r>
          </w:p>
        </w:tc>
      </w:tr>
      <w:tr w:rsidR="00344A8A" w:rsidRPr="00344A8A" w:rsidTr="00344A8A">
        <w:trPr>
          <w:trHeight w:val="570"/>
        </w:trPr>
        <w:tc>
          <w:tcPr>
            <w:tcW w:w="863"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457"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84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84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组织参加四川行、西洽会、西博会、招商专题推介会</w:t>
            </w:r>
          </w:p>
        </w:tc>
        <w:tc>
          <w:tcPr>
            <w:tcW w:w="14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7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105</w:t>
            </w:r>
          </w:p>
        </w:tc>
        <w:tc>
          <w:tcPr>
            <w:tcW w:w="11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万元</w:t>
            </w:r>
          </w:p>
        </w:tc>
        <w:tc>
          <w:tcPr>
            <w:tcW w:w="8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1</w:t>
            </w:r>
          </w:p>
        </w:tc>
      </w:tr>
    </w:tbl>
    <w:p w:rsidR="00344A8A" w:rsidRDefault="00344A8A">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tbl>
      <w:tblPr>
        <w:tblW w:w="14160" w:type="dxa"/>
        <w:tblInd w:w="96" w:type="dxa"/>
        <w:tblLook w:val="04A0"/>
      </w:tblPr>
      <w:tblGrid>
        <w:gridCol w:w="699"/>
        <w:gridCol w:w="2055"/>
        <w:gridCol w:w="1776"/>
        <w:gridCol w:w="2255"/>
        <w:gridCol w:w="520"/>
        <w:gridCol w:w="1676"/>
        <w:gridCol w:w="520"/>
        <w:gridCol w:w="1099"/>
        <w:gridCol w:w="520"/>
        <w:gridCol w:w="486"/>
        <w:gridCol w:w="2554"/>
      </w:tblGrid>
      <w:tr w:rsidR="00344A8A" w:rsidRPr="00344A8A" w:rsidTr="00344A8A">
        <w:trPr>
          <w:trHeight w:val="904"/>
        </w:trPr>
        <w:tc>
          <w:tcPr>
            <w:tcW w:w="141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黑体" w:eastAsia="黑体" w:hAnsi="黑体" w:cs="宋体"/>
                <w:b/>
                <w:bCs/>
                <w:color w:val="000000"/>
                <w:kern w:val="0"/>
                <w:sz w:val="30"/>
                <w:szCs w:val="30"/>
              </w:rPr>
            </w:pPr>
            <w:r w:rsidRPr="00344A8A">
              <w:rPr>
                <w:rFonts w:ascii="黑体" w:eastAsia="黑体" w:hAnsi="黑体" w:cs="宋体" w:hint="eastAsia"/>
                <w:b/>
                <w:bCs/>
                <w:color w:val="000000"/>
                <w:kern w:val="0"/>
                <w:sz w:val="30"/>
                <w:szCs w:val="30"/>
              </w:rPr>
              <w:t>部门预算项目支出绩效自评表（2023年度）</w:t>
            </w:r>
          </w:p>
        </w:tc>
      </w:tr>
      <w:tr w:rsidR="00344A8A" w:rsidRPr="00344A8A" w:rsidTr="00344A8A">
        <w:trPr>
          <w:trHeight w:val="285"/>
        </w:trPr>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项目名称</w:t>
            </w:r>
          </w:p>
        </w:tc>
        <w:tc>
          <w:tcPr>
            <w:tcW w:w="11400" w:type="dxa"/>
            <w:gridSpan w:val="9"/>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51172422T000005509243-招商引资</w:t>
            </w:r>
          </w:p>
        </w:tc>
      </w:tr>
      <w:tr w:rsidR="00344A8A" w:rsidRPr="00344A8A" w:rsidTr="00344A8A">
        <w:trPr>
          <w:trHeight w:val="514"/>
        </w:trPr>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主管部门</w:t>
            </w:r>
          </w:p>
        </w:tc>
        <w:tc>
          <w:tcPr>
            <w:tcW w:w="676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大竹县投资促进服务中心部门</w:t>
            </w:r>
          </w:p>
        </w:tc>
        <w:tc>
          <w:tcPr>
            <w:tcW w:w="110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Courier New" w:hAnsi="Courier New" w:cs="Courier New"/>
                <w:color w:val="000000"/>
                <w:kern w:val="0"/>
                <w:sz w:val="18"/>
                <w:szCs w:val="18"/>
              </w:rPr>
            </w:pPr>
            <w:r w:rsidRPr="00344A8A">
              <w:rPr>
                <w:rFonts w:ascii="Courier New" w:hAnsi="Courier New" w:cs="Courier New"/>
                <w:color w:val="000000"/>
                <w:kern w:val="0"/>
                <w:sz w:val="18"/>
                <w:szCs w:val="18"/>
              </w:rPr>
              <w:t>实施单位</w:t>
            </w:r>
            <w:r w:rsidRPr="00344A8A">
              <w:rPr>
                <w:rFonts w:ascii="Courier New" w:hAnsi="Courier New" w:cs="Courier New"/>
                <w:color w:val="000000"/>
                <w:kern w:val="0"/>
                <w:sz w:val="18"/>
                <w:szCs w:val="18"/>
              </w:rPr>
              <w:t xml:space="preserve"> </w:t>
            </w:r>
            <w:r w:rsidRPr="00344A8A">
              <w:rPr>
                <w:rFonts w:ascii="Courier New" w:hAnsi="Courier New" w:cs="Courier New"/>
                <w:color w:val="000000"/>
                <w:kern w:val="0"/>
                <w:sz w:val="18"/>
                <w:szCs w:val="18"/>
              </w:rPr>
              <w:t>（盖章）</w:t>
            </w:r>
          </w:p>
        </w:tc>
        <w:tc>
          <w:tcPr>
            <w:tcW w:w="3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大竹县投资促进服务中心</w:t>
            </w:r>
          </w:p>
        </w:tc>
      </w:tr>
      <w:tr w:rsidR="00344A8A" w:rsidRPr="00344A8A" w:rsidTr="00344A8A">
        <w:trPr>
          <w:trHeight w:val="28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项目</w:t>
            </w:r>
            <w:r w:rsidRPr="00344A8A">
              <w:rPr>
                <w:rFonts w:ascii="宋体" w:hAnsi="宋体" w:cs="宋体" w:hint="eastAsia"/>
                <w:color w:val="000000"/>
                <w:kern w:val="0"/>
                <w:sz w:val="18"/>
                <w:szCs w:val="18"/>
              </w:rPr>
              <w:lastRenderedPageBreak/>
              <w:t>基本情况</w:t>
            </w:r>
          </w:p>
        </w:tc>
        <w:tc>
          <w:tcPr>
            <w:tcW w:w="2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lastRenderedPageBreak/>
              <w:t>1.项目年度目标完成情</w:t>
            </w:r>
            <w:r w:rsidRPr="00344A8A">
              <w:rPr>
                <w:rFonts w:ascii="宋体" w:hAnsi="宋体" w:cs="宋体" w:hint="eastAsia"/>
                <w:color w:val="000000"/>
                <w:kern w:val="0"/>
                <w:sz w:val="18"/>
                <w:szCs w:val="18"/>
              </w:rPr>
              <w:lastRenderedPageBreak/>
              <w:t>况</w:t>
            </w:r>
          </w:p>
        </w:tc>
        <w:tc>
          <w:tcPr>
            <w:tcW w:w="676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lastRenderedPageBreak/>
              <w:t>项目年度目标</w:t>
            </w:r>
          </w:p>
        </w:tc>
        <w:tc>
          <w:tcPr>
            <w:tcW w:w="4640" w:type="dxa"/>
            <w:gridSpan w:val="4"/>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Courier New" w:hAnsi="Courier New" w:cs="Courier New"/>
                <w:color w:val="000000"/>
                <w:kern w:val="0"/>
                <w:sz w:val="18"/>
                <w:szCs w:val="18"/>
              </w:rPr>
            </w:pPr>
            <w:r w:rsidRPr="00344A8A">
              <w:rPr>
                <w:rFonts w:ascii="Courier New" w:hAnsi="Courier New" w:cs="Courier New"/>
                <w:color w:val="000000"/>
                <w:kern w:val="0"/>
                <w:sz w:val="18"/>
                <w:szCs w:val="18"/>
              </w:rPr>
              <w:t>年度目标完成情况</w:t>
            </w:r>
          </w:p>
        </w:tc>
      </w:tr>
      <w:tr w:rsidR="00344A8A" w:rsidRPr="00344A8A" w:rsidTr="00344A8A">
        <w:trPr>
          <w:trHeight w:val="709"/>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6760" w:type="dxa"/>
            <w:gridSpan w:val="5"/>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应于2023年，用财政全额拨款招商专项经费来开展投资促进活动，实现进一步提升全县招商引资质量和效益，巩固扩大制造业招商成果，在2023年为大竹县的社会经济发展做出重要贡献的目标。</w:t>
            </w:r>
          </w:p>
        </w:tc>
        <w:tc>
          <w:tcPr>
            <w:tcW w:w="4640" w:type="dxa"/>
            <w:gridSpan w:val="4"/>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Courier New" w:hAnsi="Courier New" w:cs="Courier New"/>
                <w:color w:val="000000"/>
                <w:kern w:val="0"/>
                <w:sz w:val="18"/>
                <w:szCs w:val="18"/>
              </w:rPr>
            </w:pPr>
            <w:r w:rsidRPr="00344A8A">
              <w:rPr>
                <w:rFonts w:ascii="Courier New" w:hAnsi="Courier New" w:cs="Courier New"/>
                <w:color w:val="000000"/>
                <w:kern w:val="0"/>
                <w:sz w:val="18"/>
                <w:szCs w:val="18"/>
              </w:rPr>
              <w:t>完成</w:t>
            </w:r>
          </w:p>
        </w:tc>
      </w:tr>
      <w:tr w:rsidR="00344A8A" w:rsidRPr="00344A8A" w:rsidTr="00344A8A">
        <w:trPr>
          <w:trHeight w:val="694"/>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2.项目实施内容及过程概述</w:t>
            </w:r>
          </w:p>
        </w:tc>
        <w:tc>
          <w:tcPr>
            <w:tcW w:w="11400" w:type="dxa"/>
            <w:gridSpan w:val="9"/>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 xml:space="preserve">　</w:t>
            </w:r>
          </w:p>
        </w:tc>
      </w:tr>
      <w:tr w:rsidR="00344A8A" w:rsidRPr="00344A8A" w:rsidTr="00344A8A">
        <w:trPr>
          <w:trHeight w:val="360"/>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预算执行情况（10分）</w:t>
            </w:r>
          </w:p>
        </w:tc>
        <w:tc>
          <w:tcPr>
            <w:tcW w:w="20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年度预算数（万元）</w:t>
            </w: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年初预算</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调整后预算数</w:t>
            </w:r>
          </w:p>
        </w:tc>
        <w:tc>
          <w:tcPr>
            <w:tcW w:w="2720" w:type="dxa"/>
            <w:gridSpan w:val="3"/>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预算执行数</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得分</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原因</w:t>
            </w:r>
          </w:p>
        </w:tc>
      </w:tr>
      <w:tr w:rsidR="00344A8A" w:rsidRPr="00344A8A" w:rsidTr="00344A8A">
        <w:trPr>
          <w:trHeight w:val="345"/>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总额</w:t>
            </w: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365.00</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559.90</w:t>
            </w:r>
          </w:p>
        </w:tc>
        <w:tc>
          <w:tcPr>
            <w:tcW w:w="2720" w:type="dxa"/>
            <w:gridSpan w:val="3"/>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559.90</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10</w:t>
            </w:r>
          </w:p>
        </w:tc>
        <w:tc>
          <w:tcPr>
            <w:tcW w:w="2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Courier New" w:hAnsi="Courier New" w:cs="Courier New"/>
                <w:i/>
                <w:iCs/>
                <w:color w:val="000000"/>
                <w:kern w:val="0"/>
                <w:sz w:val="18"/>
                <w:szCs w:val="18"/>
              </w:rPr>
            </w:pPr>
            <w:r w:rsidRPr="00344A8A">
              <w:rPr>
                <w:rFonts w:ascii="Courier New" w:hAnsi="Courier New" w:cs="Courier New"/>
                <w:i/>
                <w:iCs/>
                <w:color w:val="000000"/>
                <w:kern w:val="0"/>
                <w:sz w:val="18"/>
                <w:szCs w:val="18"/>
              </w:rPr>
              <w:t>1.</w:t>
            </w:r>
            <w:r w:rsidRPr="00344A8A">
              <w:rPr>
                <w:rFonts w:ascii="Courier New" w:hAnsi="Courier New" w:cs="Courier New"/>
                <w:i/>
                <w:iCs/>
                <w:color w:val="000000"/>
                <w:kern w:val="0"/>
                <w:sz w:val="18"/>
                <w:szCs w:val="18"/>
              </w:rPr>
              <w:t>预算执行率</w:t>
            </w:r>
            <w:r w:rsidRPr="00344A8A">
              <w:rPr>
                <w:rFonts w:ascii="Courier New" w:hAnsi="Courier New" w:cs="Courier New"/>
                <w:i/>
                <w:iCs/>
                <w:color w:val="000000"/>
                <w:kern w:val="0"/>
                <w:sz w:val="18"/>
                <w:szCs w:val="18"/>
              </w:rPr>
              <w:t>=</w:t>
            </w:r>
            <w:r w:rsidRPr="00344A8A">
              <w:rPr>
                <w:rFonts w:ascii="Courier New" w:hAnsi="Courier New" w:cs="Courier New"/>
                <w:i/>
                <w:iCs/>
                <w:color w:val="000000"/>
                <w:kern w:val="0"/>
                <w:sz w:val="18"/>
                <w:szCs w:val="18"/>
              </w:rPr>
              <w:t>预算执行数</w:t>
            </w:r>
            <w:r w:rsidRPr="00344A8A">
              <w:rPr>
                <w:rFonts w:ascii="Courier New" w:hAnsi="Courier New" w:cs="Courier New"/>
                <w:i/>
                <w:iCs/>
                <w:color w:val="000000"/>
                <w:kern w:val="0"/>
                <w:sz w:val="18"/>
                <w:szCs w:val="18"/>
              </w:rPr>
              <w:t>/</w:t>
            </w:r>
            <w:r w:rsidRPr="00344A8A">
              <w:rPr>
                <w:rFonts w:ascii="Courier New" w:hAnsi="Courier New" w:cs="Courier New"/>
                <w:i/>
                <w:iCs/>
                <w:color w:val="000000"/>
                <w:kern w:val="0"/>
                <w:sz w:val="18"/>
                <w:szCs w:val="18"/>
              </w:rPr>
              <w:t>调整后预算数，预算执行率未达到</w:t>
            </w:r>
            <w:r w:rsidRPr="00344A8A">
              <w:rPr>
                <w:rFonts w:ascii="Courier New" w:hAnsi="Courier New" w:cs="Courier New"/>
                <w:i/>
                <w:iCs/>
                <w:color w:val="000000"/>
                <w:kern w:val="0"/>
                <w:sz w:val="18"/>
                <w:szCs w:val="18"/>
              </w:rPr>
              <w:t>90%</w:t>
            </w:r>
            <w:r w:rsidRPr="00344A8A">
              <w:rPr>
                <w:rFonts w:ascii="Courier New" w:hAnsi="Courier New" w:cs="Courier New"/>
                <w:i/>
                <w:iCs/>
                <w:color w:val="000000"/>
                <w:kern w:val="0"/>
                <w:sz w:val="18"/>
                <w:szCs w:val="18"/>
              </w:rPr>
              <w:t>的需说明原因（</w:t>
            </w:r>
            <w:r w:rsidRPr="00344A8A">
              <w:rPr>
                <w:rFonts w:ascii="Courier New" w:hAnsi="Courier New" w:cs="Courier New"/>
                <w:i/>
                <w:iCs/>
                <w:color w:val="000000"/>
                <w:kern w:val="0"/>
                <w:sz w:val="18"/>
                <w:szCs w:val="18"/>
              </w:rPr>
              <w:t>100</w:t>
            </w:r>
            <w:r w:rsidRPr="00344A8A">
              <w:rPr>
                <w:rFonts w:ascii="Courier New" w:hAnsi="Courier New" w:cs="Courier New"/>
                <w:i/>
                <w:iCs/>
                <w:color w:val="000000"/>
                <w:kern w:val="0"/>
                <w:sz w:val="18"/>
                <w:szCs w:val="18"/>
              </w:rPr>
              <w:t>字以内）</w:t>
            </w:r>
            <w:r w:rsidRPr="00344A8A">
              <w:rPr>
                <w:rFonts w:ascii="Courier New" w:hAnsi="Courier New" w:cs="Courier New"/>
                <w:i/>
                <w:iCs/>
                <w:color w:val="000000"/>
                <w:kern w:val="0"/>
                <w:sz w:val="18"/>
                <w:szCs w:val="18"/>
              </w:rPr>
              <w:t>;2.</w:t>
            </w:r>
            <w:r w:rsidRPr="00344A8A">
              <w:rPr>
                <w:rFonts w:ascii="Courier New" w:hAnsi="Courier New" w:cs="Courier New"/>
                <w:i/>
                <w:iCs/>
                <w:color w:val="000000"/>
                <w:kern w:val="0"/>
                <w:sz w:val="18"/>
                <w:szCs w:val="18"/>
              </w:rPr>
              <w:t>年中发生预算调整的（追加或调减）</w:t>
            </w:r>
            <w:r w:rsidRPr="00344A8A">
              <w:rPr>
                <w:rFonts w:ascii="Courier New" w:hAnsi="Courier New" w:cs="Courier New"/>
                <w:i/>
                <w:iCs/>
                <w:color w:val="000000"/>
                <w:kern w:val="0"/>
                <w:sz w:val="18"/>
                <w:szCs w:val="18"/>
              </w:rPr>
              <w:t>,</w:t>
            </w:r>
            <w:r w:rsidRPr="00344A8A">
              <w:rPr>
                <w:rFonts w:ascii="Courier New" w:hAnsi="Courier New" w:cs="Courier New"/>
                <w:i/>
                <w:iCs/>
                <w:color w:val="000000"/>
                <w:kern w:val="0"/>
                <w:sz w:val="18"/>
                <w:szCs w:val="18"/>
              </w:rPr>
              <w:t>应单独说明理由；</w:t>
            </w:r>
            <w:r w:rsidRPr="00344A8A">
              <w:rPr>
                <w:rFonts w:ascii="Courier New" w:hAnsi="Courier New" w:cs="Courier New"/>
                <w:i/>
                <w:iCs/>
                <w:color w:val="000000"/>
                <w:kern w:val="0"/>
                <w:sz w:val="18"/>
                <w:szCs w:val="18"/>
              </w:rPr>
              <w:t>3.</w:t>
            </w:r>
            <w:r w:rsidRPr="00344A8A">
              <w:rPr>
                <w:rFonts w:ascii="Courier New" w:hAnsi="Courier New" w:cs="Courier New"/>
                <w:i/>
                <w:iCs/>
                <w:color w:val="000000"/>
                <w:kern w:val="0"/>
                <w:sz w:val="18"/>
                <w:szCs w:val="18"/>
              </w:rPr>
              <w:t>其他资金包括：社会投入资金、银行贷款</w:t>
            </w:r>
            <w:r w:rsidRPr="00344A8A">
              <w:rPr>
                <w:rFonts w:ascii="Courier New" w:hAnsi="Courier New" w:cs="Courier New"/>
                <w:i/>
                <w:iCs/>
                <w:color w:val="000000"/>
                <w:kern w:val="0"/>
                <w:sz w:val="18"/>
                <w:szCs w:val="18"/>
              </w:rPr>
              <w:t>.</w:t>
            </w:r>
          </w:p>
        </w:tc>
      </w:tr>
      <w:tr w:rsidR="00344A8A" w:rsidRPr="00344A8A" w:rsidTr="00344A8A">
        <w:trPr>
          <w:trHeight w:val="390"/>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其中：财政资金</w:t>
            </w: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365.00</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559.90</w:t>
            </w:r>
          </w:p>
        </w:tc>
        <w:tc>
          <w:tcPr>
            <w:tcW w:w="2720" w:type="dxa"/>
            <w:gridSpan w:val="3"/>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559.90</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25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Courier New" w:hAnsi="Courier New" w:cs="Courier New"/>
                <w:i/>
                <w:iCs/>
                <w:color w:val="000000"/>
                <w:kern w:val="0"/>
                <w:sz w:val="18"/>
                <w:szCs w:val="18"/>
              </w:rPr>
            </w:pPr>
          </w:p>
        </w:tc>
      </w:tr>
      <w:tr w:rsidR="00344A8A" w:rsidRPr="00344A8A" w:rsidTr="00344A8A">
        <w:trPr>
          <w:trHeight w:val="409"/>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财政专户管理资金</w:t>
            </w: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0.00</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0.00</w:t>
            </w:r>
          </w:p>
        </w:tc>
        <w:tc>
          <w:tcPr>
            <w:tcW w:w="2720" w:type="dxa"/>
            <w:gridSpan w:val="3"/>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0.00</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25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Courier New" w:hAnsi="Courier New" w:cs="Courier New"/>
                <w:i/>
                <w:iCs/>
                <w:color w:val="000000"/>
                <w:kern w:val="0"/>
                <w:sz w:val="18"/>
                <w:szCs w:val="18"/>
              </w:rPr>
            </w:pPr>
          </w:p>
        </w:tc>
      </w:tr>
      <w:tr w:rsidR="00344A8A" w:rsidRPr="00344A8A" w:rsidTr="00344A8A">
        <w:trPr>
          <w:trHeight w:val="360"/>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单位资金</w:t>
            </w: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0.00</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0.00</w:t>
            </w:r>
          </w:p>
        </w:tc>
        <w:tc>
          <w:tcPr>
            <w:tcW w:w="2720" w:type="dxa"/>
            <w:gridSpan w:val="3"/>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0.00</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25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Courier New" w:hAnsi="Courier New" w:cs="Courier New"/>
                <w:i/>
                <w:iCs/>
                <w:color w:val="000000"/>
                <w:kern w:val="0"/>
                <w:sz w:val="18"/>
                <w:szCs w:val="18"/>
              </w:rPr>
            </w:pPr>
          </w:p>
        </w:tc>
      </w:tr>
      <w:tr w:rsidR="00344A8A" w:rsidRPr="00344A8A" w:rsidTr="00344A8A">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其他资金</w:t>
            </w: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c>
          <w:tcPr>
            <w:tcW w:w="2720" w:type="dxa"/>
            <w:gridSpan w:val="3"/>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25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Courier New" w:hAnsi="Courier New" w:cs="Courier New"/>
                <w:i/>
                <w:iCs/>
                <w:color w:val="000000"/>
                <w:kern w:val="0"/>
                <w:sz w:val="18"/>
                <w:szCs w:val="18"/>
              </w:rPr>
            </w:pPr>
          </w:p>
        </w:tc>
      </w:tr>
      <w:tr w:rsidR="00344A8A" w:rsidRPr="00344A8A" w:rsidTr="00344A8A">
        <w:trPr>
          <w:trHeight w:val="454"/>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绩效指标（90分）</w:t>
            </w:r>
          </w:p>
        </w:tc>
        <w:tc>
          <w:tcPr>
            <w:tcW w:w="20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一级指标</w:t>
            </w: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二级指标</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指标性质</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指标值</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度量单位</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得分</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未完成原因分析</w:t>
            </w:r>
          </w:p>
        </w:tc>
      </w:tr>
      <w:tr w:rsidR="00344A8A" w:rsidRPr="00344A8A" w:rsidTr="00344A8A">
        <w:trPr>
          <w:trHeight w:val="454"/>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产出指标</w:t>
            </w:r>
          </w:p>
        </w:tc>
        <w:tc>
          <w:tcPr>
            <w:tcW w:w="1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数量指标</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省外固定资产投资目标任务保证目标</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85</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亿元</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87.56</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15</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15</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454"/>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省外固定资产投资目标任务工作目标</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94</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亿元</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87.56</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14</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14</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全年目标任务保证目标</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120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亿元</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121.32</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15</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15</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质量指标</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 xml:space="preserve"> 项目开工率</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80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80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7</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7</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项目履约率</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90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93.33</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4</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4</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时效指标</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项目投产率</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30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53.33</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效益指标</w:t>
            </w: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社会效益指标</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增加居民收入</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定性</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好坏</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好</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8</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8</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454"/>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生态效益指标</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 xml:space="preserve"> 招商引资的入驻企业以环保为基本准入</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定性</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好坏</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好</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5</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5</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可持续影响指标</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“工业强县”核心战略</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定性</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好坏</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 xml:space="preserve">　</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好</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8</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8</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满意度指标</w:t>
            </w:r>
          </w:p>
        </w:tc>
        <w:tc>
          <w:tcPr>
            <w:tcW w:w="17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满意度指标</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企业满意度</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95</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100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3</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3</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679"/>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成本指标</w:t>
            </w:r>
          </w:p>
        </w:tc>
        <w:tc>
          <w:tcPr>
            <w:tcW w:w="1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经济成本指标</w:t>
            </w: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组织参加四川行、西洽会、西博会、招商专题推介会</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105</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万元</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105</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679"/>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县级领导带队赴广东、深圳、福建、成渝等地开展投促活动</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60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万元</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60</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454"/>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5个驻点招商工作组驻外工作经费</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165</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万元</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165</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5</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5</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1780" w:type="dxa"/>
            <w:vMerge/>
            <w:tcBorders>
              <w:top w:val="nil"/>
              <w:left w:val="single" w:sz="4" w:space="0" w:color="000000"/>
              <w:bottom w:val="single" w:sz="4" w:space="0" w:color="000000"/>
              <w:right w:val="single" w:sz="4" w:space="0" w:color="000000"/>
            </w:tcBorders>
            <w:vAlign w:val="center"/>
            <w:hideMark/>
          </w:tcPr>
          <w:p w:rsidR="00344A8A" w:rsidRPr="00344A8A" w:rsidRDefault="00344A8A" w:rsidP="00344A8A">
            <w:pPr>
              <w:widowControl/>
              <w:jc w:val="left"/>
              <w:rPr>
                <w:rFonts w:ascii="宋体" w:hAnsi="宋体" w:cs="宋体"/>
                <w:color w:val="000000"/>
                <w:kern w:val="0"/>
                <w:sz w:val="18"/>
                <w:szCs w:val="18"/>
              </w:rPr>
            </w:pPr>
          </w:p>
        </w:tc>
        <w:tc>
          <w:tcPr>
            <w:tcW w:w="22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接待来竹考察客商经费</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w:t>
            </w:r>
          </w:p>
        </w:tc>
        <w:tc>
          <w:tcPr>
            <w:tcW w:w="168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35</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万元</w:t>
            </w:r>
          </w:p>
        </w:tc>
        <w:tc>
          <w:tcPr>
            <w:tcW w:w="110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35</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3</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3</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 xml:space="preserve">　</w:t>
            </w:r>
          </w:p>
        </w:tc>
      </w:tr>
      <w:tr w:rsidR="00344A8A" w:rsidRPr="00344A8A" w:rsidTr="00344A8A">
        <w:trPr>
          <w:trHeight w:val="285"/>
        </w:trPr>
        <w:tc>
          <w:tcPr>
            <w:tcW w:w="106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right"/>
              <w:rPr>
                <w:rFonts w:ascii="宋体" w:hAnsi="宋体" w:cs="宋体"/>
                <w:color w:val="000000"/>
                <w:kern w:val="0"/>
                <w:sz w:val="18"/>
                <w:szCs w:val="18"/>
              </w:rPr>
            </w:pPr>
            <w:r w:rsidRPr="00344A8A">
              <w:rPr>
                <w:rFonts w:ascii="宋体" w:hAnsi="宋体" w:cs="宋体" w:hint="eastAsia"/>
                <w:color w:val="000000"/>
                <w:kern w:val="0"/>
                <w:sz w:val="18"/>
                <w:szCs w:val="18"/>
              </w:rPr>
              <w:t>100</w:t>
            </w:r>
          </w:p>
        </w:tc>
        <w:tc>
          <w:tcPr>
            <w:tcW w:w="2560" w:type="dxa"/>
            <w:tcBorders>
              <w:top w:val="nil"/>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宋体" w:hAnsi="宋体" w:cs="宋体"/>
                <w:color w:val="000000"/>
                <w:kern w:val="0"/>
                <w:sz w:val="18"/>
                <w:szCs w:val="18"/>
              </w:rPr>
            </w:pPr>
            <w:r w:rsidRPr="00344A8A">
              <w:rPr>
                <w:rFonts w:ascii="宋体" w:hAnsi="宋体" w:cs="宋体" w:hint="eastAsia"/>
                <w:color w:val="000000"/>
                <w:kern w:val="0"/>
                <w:sz w:val="18"/>
                <w:szCs w:val="18"/>
              </w:rPr>
              <w:t xml:space="preserve">　</w:t>
            </w:r>
          </w:p>
        </w:tc>
      </w:tr>
      <w:tr w:rsidR="00344A8A" w:rsidRPr="00344A8A" w:rsidTr="00344A8A">
        <w:trPr>
          <w:trHeight w:val="604"/>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评价结论</w:t>
            </w:r>
          </w:p>
        </w:tc>
        <w:tc>
          <w:tcPr>
            <w:tcW w:w="13460" w:type="dxa"/>
            <w:gridSpan w:val="10"/>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完成</w:t>
            </w:r>
          </w:p>
        </w:tc>
      </w:tr>
      <w:tr w:rsidR="00344A8A" w:rsidRPr="00344A8A" w:rsidTr="00344A8A">
        <w:trPr>
          <w:trHeight w:val="574"/>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存在问题</w:t>
            </w:r>
          </w:p>
        </w:tc>
        <w:tc>
          <w:tcPr>
            <w:tcW w:w="13460" w:type="dxa"/>
            <w:gridSpan w:val="10"/>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无</w:t>
            </w:r>
          </w:p>
        </w:tc>
      </w:tr>
      <w:tr w:rsidR="00344A8A" w:rsidRPr="00344A8A" w:rsidTr="00344A8A">
        <w:trPr>
          <w:trHeight w:val="634"/>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center"/>
              <w:rPr>
                <w:rFonts w:ascii="宋体" w:hAnsi="宋体" w:cs="宋体"/>
                <w:color w:val="000000"/>
                <w:kern w:val="0"/>
                <w:sz w:val="18"/>
                <w:szCs w:val="18"/>
              </w:rPr>
            </w:pPr>
            <w:r w:rsidRPr="00344A8A">
              <w:rPr>
                <w:rFonts w:ascii="宋体" w:hAnsi="宋体" w:cs="宋体" w:hint="eastAsia"/>
                <w:color w:val="000000"/>
                <w:kern w:val="0"/>
                <w:sz w:val="18"/>
                <w:szCs w:val="18"/>
              </w:rPr>
              <w:t>改进措施</w:t>
            </w:r>
          </w:p>
        </w:tc>
        <w:tc>
          <w:tcPr>
            <w:tcW w:w="13460" w:type="dxa"/>
            <w:gridSpan w:val="10"/>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微软雅黑" w:eastAsia="微软雅黑" w:hAnsi="微软雅黑" w:cs="宋体"/>
                <w:i/>
                <w:iCs/>
                <w:color w:val="000000"/>
                <w:kern w:val="0"/>
                <w:sz w:val="16"/>
                <w:szCs w:val="16"/>
              </w:rPr>
            </w:pPr>
            <w:r w:rsidRPr="00344A8A">
              <w:rPr>
                <w:rFonts w:ascii="微软雅黑" w:eastAsia="微软雅黑" w:hAnsi="微软雅黑" w:cs="宋体" w:hint="eastAsia"/>
                <w:i/>
                <w:iCs/>
                <w:color w:val="000000"/>
                <w:kern w:val="0"/>
                <w:sz w:val="16"/>
                <w:szCs w:val="16"/>
              </w:rPr>
              <w:t>无</w:t>
            </w:r>
          </w:p>
        </w:tc>
      </w:tr>
      <w:tr w:rsidR="00344A8A" w:rsidRPr="00344A8A" w:rsidTr="00344A8A">
        <w:trPr>
          <w:trHeight w:val="285"/>
        </w:trPr>
        <w:tc>
          <w:tcPr>
            <w:tcW w:w="73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Courier New" w:hAnsi="Courier New" w:cs="Courier New"/>
                <w:color w:val="000000"/>
                <w:kern w:val="0"/>
                <w:sz w:val="18"/>
                <w:szCs w:val="18"/>
              </w:rPr>
            </w:pPr>
            <w:r w:rsidRPr="00344A8A">
              <w:rPr>
                <w:rFonts w:ascii="Courier New" w:hAnsi="Courier New" w:cs="Courier New"/>
                <w:color w:val="000000"/>
                <w:kern w:val="0"/>
                <w:sz w:val="18"/>
                <w:szCs w:val="18"/>
              </w:rPr>
              <w:lastRenderedPageBreak/>
              <w:t>项目负责人：唐光辉</w:t>
            </w:r>
          </w:p>
        </w:tc>
        <w:tc>
          <w:tcPr>
            <w:tcW w:w="6840" w:type="dxa"/>
            <w:gridSpan w:val="6"/>
            <w:tcBorders>
              <w:top w:val="single" w:sz="4" w:space="0" w:color="000000"/>
              <w:left w:val="nil"/>
              <w:bottom w:val="single" w:sz="4" w:space="0" w:color="000000"/>
              <w:right w:val="single" w:sz="4" w:space="0" w:color="000000"/>
            </w:tcBorders>
            <w:shd w:val="clear" w:color="auto" w:fill="auto"/>
            <w:vAlign w:val="center"/>
            <w:hideMark/>
          </w:tcPr>
          <w:p w:rsidR="00344A8A" w:rsidRPr="00344A8A" w:rsidRDefault="00344A8A" w:rsidP="00344A8A">
            <w:pPr>
              <w:widowControl/>
              <w:jc w:val="left"/>
              <w:rPr>
                <w:rFonts w:ascii="Courier New" w:hAnsi="Courier New" w:cs="Courier New"/>
                <w:color w:val="000000"/>
                <w:kern w:val="0"/>
                <w:sz w:val="18"/>
                <w:szCs w:val="18"/>
              </w:rPr>
            </w:pPr>
            <w:r w:rsidRPr="00344A8A">
              <w:rPr>
                <w:rFonts w:ascii="Courier New" w:hAnsi="Courier New" w:cs="Courier New"/>
                <w:color w:val="000000"/>
                <w:kern w:val="0"/>
                <w:sz w:val="18"/>
                <w:szCs w:val="18"/>
              </w:rPr>
              <w:t>财务负责人：郑燕丽</w:t>
            </w:r>
          </w:p>
        </w:tc>
      </w:tr>
      <w:tr w:rsidR="00344A8A" w:rsidRPr="00344A8A" w:rsidTr="00344A8A">
        <w:trPr>
          <w:trHeight w:val="285"/>
        </w:trPr>
        <w:tc>
          <w:tcPr>
            <w:tcW w:w="70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206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178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226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52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168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52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110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52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46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c>
          <w:tcPr>
            <w:tcW w:w="2560" w:type="dxa"/>
            <w:tcBorders>
              <w:top w:val="nil"/>
              <w:left w:val="nil"/>
              <w:bottom w:val="nil"/>
              <w:right w:val="nil"/>
            </w:tcBorders>
            <w:shd w:val="clear" w:color="auto" w:fill="auto"/>
            <w:vAlign w:val="center"/>
            <w:hideMark/>
          </w:tcPr>
          <w:p w:rsidR="00344A8A" w:rsidRPr="00344A8A" w:rsidRDefault="00344A8A" w:rsidP="00344A8A">
            <w:pPr>
              <w:widowControl/>
              <w:jc w:val="left"/>
              <w:rPr>
                <w:rFonts w:ascii="宋体" w:hAnsi="宋体" w:cs="宋体"/>
                <w:kern w:val="0"/>
                <w:sz w:val="18"/>
                <w:szCs w:val="18"/>
              </w:rPr>
            </w:pPr>
          </w:p>
        </w:tc>
      </w:tr>
    </w:tbl>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BB2F55">
      <w:pPr>
        <w:spacing w:line="600" w:lineRule="exact"/>
        <w:outlineLvl w:val="0"/>
        <w:rPr>
          <w:rFonts w:ascii="仿宋_GB2312" w:eastAsia="仿宋_GB2312" w:hAnsi="黑体"/>
          <w:sz w:val="32"/>
          <w:szCs w:val="32"/>
        </w:rPr>
      </w:pPr>
    </w:p>
    <w:p w:rsidR="00BB2F55" w:rsidRDefault="002E0451">
      <w:pPr>
        <w:spacing w:line="600" w:lineRule="exact"/>
        <w:jc w:val="center"/>
        <w:outlineLvl w:val="0"/>
        <w:rPr>
          <w:rStyle w:val="1Char"/>
          <w:rFonts w:ascii="黑体" w:eastAsia="黑体" w:hAnsi="黑体"/>
          <w:b w:val="0"/>
        </w:rPr>
      </w:pPr>
      <w:r>
        <w:rPr>
          <w:rFonts w:ascii="黑体" w:eastAsia="黑体" w:hAnsi="黑体" w:hint="eastAsia"/>
          <w:sz w:val="44"/>
          <w:szCs w:val="44"/>
        </w:rPr>
        <w:t>第</w:t>
      </w:r>
      <w:r>
        <w:rPr>
          <w:rStyle w:val="1Char"/>
          <w:rFonts w:ascii="黑体" w:eastAsia="黑体" w:hAnsi="黑体" w:hint="eastAsia"/>
          <w:b w:val="0"/>
        </w:rPr>
        <w:t>五部分 附表</w:t>
      </w:r>
      <w:bookmarkEnd w:id="57"/>
      <w:bookmarkEnd w:id="59"/>
    </w:p>
    <w:p w:rsidR="00BB2F55" w:rsidRDefault="00BB2F55">
      <w:pPr>
        <w:spacing w:line="600" w:lineRule="exact"/>
        <w:jc w:val="center"/>
        <w:outlineLvl w:val="0"/>
        <w:rPr>
          <w:rFonts w:ascii="仿宋" w:eastAsia="仿宋" w:hAnsi="仿宋"/>
          <w:b/>
          <w:sz w:val="44"/>
          <w:szCs w:val="44"/>
        </w:rPr>
      </w:pPr>
    </w:p>
    <w:p w:rsidR="00BB2F55" w:rsidRDefault="002E0451">
      <w:pPr>
        <w:pStyle w:val="2"/>
        <w:rPr>
          <w:rFonts w:ascii="仿宋" w:eastAsia="仿宋" w:hAnsi="仿宋"/>
        </w:rPr>
      </w:pPr>
      <w:bookmarkStart w:id="61" w:name="_Toc15396619"/>
      <w:r>
        <w:rPr>
          <w:rFonts w:ascii="仿宋" w:eastAsia="仿宋" w:hAnsi="仿宋" w:hint="eastAsia"/>
          <w:b w:val="0"/>
        </w:rPr>
        <w:lastRenderedPageBreak/>
        <w:t>一、收</w:t>
      </w:r>
      <w:r>
        <w:rPr>
          <w:rStyle w:val="2Char"/>
          <w:rFonts w:ascii="仿宋" w:eastAsia="仿宋" w:hAnsi="仿宋" w:hint="eastAsia"/>
        </w:rPr>
        <w:t>入支出决算总表</w:t>
      </w:r>
      <w:bookmarkEnd w:id="61"/>
    </w:p>
    <w:p w:rsidR="00BB2F55" w:rsidRDefault="002E0451">
      <w:pPr>
        <w:pStyle w:val="2"/>
        <w:rPr>
          <w:rFonts w:ascii="仿宋" w:eastAsia="仿宋" w:hAnsi="仿宋"/>
        </w:rPr>
      </w:pPr>
      <w:bookmarkStart w:id="62" w:name="_Toc15396620"/>
      <w:r>
        <w:rPr>
          <w:rFonts w:ascii="仿宋" w:eastAsia="仿宋" w:hAnsi="仿宋" w:hint="eastAsia"/>
          <w:b w:val="0"/>
        </w:rPr>
        <w:t>二、收</w:t>
      </w:r>
      <w:r>
        <w:rPr>
          <w:rStyle w:val="2Char"/>
          <w:rFonts w:ascii="仿宋" w:eastAsia="仿宋" w:hAnsi="仿宋" w:hint="eastAsia"/>
        </w:rPr>
        <w:t>入总表</w:t>
      </w:r>
      <w:bookmarkEnd w:id="62"/>
    </w:p>
    <w:p w:rsidR="00BB2F55" w:rsidRDefault="002E0451">
      <w:pPr>
        <w:pStyle w:val="2"/>
        <w:rPr>
          <w:rFonts w:ascii="仿宋" w:eastAsia="仿宋" w:hAnsi="仿宋"/>
        </w:rPr>
      </w:pPr>
      <w:bookmarkStart w:id="63"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出总表</w:t>
      </w:r>
      <w:bookmarkEnd w:id="63"/>
    </w:p>
    <w:p w:rsidR="00BB2F55" w:rsidRDefault="002E0451">
      <w:pPr>
        <w:pStyle w:val="2"/>
        <w:rPr>
          <w:rFonts w:ascii="仿宋" w:eastAsia="仿宋" w:hAnsi="仿宋"/>
          <w:b w:val="0"/>
        </w:rPr>
      </w:pPr>
      <w:bookmarkStart w:id="64"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4"/>
    </w:p>
    <w:p w:rsidR="00BB2F55" w:rsidRDefault="002E0451">
      <w:pPr>
        <w:pStyle w:val="2"/>
        <w:rP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政拨款支出决算明细表（政府经济分类科目）</w:t>
      </w:r>
      <w:bookmarkEnd w:id="65"/>
    </w:p>
    <w:p w:rsidR="00BB2F55" w:rsidRDefault="002E0451">
      <w:pPr>
        <w:pStyle w:val="2"/>
        <w:rPr>
          <w:rFonts w:ascii="仿宋" w:eastAsia="仿宋" w:hAnsi="仿宋"/>
        </w:rPr>
      </w:pPr>
      <w:bookmarkStart w:id="66" w:name="_Toc15396624"/>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6"/>
    </w:p>
    <w:p w:rsidR="00BB2F55" w:rsidRDefault="002E0451">
      <w:pPr>
        <w:pStyle w:val="2"/>
        <w:rPr>
          <w:rFonts w:ascii="仿宋" w:eastAsia="仿宋" w:hAnsi="仿宋"/>
        </w:rPr>
      </w:pPr>
      <w:bookmarkStart w:id="67"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7"/>
    </w:p>
    <w:p w:rsidR="00BB2F55" w:rsidRDefault="002E0451">
      <w:pPr>
        <w:pStyle w:val="2"/>
        <w:rPr>
          <w:rFonts w:ascii="仿宋" w:eastAsia="仿宋" w:hAnsi="仿宋"/>
        </w:rPr>
      </w:pPr>
      <w:bookmarkStart w:id="68"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8"/>
    </w:p>
    <w:p w:rsidR="00BB2F55" w:rsidRDefault="002E0451">
      <w:pPr>
        <w:pStyle w:val="2"/>
        <w:rPr>
          <w:rFonts w:ascii="仿宋" w:eastAsia="仿宋" w:hAnsi="仿宋"/>
        </w:rPr>
      </w:pPr>
      <w:bookmarkStart w:id="69"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9"/>
    </w:p>
    <w:p w:rsidR="00BB2F55" w:rsidRDefault="002E0451">
      <w:pPr>
        <w:pStyle w:val="2"/>
        <w:rPr>
          <w:rStyle w:val="2Char"/>
          <w:rFonts w:ascii="仿宋" w:eastAsia="仿宋" w:hAnsi="仿宋"/>
        </w:rPr>
      </w:pPr>
      <w:r>
        <w:rPr>
          <w:rStyle w:val="2Char"/>
          <w:rFonts w:ascii="仿宋" w:eastAsia="仿宋" w:hAnsi="仿宋" w:hint="eastAsia"/>
        </w:rPr>
        <w:lastRenderedPageBreak/>
        <w:t>十、政府性基金预算财政拨款收入支出决算表</w:t>
      </w:r>
    </w:p>
    <w:p w:rsidR="00BB2F55" w:rsidRDefault="002E0451">
      <w:pPr>
        <w:pStyle w:val="2"/>
        <w:rPr>
          <w:rStyle w:val="2Char"/>
          <w:rFonts w:ascii="仿宋" w:eastAsia="仿宋" w:hAnsi="仿宋"/>
        </w:rPr>
      </w:pPr>
      <w:r>
        <w:rPr>
          <w:rStyle w:val="2Char"/>
          <w:rFonts w:ascii="仿宋" w:eastAsia="仿宋" w:hAnsi="仿宋" w:hint="eastAsia"/>
        </w:rPr>
        <w:t>十一、国有资本经营预算财政拨款收入支出决算表</w:t>
      </w:r>
    </w:p>
    <w:p w:rsidR="00BB2F55" w:rsidRDefault="002E0451">
      <w:pPr>
        <w:pStyle w:val="2"/>
        <w:rPr>
          <w:rStyle w:val="2Char"/>
          <w:rFonts w:ascii="仿宋" w:eastAsia="仿宋" w:hAnsi="仿宋"/>
        </w:rPr>
      </w:pPr>
      <w:r>
        <w:rPr>
          <w:rStyle w:val="2Char"/>
          <w:rFonts w:ascii="仿宋" w:eastAsia="仿宋" w:hAnsi="仿宋" w:hint="eastAsia"/>
        </w:rPr>
        <w:t>十二、</w:t>
      </w:r>
      <w:hyperlink w:anchor="_Toc15396630" w:history="1">
        <w:r>
          <w:rPr>
            <w:rStyle w:val="2Char"/>
            <w:rFonts w:ascii="仿宋" w:eastAsia="仿宋" w:hAnsi="仿宋" w:hint="eastAsia"/>
          </w:rPr>
          <w:t>国有资本经营预算财政拨款支出决算表</w:t>
        </w:r>
      </w:hyperlink>
    </w:p>
    <w:p w:rsidR="00BB2F55" w:rsidRDefault="002E0451">
      <w:pPr>
        <w:pStyle w:val="2"/>
        <w:rPr>
          <w:rStyle w:val="2Char"/>
          <w:rFonts w:ascii="仿宋" w:eastAsia="仿宋" w:hAnsi="仿宋"/>
          <w:bCs/>
        </w:rPr>
      </w:pPr>
      <w:r>
        <w:rPr>
          <w:rStyle w:val="2Char"/>
          <w:rFonts w:ascii="仿宋" w:eastAsia="仿宋" w:hAnsi="仿宋" w:hint="eastAsia"/>
          <w:bCs/>
        </w:rPr>
        <w:t>十三、</w:t>
      </w:r>
      <w:hyperlink w:anchor="_Toc15396631" w:history="1">
        <w:r>
          <w:rPr>
            <w:rStyle w:val="2Char"/>
            <w:rFonts w:ascii="仿宋" w:eastAsia="仿宋" w:hAnsi="仿宋" w:hint="eastAsia"/>
            <w:bCs/>
          </w:rPr>
          <w:t>财政拨款“三公”经费支出决算表</w:t>
        </w:r>
        <w:r>
          <w:rPr>
            <w:rStyle w:val="2Char"/>
            <w:rFonts w:ascii="仿宋" w:eastAsia="仿宋" w:hAnsi="仿宋"/>
            <w:bCs/>
          </w:rPr>
          <w:tab/>
        </w:r>
      </w:hyperlink>
    </w:p>
    <w:sectPr w:rsidR="00BB2F55" w:rsidSect="00344A8A">
      <w:headerReference w:type="default" r:id="rId14"/>
      <w:footerReference w:type="default" r:id="rId15"/>
      <w:pgSz w:w="16838" w:h="11906" w:orient="landscape"/>
      <w:pgMar w:top="1800" w:right="1440" w:bottom="1800"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8B7" w:rsidRDefault="00DF58B7" w:rsidP="00BB2F55">
      <w:r>
        <w:separator/>
      </w:r>
    </w:p>
  </w:endnote>
  <w:endnote w:type="continuationSeparator" w:id="1">
    <w:p w:rsidR="00DF58B7" w:rsidRDefault="00DF58B7" w:rsidP="00BB2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5F7350" w:rsidRDefault="005F7350">
        <w:pPr>
          <w:pStyle w:val="a5"/>
          <w:jc w:val="center"/>
        </w:pPr>
        <w:r w:rsidRPr="00CB7DCA">
          <w:fldChar w:fldCharType="begin"/>
        </w:r>
        <w:r>
          <w:instrText>PAGE   \* MERGEFORMAT</w:instrText>
        </w:r>
        <w:r w:rsidRPr="00CB7DCA">
          <w:fldChar w:fldCharType="separate"/>
        </w:r>
        <w:r w:rsidR="00344A8A" w:rsidRPr="00344A8A">
          <w:rPr>
            <w:noProof/>
            <w:lang w:val="zh-CN"/>
          </w:rPr>
          <w:t>46</w:t>
        </w:r>
        <w:r>
          <w:rPr>
            <w:lang w:val="zh-CN"/>
          </w:rPr>
          <w:fldChar w:fldCharType="end"/>
        </w:r>
      </w:p>
    </w:sdtContent>
  </w:sdt>
  <w:p w:rsidR="005F7350" w:rsidRDefault="005F73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8B7" w:rsidRDefault="00DF58B7" w:rsidP="00BB2F55">
      <w:r>
        <w:separator/>
      </w:r>
    </w:p>
  </w:footnote>
  <w:footnote w:type="continuationSeparator" w:id="1">
    <w:p w:rsidR="00DF58B7" w:rsidRDefault="00DF58B7" w:rsidP="00BB2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50" w:rsidRDefault="005F735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6B162A"/>
    <w:multiLevelType w:val="singleLevel"/>
    <w:tmpl w:val="A76B162A"/>
    <w:lvl w:ilvl="0">
      <w:start w:val="2"/>
      <w:numFmt w:val="chineseCounting"/>
      <w:suff w:val="nothing"/>
      <w:lvlText w:val="（%1）"/>
      <w:lvlJc w:val="left"/>
      <w:rPr>
        <w:rFonts w:hint="eastAsia"/>
      </w:rPr>
    </w:lvl>
  </w:abstractNum>
  <w:abstractNum w:abstractNumId="1">
    <w:nsid w:val="CA56CA86"/>
    <w:multiLevelType w:val="singleLevel"/>
    <w:tmpl w:val="CA56CA86"/>
    <w:lvl w:ilvl="0">
      <w:start w:val="2"/>
      <w:numFmt w:val="decimal"/>
      <w:suff w:val="space"/>
      <w:lvlText w:val="%1."/>
      <w:lvlJc w:val="left"/>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F13D8F81"/>
    <w:multiLevelType w:val="singleLevel"/>
    <w:tmpl w:val="F13D8F81"/>
    <w:lvl w:ilvl="0">
      <w:start w:val="2"/>
      <w:numFmt w:val="decimal"/>
      <w:suff w:val="nothing"/>
      <w:lvlText w:val="%1．"/>
      <w:lvlJc w:val="left"/>
    </w:lvl>
  </w:abstractNum>
  <w:num w:numId="1">
    <w:abstractNumId w:val="2"/>
  </w:num>
  <w:num w:numId="2">
    <w:abstractNumId w:val="3"/>
  </w:num>
  <w:num w:numId="3">
    <w:abstractNumId w:val="1"/>
    <w:lvlOverride w:ilvl="0">
      <w:startOverride w:val="2"/>
    </w:lvlOverride>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5979"/>
    <w:rsid w:val="00007230"/>
    <w:rsid w:val="00014953"/>
    <w:rsid w:val="000222C6"/>
    <w:rsid w:val="0002549F"/>
    <w:rsid w:val="00030F7D"/>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539A"/>
    <w:rsid w:val="000E6613"/>
    <w:rsid w:val="000E7119"/>
    <w:rsid w:val="00114E9B"/>
    <w:rsid w:val="00115663"/>
    <w:rsid w:val="001357D7"/>
    <w:rsid w:val="00137ABE"/>
    <w:rsid w:val="00146A83"/>
    <w:rsid w:val="0014729F"/>
    <w:rsid w:val="00150320"/>
    <w:rsid w:val="00150BC7"/>
    <w:rsid w:val="00151FDD"/>
    <w:rsid w:val="00157BAB"/>
    <w:rsid w:val="0016138A"/>
    <w:rsid w:val="00161EAC"/>
    <w:rsid w:val="001654D1"/>
    <w:rsid w:val="001721A3"/>
    <w:rsid w:val="0017531E"/>
    <w:rsid w:val="0018106D"/>
    <w:rsid w:val="00181245"/>
    <w:rsid w:val="001877A7"/>
    <w:rsid w:val="00191536"/>
    <w:rsid w:val="0019581D"/>
    <w:rsid w:val="00196687"/>
    <w:rsid w:val="0019795A"/>
    <w:rsid w:val="001B0AB7"/>
    <w:rsid w:val="001B252B"/>
    <w:rsid w:val="001C0962"/>
    <w:rsid w:val="001D3239"/>
    <w:rsid w:val="001D60B6"/>
    <w:rsid w:val="001D7531"/>
    <w:rsid w:val="001E5B14"/>
    <w:rsid w:val="001E737D"/>
    <w:rsid w:val="001F0592"/>
    <w:rsid w:val="001F7506"/>
    <w:rsid w:val="002006CD"/>
    <w:rsid w:val="00201972"/>
    <w:rsid w:val="00202B36"/>
    <w:rsid w:val="00204B7A"/>
    <w:rsid w:val="00205388"/>
    <w:rsid w:val="0021101A"/>
    <w:rsid w:val="00213DB9"/>
    <w:rsid w:val="00215A5C"/>
    <w:rsid w:val="00220536"/>
    <w:rsid w:val="00235384"/>
    <w:rsid w:val="00235629"/>
    <w:rsid w:val="00237DEA"/>
    <w:rsid w:val="00260C38"/>
    <w:rsid w:val="002616C0"/>
    <w:rsid w:val="00261EC6"/>
    <w:rsid w:val="002646C7"/>
    <w:rsid w:val="002662AA"/>
    <w:rsid w:val="002704EC"/>
    <w:rsid w:val="00280496"/>
    <w:rsid w:val="00287711"/>
    <w:rsid w:val="00295495"/>
    <w:rsid w:val="002A2892"/>
    <w:rsid w:val="002B2613"/>
    <w:rsid w:val="002E0451"/>
    <w:rsid w:val="002E3C28"/>
    <w:rsid w:val="002F1818"/>
    <w:rsid w:val="002F567B"/>
    <w:rsid w:val="002F57EB"/>
    <w:rsid w:val="00312881"/>
    <w:rsid w:val="003216A9"/>
    <w:rsid w:val="0033164E"/>
    <w:rsid w:val="00344A8A"/>
    <w:rsid w:val="003648C3"/>
    <w:rsid w:val="0037013F"/>
    <w:rsid w:val="003702F4"/>
    <w:rsid w:val="00372A58"/>
    <w:rsid w:val="00380C92"/>
    <w:rsid w:val="003875C3"/>
    <w:rsid w:val="003A484F"/>
    <w:rsid w:val="003B0BE0"/>
    <w:rsid w:val="003B0C1B"/>
    <w:rsid w:val="003B12A3"/>
    <w:rsid w:val="003B2D20"/>
    <w:rsid w:val="003B3C2F"/>
    <w:rsid w:val="003B578B"/>
    <w:rsid w:val="003B688C"/>
    <w:rsid w:val="003C0291"/>
    <w:rsid w:val="003C39AE"/>
    <w:rsid w:val="003C7B60"/>
    <w:rsid w:val="003D063A"/>
    <w:rsid w:val="003D1FB2"/>
    <w:rsid w:val="003D66DA"/>
    <w:rsid w:val="003E1310"/>
    <w:rsid w:val="003E13C0"/>
    <w:rsid w:val="003E6F55"/>
    <w:rsid w:val="003F141E"/>
    <w:rsid w:val="00406254"/>
    <w:rsid w:val="004223DE"/>
    <w:rsid w:val="00432C25"/>
    <w:rsid w:val="00434489"/>
    <w:rsid w:val="004352BD"/>
    <w:rsid w:val="004360E5"/>
    <w:rsid w:val="00437085"/>
    <w:rsid w:val="00443880"/>
    <w:rsid w:val="004464F4"/>
    <w:rsid w:val="00453586"/>
    <w:rsid w:val="004550AC"/>
    <w:rsid w:val="00463361"/>
    <w:rsid w:val="00466855"/>
    <w:rsid w:val="00471401"/>
    <w:rsid w:val="00473F31"/>
    <w:rsid w:val="00474CA7"/>
    <w:rsid w:val="0048263A"/>
    <w:rsid w:val="0048640D"/>
    <w:rsid w:val="00487E5D"/>
    <w:rsid w:val="004920AC"/>
    <w:rsid w:val="004A711F"/>
    <w:rsid w:val="004B199D"/>
    <w:rsid w:val="004B4690"/>
    <w:rsid w:val="004B7DE0"/>
    <w:rsid w:val="004C1A62"/>
    <w:rsid w:val="004C301C"/>
    <w:rsid w:val="004E0A2D"/>
    <w:rsid w:val="004E206B"/>
    <w:rsid w:val="004E6DF7"/>
    <w:rsid w:val="004F0FBD"/>
    <w:rsid w:val="004F3E7A"/>
    <w:rsid w:val="004F4DF5"/>
    <w:rsid w:val="00502440"/>
    <w:rsid w:val="00505A47"/>
    <w:rsid w:val="00512FDA"/>
    <w:rsid w:val="00520DA0"/>
    <w:rsid w:val="00541039"/>
    <w:rsid w:val="00550914"/>
    <w:rsid w:val="00564125"/>
    <w:rsid w:val="005664BB"/>
    <w:rsid w:val="005713D3"/>
    <w:rsid w:val="0057481D"/>
    <w:rsid w:val="00574D76"/>
    <w:rsid w:val="00581172"/>
    <w:rsid w:val="0058486E"/>
    <w:rsid w:val="00592697"/>
    <w:rsid w:val="005A1CA2"/>
    <w:rsid w:val="005B4BC4"/>
    <w:rsid w:val="005C33D6"/>
    <w:rsid w:val="005C4A42"/>
    <w:rsid w:val="005D1C8B"/>
    <w:rsid w:val="005D4F9A"/>
    <w:rsid w:val="005D5CED"/>
    <w:rsid w:val="005E1C3E"/>
    <w:rsid w:val="005E72FA"/>
    <w:rsid w:val="005E76BB"/>
    <w:rsid w:val="005F1A4C"/>
    <w:rsid w:val="005F7350"/>
    <w:rsid w:val="00605688"/>
    <w:rsid w:val="006070AF"/>
    <w:rsid w:val="00607E6C"/>
    <w:rsid w:val="006101B1"/>
    <w:rsid w:val="00614E44"/>
    <w:rsid w:val="00622830"/>
    <w:rsid w:val="00630AEF"/>
    <w:rsid w:val="006325F8"/>
    <w:rsid w:val="00634C9A"/>
    <w:rsid w:val="00635EE5"/>
    <w:rsid w:val="006440E4"/>
    <w:rsid w:val="0066343B"/>
    <w:rsid w:val="00664777"/>
    <w:rsid w:val="00667EE3"/>
    <w:rsid w:val="0067263D"/>
    <w:rsid w:val="006748A4"/>
    <w:rsid w:val="00683E73"/>
    <w:rsid w:val="00685701"/>
    <w:rsid w:val="00694AB8"/>
    <w:rsid w:val="006A072C"/>
    <w:rsid w:val="006A3141"/>
    <w:rsid w:val="006A4702"/>
    <w:rsid w:val="006A5E34"/>
    <w:rsid w:val="006A7497"/>
    <w:rsid w:val="006B2422"/>
    <w:rsid w:val="006B2B9A"/>
    <w:rsid w:val="006C07C4"/>
    <w:rsid w:val="006C1937"/>
    <w:rsid w:val="006C55F0"/>
    <w:rsid w:val="006F020C"/>
    <w:rsid w:val="00700926"/>
    <w:rsid w:val="00706A7F"/>
    <w:rsid w:val="00710E03"/>
    <w:rsid w:val="007127B7"/>
    <w:rsid w:val="007242C2"/>
    <w:rsid w:val="0072456C"/>
    <w:rsid w:val="00726CBD"/>
    <w:rsid w:val="00737A2D"/>
    <w:rsid w:val="00740437"/>
    <w:rsid w:val="007416B6"/>
    <w:rsid w:val="00746F48"/>
    <w:rsid w:val="0074751F"/>
    <w:rsid w:val="0075404D"/>
    <w:rsid w:val="0076182A"/>
    <w:rsid w:val="00767B7E"/>
    <w:rsid w:val="007770C3"/>
    <w:rsid w:val="00784D24"/>
    <w:rsid w:val="00785FBA"/>
    <w:rsid w:val="00786E4A"/>
    <w:rsid w:val="007875EB"/>
    <w:rsid w:val="0079426B"/>
    <w:rsid w:val="007A1BE9"/>
    <w:rsid w:val="007A59A1"/>
    <w:rsid w:val="007B1736"/>
    <w:rsid w:val="007C29AC"/>
    <w:rsid w:val="007C6212"/>
    <w:rsid w:val="007D1ECE"/>
    <w:rsid w:val="007D312A"/>
    <w:rsid w:val="007D3F19"/>
    <w:rsid w:val="007E23B0"/>
    <w:rsid w:val="007F1991"/>
    <w:rsid w:val="007F2C2F"/>
    <w:rsid w:val="007F55FC"/>
    <w:rsid w:val="007F5665"/>
    <w:rsid w:val="00800112"/>
    <w:rsid w:val="008008B8"/>
    <w:rsid w:val="00815047"/>
    <w:rsid w:val="008253BB"/>
    <w:rsid w:val="0083051B"/>
    <w:rsid w:val="00831951"/>
    <w:rsid w:val="008345FB"/>
    <w:rsid w:val="0083706E"/>
    <w:rsid w:val="008423A5"/>
    <w:rsid w:val="00850625"/>
    <w:rsid w:val="0085250C"/>
    <w:rsid w:val="00853718"/>
    <w:rsid w:val="00855221"/>
    <w:rsid w:val="00860645"/>
    <w:rsid w:val="00865913"/>
    <w:rsid w:val="00870651"/>
    <w:rsid w:val="00871F71"/>
    <w:rsid w:val="00883D89"/>
    <w:rsid w:val="00885AF4"/>
    <w:rsid w:val="00892476"/>
    <w:rsid w:val="008939CD"/>
    <w:rsid w:val="008A526F"/>
    <w:rsid w:val="008B768C"/>
    <w:rsid w:val="008C4DB1"/>
    <w:rsid w:val="008C4EAF"/>
    <w:rsid w:val="008C5176"/>
    <w:rsid w:val="008C7FD0"/>
    <w:rsid w:val="008E1DE7"/>
    <w:rsid w:val="008E707C"/>
    <w:rsid w:val="00900B08"/>
    <w:rsid w:val="00902155"/>
    <w:rsid w:val="00902FA3"/>
    <w:rsid w:val="00904B47"/>
    <w:rsid w:val="00904EA5"/>
    <w:rsid w:val="009168C3"/>
    <w:rsid w:val="00923564"/>
    <w:rsid w:val="0092392E"/>
    <w:rsid w:val="0092654D"/>
    <w:rsid w:val="009315F9"/>
    <w:rsid w:val="00932832"/>
    <w:rsid w:val="00946945"/>
    <w:rsid w:val="00951248"/>
    <w:rsid w:val="0095152F"/>
    <w:rsid w:val="009517A3"/>
    <w:rsid w:val="00954C49"/>
    <w:rsid w:val="00955811"/>
    <w:rsid w:val="009601E8"/>
    <w:rsid w:val="00965E5C"/>
    <w:rsid w:val="0097099F"/>
    <w:rsid w:val="00971997"/>
    <w:rsid w:val="00971FFC"/>
    <w:rsid w:val="00973486"/>
    <w:rsid w:val="00973561"/>
    <w:rsid w:val="0098660A"/>
    <w:rsid w:val="009931C3"/>
    <w:rsid w:val="009B2C43"/>
    <w:rsid w:val="009B4EAE"/>
    <w:rsid w:val="009B7573"/>
    <w:rsid w:val="009C22F4"/>
    <w:rsid w:val="009C2E98"/>
    <w:rsid w:val="009C7337"/>
    <w:rsid w:val="009D3447"/>
    <w:rsid w:val="009D4711"/>
    <w:rsid w:val="009E392C"/>
    <w:rsid w:val="009F1185"/>
    <w:rsid w:val="009F18CD"/>
    <w:rsid w:val="009F2207"/>
    <w:rsid w:val="009F2A13"/>
    <w:rsid w:val="00A04EB0"/>
    <w:rsid w:val="00A0539B"/>
    <w:rsid w:val="00A13CC1"/>
    <w:rsid w:val="00A16847"/>
    <w:rsid w:val="00A20794"/>
    <w:rsid w:val="00A237D8"/>
    <w:rsid w:val="00A268C4"/>
    <w:rsid w:val="00A307CD"/>
    <w:rsid w:val="00A35C1A"/>
    <w:rsid w:val="00A37ADC"/>
    <w:rsid w:val="00A4026B"/>
    <w:rsid w:val="00A40A00"/>
    <w:rsid w:val="00A4142F"/>
    <w:rsid w:val="00A46F23"/>
    <w:rsid w:val="00A52514"/>
    <w:rsid w:val="00A56DF2"/>
    <w:rsid w:val="00A67AB5"/>
    <w:rsid w:val="00A71CC3"/>
    <w:rsid w:val="00A74ACD"/>
    <w:rsid w:val="00A91760"/>
    <w:rsid w:val="00A93B00"/>
    <w:rsid w:val="00A93C21"/>
    <w:rsid w:val="00A9725A"/>
    <w:rsid w:val="00AC3C6A"/>
    <w:rsid w:val="00AC4016"/>
    <w:rsid w:val="00AC56A9"/>
    <w:rsid w:val="00AC7A0C"/>
    <w:rsid w:val="00AD53B7"/>
    <w:rsid w:val="00AD5620"/>
    <w:rsid w:val="00AD7C1B"/>
    <w:rsid w:val="00AE16BA"/>
    <w:rsid w:val="00AE1EBE"/>
    <w:rsid w:val="00AE5CA0"/>
    <w:rsid w:val="00AE77AD"/>
    <w:rsid w:val="00AF1ECE"/>
    <w:rsid w:val="00B03C9D"/>
    <w:rsid w:val="00B060AE"/>
    <w:rsid w:val="00B10517"/>
    <w:rsid w:val="00B14E76"/>
    <w:rsid w:val="00B161B8"/>
    <w:rsid w:val="00B2048C"/>
    <w:rsid w:val="00B249A5"/>
    <w:rsid w:val="00B271D3"/>
    <w:rsid w:val="00B310B9"/>
    <w:rsid w:val="00B35F3F"/>
    <w:rsid w:val="00B35F51"/>
    <w:rsid w:val="00B36CBB"/>
    <w:rsid w:val="00B425E0"/>
    <w:rsid w:val="00B440AA"/>
    <w:rsid w:val="00B44B70"/>
    <w:rsid w:val="00B53C56"/>
    <w:rsid w:val="00B77EA6"/>
    <w:rsid w:val="00B81598"/>
    <w:rsid w:val="00B841F1"/>
    <w:rsid w:val="00B944D6"/>
    <w:rsid w:val="00BA4D7B"/>
    <w:rsid w:val="00BB2F55"/>
    <w:rsid w:val="00BB4DF0"/>
    <w:rsid w:val="00BC289F"/>
    <w:rsid w:val="00BC32D6"/>
    <w:rsid w:val="00BC5361"/>
    <w:rsid w:val="00BC5460"/>
    <w:rsid w:val="00BC6B50"/>
    <w:rsid w:val="00BD0E25"/>
    <w:rsid w:val="00BD3927"/>
    <w:rsid w:val="00BF570E"/>
    <w:rsid w:val="00BF5BD6"/>
    <w:rsid w:val="00C0089D"/>
    <w:rsid w:val="00C03E31"/>
    <w:rsid w:val="00C10541"/>
    <w:rsid w:val="00C13C55"/>
    <w:rsid w:val="00C222B2"/>
    <w:rsid w:val="00C25F07"/>
    <w:rsid w:val="00C331EA"/>
    <w:rsid w:val="00C33E72"/>
    <w:rsid w:val="00C354B2"/>
    <w:rsid w:val="00C35554"/>
    <w:rsid w:val="00C42709"/>
    <w:rsid w:val="00C46F62"/>
    <w:rsid w:val="00C50886"/>
    <w:rsid w:val="00C52D35"/>
    <w:rsid w:val="00C533CC"/>
    <w:rsid w:val="00C5554F"/>
    <w:rsid w:val="00C5751C"/>
    <w:rsid w:val="00C617D6"/>
    <w:rsid w:val="00C61BFC"/>
    <w:rsid w:val="00C62B85"/>
    <w:rsid w:val="00C65438"/>
    <w:rsid w:val="00C7558F"/>
    <w:rsid w:val="00C75CCE"/>
    <w:rsid w:val="00C84C6D"/>
    <w:rsid w:val="00C91CBB"/>
    <w:rsid w:val="00CA2133"/>
    <w:rsid w:val="00CB15B8"/>
    <w:rsid w:val="00CB7DCA"/>
    <w:rsid w:val="00CC09B6"/>
    <w:rsid w:val="00CC2450"/>
    <w:rsid w:val="00CC666F"/>
    <w:rsid w:val="00CD1E3F"/>
    <w:rsid w:val="00CD2FA5"/>
    <w:rsid w:val="00CE44F6"/>
    <w:rsid w:val="00CE49DA"/>
    <w:rsid w:val="00CE7B61"/>
    <w:rsid w:val="00CF3110"/>
    <w:rsid w:val="00D00095"/>
    <w:rsid w:val="00D10B21"/>
    <w:rsid w:val="00D17083"/>
    <w:rsid w:val="00D20620"/>
    <w:rsid w:val="00D26091"/>
    <w:rsid w:val="00D31145"/>
    <w:rsid w:val="00D34E7C"/>
    <w:rsid w:val="00D35489"/>
    <w:rsid w:val="00D5097F"/>
    <w:rsid w:val="00D5119D"/>
    <w:rsid w:val="00D51276"/>
    <w:rsid w:val="00D7035F"/>
    <w:rsid w:val="00D94853"/>
    <w:rsid w:val="00DA18B1"/>
    <w:rsid w:val="00DA65AC"/>
    <w:rsid w:val="00DB0F4B"/>
    <w:rsid w:val="00DB1913"/>
    <w:rsid w:val="00DB4E29"/>
    <w:rsid w:val="00DC1523"/>
    <w:rsid w:val="00DC410D"/>
    <w:rsid w:val="00DC4761"/>
    <w:rsid w:val="00DC68CA"/>
    <w:rsid w:val="00DC7CBA"/>
    <w:rsid w:val="00DD2367"/>
    <w:rsid w:val="00DD3833"/>
    <w:rsid w:val="00DD73B7"/>
    <w:rsid w:val="00DE6C3F"/>
    <w:rsid w:val="00DF0DB6"/>
    <w:rsid w:val="00DF28BC"/>
    <w:rsid w:val="00DF34B9"/>
    <w:rsid w:val="00DF58B7"/>
    <w:rsid w:val="00E01053"/>
    <w:rsid w:val="00E07ACF"/>
    <w:rsid w:val="00E24180"/>
    <w:rsid w:val="00E27A54"/>
    <w:rsid w:val="00E331A1"/>
    <w:rsid w:val="00E33202"/>
    <w:rsid w:val="00E336A9"/>
    <w:rsid w:val="00E40C05"/>
    <w:rsid w:val="00E455F8"/>
    <w:rsid w:val="00E50624"/>
    <w:rsid w:val="00E568DF"/>
    <w:rsid w:val="00E64269"/>
    <w:rsid w:val="00E67AF7"/>
    <w:rsid w:val="00E82267"/>
    <w:rsid w:val="00E90D58"/>
    <w:rsid w:val="00E95987"/>
    <w:rsid w:val="00EA010F"/>
    <w:rsid w:val="00EB2E4A"/>
    <w:rsid w:val="00EC33E2"/>
    <w:rsid w:val="00ED1B63"/>
    <w:rsid w:val="00ED3C1F"/>
    <w:rsid w:val="00ED4085"/>
    <w:rsid w:val="00ED420E"/>
    <w:rsid w:val="00EE2F57"/>
    <w:rsid w:val="00EE57E7"/>
    <w:rsid w:val="00EE6EDD"/>
    <w:rsid w:val="00EF3764"/>
    <w:rsid w:val="00EF4C34"/>
    <w:rsid w:val="00EF77C6"/>
    <w:rsid w:val="00F031B8"/>
    <w:rsid w:val="00F05438"/>
    <w:rsid w:val="00F07140"/>
    <w:rsid w:val="00F1361C"/>
    <w:rsid w:val="00F160C7"/>
    <w:rsid w:val="00F24E51"/>
    <w:rsid w:val="00F30A6E"/>
    <w:rsid w:val="00F36D8F"/>
    <w:rsid w:val="00F40484"/>
    <w:rsid w:val="00F417B1"/>
    <w:rsid w:val="00F41C46"/>
    <w:rsid w:val="00F50E15"/>
    <w:rsid w:val="00F602DF"/>
    <w:rsid w:val="00F60CF8"/>
    <w:rsid w:val="00F75925"/>
    <w:rsid w:val="00F81FD9"/>
    <w:rsid w:val="00F841AA"/>
    <w:rsid w:val="00FA23E8"/>
    <w:rsid w:val="00FA47D0"/>
    <w:rsid w:val="00FD3CC1"/>
    <w:rsid w:val="00FF1E02"/>
    <w:rsid w:val="00FF30B4"/>
    <w:rsid w:val="10C055FF"/>
    <w:rsid w:val="16BB723D"/>
    <w:rsid w:val="240371BF"/>
    <w:rsid w:val="29FD04D3"/>
    <w:rsid w:val="312369C7"/>
    <w:rsid w:val="319F7F4E"/>
    <w:rsid w:val="51B363F1"/>
    <w:rsid w:val="61875F6C"/>
    <w:rsid w:val="7A9458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5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B2F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B2F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2F5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BB2F55"/>
    <w:pPr>
      <w:spacing w:beforeLines="30"/>
    </w:pPr>
    <w:rPr>
      <w:rFonts w:ascii="仿宋_GB2312" w:eastAsia="仿宋_GB2312"/>
      <w:kern w:val="0"/>
      <w:sz w:val="30"/>
    </w:rPr>
  </w:style>
  <w:style w:type="paragraph" w:styleId="30">
    <w:name w:val="toc 3"/>
    <w:basedOn w:val="a"/>
    <w:next w:val="a"/>
    <w:uiPriority w:val="39"/>
    <w:unhideWhenUsed/>
    <w:qFormat/>
    <w:rsid w:val="00BB2F55"/>
    <w:pPr>
      <w:tabs>
        <w:tab w:val="right" w:leader="dot" w:pos="8296"/>
      </w:tabs>
      <w:ind w:leftChars="400" w:left="840"/>
    </w:pPr>
  </w:style>
  <w:style w:type="paragraph" w:styleId="a4">
    <w:name w:val="Balloon Text"/>
    <w:basedOn w:val="a"/>
    <w:link w:val="Char0"/>
    <w:uiPriority w:val="99"/>
    <w:unhideWhenUsed/>
    <w:qFormat/>
    <w:rsid w:val="00BB2F55"/>
    <w:rPr>
      <w:sz w:val="18"/>
      <w:szCs w:val="18"/>
    </w:rPr>
  </w:style>
  <w:style w:type="paragraph" w:styleId="a5">
    <w:name w:val="footer"/>
    <w:basedOn w:val="a"/>
    <w:link w:val="Char1"/>
    <w:uiPriority w:val="99"/>
    <w:qFormat/>
    <w:rsid w:val="00BB2F5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BB2F5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B2F5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B2F55"/>
    <w:pPr>
      <w:tabs>
        <w:tab w:val="right" w:leader="dot" w:pos="8296"/>
      </w:tabs>
      <w:ind w:leftChars="200" w:left="420"/>
    </w:pPr>
  </w:style>
  <w:style w:type="paragraph" w:styleId="a7">
    <w:name w:val="Normal (Web)"/>
    <w:basedOn w:val="a"/>
    <w:uiPriority w:val="99"/>
    <w:qFormat/>
    <w:rsid w:val="00BB2F55"/>
    <w:pPr>
      <w:jc w:val="left"/>
    </w:pPr>
    <w:rPr>
      <w:rFonts w:ascii="Calibri" w:hAnsi="Calibri"/>
      <w:kern w:val="0"/>
      <w:sz w:val="24"/>
    </w:rPr>
  </w:style>
  <w:style w:type="character" w:styleId="a8">
    <w:name w:val="Strong"/>
    <w:basedOn w:val="a0"/>
    <w:uiPriority w:val="22"/>
    <w:qFormat/>
    <w:rsid w:val="00BB2F55"/>
    <w:rPr>
      <w:b/>
    </w:rPr>
  </w:style>
  <w:style w:type="character" w:styleId="a9">
    <w:name w:val="Hyperlink"/>
    <w:basedOn w:val="a0"/>
    <w:uiPriority w:val="99"/>
    <w:unhideWhenUsed/>
    <w:qFormat/>
    <w:rsid w:val="00BB2F55"/>
    <w:rPr>
      <w:color w:val="0000FF" w:themeColor="hyperlink"/>
      <w:u w:val="single"/>
    </w:rPr>
  </w:style>
  <w:style w:type="character" w:customStyle="1" w:styleId="HeaderChar">
    <w:name w:val="Header Char"/>
    <w:basedOn w:val="a0"/>
    <w:uiPriority w:val="99"/>
    <w:semiHidden/>
    <w:qFormat/>
    <w:rsid w:val="00BB2F55"/>
    <w:rPr>
      <w:rFonts w:ascii="Times New Roman" w:hAnsi="Times New Roman"/>
      <w:sz w:val="18"/>
      <w:szCs w:val="18"/>
    </w:rPr>
  </w:style>
  <w:style w:type="character" w:customStyle="1" w:styleId="Char2">
    <w:name w:val="页眉 Char"/>
    <w:link w:val="a6"/>
    <w:uiPriority w:val="99"/>
    <w:semiHidden/>
    <w:qFormat/>
    <w:locked/>
    <w:rsid w:val="00BB2F55"/>
    <w:rPr>
      <w:sz w:val="18"/>
    </w:rPr>
  </w:style>
  <w:style w:type="character" w:customStyle="1" w:styleId="FooterChar">
    <w:name w:val="Footer Char"/>
    <w:basedOn w:val="a0"/>
    <w:uiPriority w:val="99"/>
    <w:semiHidden/>
    <w:qFormat/>
    <w:rsid w:val="00BB2F55"/>
    <w:rPr>
      <w:rFonts w:ascii="Times New Roman" w:hAnsi="Times New Roman"/>
      <w:sz w:val="18"/>
      <w:szCs w:val="18"/>
    </w:rPr>
  </w:style>
  <w:style w:type="character" w:customStyle="1" w:styleId="Char1">
    <w:name w:val="页脚 Char"/>
    <w:link w:val="a5"/>
    <w:uiPriority w:val="99"/>
    <w:qFormat/>
    <w:locked/>
    <w:rsid w:val="00BB2F55"/>
    <w:rPr>
      <w:sz w:val="18"/>
    </w:rPr>
  </w:style>
  <w:style w:type="character" w:customStyle="1" w:styleId="BodyTextChar">
    <w:name w:val="Body Text Char"/>
    <w:basedOn w:val="a0"/>
    <w:uiPriority w:val="99"/>
    <w:semiHidden/>
    <w:qFormat/>
    <w:rsid w:val="00BB2F55"/>
    <w:rPr>
      <w:rFonts w:ascii="Times New Roman" w:hAnsi="Times New Roman"/>
      <w:szCs w:val="24"/>
    </w:rPr>
  </w:style>
  <w:style w:type="character" w:customStyle="1" w:styleId="Char">
    <w:name w:val="正文文本 Char"/>
    <w:link w:val="a3"/>
    <w:uiPriority w:val="99"/>
    <w:qFormat/>
    <w:locked/>
    <w:rsid w:val="00BB2F55"/>
    <w:rPr>
      <w:rFonts w:ascii="仿宋_GB2312" w:eastAsia="仿宋_GB2312" w:hAnsi="Times New Roman"/>
      <w:sz w:val="24"/>
    </w:rPr>
  </w:style>
  <w:style w:type="paragraph" w:customStyle="1" w:styleId="Default">
    <w:name w:val="Default"/>
    <w:qFormat/>
    <w:rsid w:val="00BB2F55"/>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BB2F55"/>
    <w:pPr>
      <w:ind w:firstLineChars="200" w:firstLine="420"/>
    </w:pPr>
  </w:style>
  <w:style w:type="character" w:customStyle="1" w:styleId="1Char">
    <w:name w:val="标题 1 Char"/>
    <w:basedOn w:val="a0"/>
    <w:link w:val="1"/>
    <w:uiPriority w:val="9"/>
    <w:rsid w:val="00BB2F55"/>
    <w:rPr>
      <w:rFonts w:ascii="Times New Roman" w:hAnsi="Times New Roman"/>
      <w:b/>
      <w:bCs/>
      <w:kern w:val="44"/>
      <w:sz w:val="44"/>
      <w:szCs w:val="44"/>
    </w:rPr>
  </w:style>
  <w:style w:type="character" w:customStyle="1" w:styleId="2Char">
    <w:name w:val="标题 2 Char"/>
    <w:basedOn w:val="a0"/>
    <w:link w:val="2"/>
    <w:uiPriority w:val="9"/>
    <w:rsid w:val="00BB2F5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B2F5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BB2F55"/>
    <w:rPr>
      <w:rFonts w:ascii="Times New Roman" w:hAnsi="Times New Roman"/>
      <w:kern w:val="2"/>
      <w:sz w:val="18"/>
      <w:szCs w:val="18"/>
    </w:rPr>
  </w:style>
  <w:style w:type="character" w:customStyle="1" w:styleId="3Char">
    <w:name w:val="标题 3 Char"/>
    <w:basedOn w:val="a0"/>
    <w:link w:val="3"/>
    <w:uiPriority w:val="9"/>
    <w:qFormat/>
    <w:rsid w:val="00BB2F55"/>
    <w:rPr>
      <w:rFonts w:ascii="Times New Roman" w:hAnsi="Times New Roman"/>
      <w:b/>
      <w:bCs/>
      <w:kern w:val="2"/>
      <w:sz w:val="32"/>
      <w:szCs w:val="32"/>
    </w:rPr>
  </w:style>
  <w:style w:type="paragraph" w:customStyle="1" w:styleId="4">
    <w:name w:val="标4"/>
    <w:basedOn w:val="a"/>
    <w:uiPriority w:val="99"/>
    <w:qFormat/>
    <w:rsid w:val="00BB2F55"/>
    <w:pPr>
      <w:adjustRightInd w:val="0"/>
      <w:spacing w:line="240" w:lineRule="exact"/>
      <w:outlineLvl w:val="3"/>
    </w:pPr>
    <w:rPr>
      <w:rFonts w:ascii="Arial" w:eastAsia="仿宋_GB2312" w:hAnsi="Arial" w:cs="Arial"/>
      <w:b/>
      <w:bCs/>
      <w:kern w:val="24"/>
      <w:sz w:val="32"/>
      <w:szCs w:val="32"/>
    </w:rPr>
  </w:style>
  <w:style w:type="paragraph" w:customStyle="1" w:styleId="aa">
    <w:name w:val="四号正文"/>
    <w:basedOn w:val="a"/>
    <w:qFormat/>
    <w:rsid w:val="00BB2F55"/>
    <w:pPr>
      <w:spacing w:line="360" w:lineRule="auto"/>
    </w:pPr>
    <w:rPr>
      <w:rFonts w:ascii="??" w:hAnsi="??"/>
      <w:color w:val="000000"/>
      <w:kern w:val="0"/>
      <w:sz w:val="28"/>
      <w:szCs w:val="21"/>
      <w:lang w:val="zh-CN"/>
    </w:rPr>
  </w:style>
  <w:style w:type="paragraph" w:customStyle="1" w:styleId="5">
    <w:name w:val="标题 5（有编号）（绿盟科技）"/>
    <w:next w:val="a"/>
    <w:uiPriority w:val="99"/>
    <w:qFormat/>
    <w:rsid w:val="005F7350"/>
    <w:pPr>
      <w:keepNext/>
      <w:keepLines/>
      <w:widowControl w:val="0"/>
      <w:spacing w:before="280" w:after="156" w:line="377" w:lineRule="auto"/>
      <w:outlineLvl w:val="4"/>
    </w:pPr>
    <w:rPr>
      <w:rFonts w:ascii="Arial" w:eastAsia="黑体" w:hAnsi="Arial"/>
      <w:b/>
      <w:kern w:val="2"/>
      <w:sz w:val="24"/>
      <w:szCs w:val="28"/>
    </w:rPr>
  </w:style>
</w:styles>
</file>

<file path=word/webSettings.xml><?xml version="1.0" encoding="utf-8"?>
<w:webSettings xmlns:r="http://schemas.openxmlformats.org/officeDocument/2006/relationships" xmlns:w="http://schemas.openxmlformats.org/wordprocessingml/2006/main">
  <w:divs>
    <w:div w:id="6561051">
      <w:bodyDiv w:val="1"/>
      <w:marLeft w:val="0"/>
      <w:marRight w:val="0"/>
      <w:marTop w:val="0"/>
      <w:marBottom w:val="0"/>
      <w:divBdr>
        <w:top w:val="none" w:sz="0" w:space="0" w:color="auto"/>
        <w:left w:val="none" w:sz="0" w:space="0" w:color="auto"/>
        <w:bottom w:val="none" w:sz="0" w:space="0" w:color="auto"/>
        <w:right w:val="none" w:sz="0" w:space="0" w:color="auto"/>
      </w:divBdr>
    </w:div>
    <w:div w:id="944921487">
      <w:bodyDiv w:val="1"/>
      <w:marLeft w:val="0"/>
      <w:marRight w:val="0"/>
      <w:marTop w:val="0"/>
      <w:marBottom w:val="0"/>
      <w:divBdr>
        <w:top w:val="none" w:sz="0" w:space="0" w:color="auto"/>
        <w:left w:val="none" w:sz="0" w:space="0" w:color="auto"/>
        <w:bottom w:val="none" w:sz="0" w:space="0" w:color="auto"/>
        <w:right w:val="none" w:sz="0" w:space="0" w:color="auto"/>
      </w:divBdr>
    </w:div>
    <w:div w:id="985552307">
      <w:bodyDiv w:val="1"/>
      <w:marLeft w:val="0"/>
      <w:marRight w:val="0"/>
      <w:marTop w:val="0"/>
      <w:marBottom w:val="0"/>
      <w:divBdr>
        <w:top w:val="none" w:sz="0" w:space="0" w:color="auto"/>
        <w:left w:val="none" w:sz="0" w:space="0" w:color="auto"/>
        <w:bottom w:val="none" w:sz="0" w:space="0" w:color="auto"/>
        <w:right w:val="none" w:sz="0" w:space="0" w:color="auto"/>
      </w:divBdr>
    </w:div>
    <w:div w:id="1067343026">
      <w:bodyDiv w:val="1"/>
      <w:marLeft w:val="0"/>
      <w:marRight w:val="0"/>
      <w:marTop w:val="0"/>
      <w:marBottom w:val="0"/>
      <w:divBdr>
        <w:top w:val="none" w:sz="0" w:space="0" w:color="auto"/>
        <w:left w:val="none" w:sz="0" w:space="0" w:color="auto"/>
        <w:bottom w:val="none" w:sz="0" w:space="0" w:color="auto"/>
        <w:right w:val="none" w:sz="0" w:space="0" w:color="auto"/>
      </w:divBdr>
    </w:div>
    <w:div w:id="107119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7760472911252099E-2"/>
          <c:y val="0.10113763931529471"/>
          <c:w val="0.72116910024339564"/>
          <c:h val="0.77287530960039641"/>
        </c:manualLayout>
      </c:layout>
      <c:barChart>
        <c:barDir val="col"/>
        <c:grouping val="clustered"/>
        <c:ser>
          <c:idx val="0"/>
          <c:order val="0"/>
          <c:tx>
            <c:strRef>
              <c:f>Sheet1!$A$2</c:f>
              <c:strCache>
                <c:ptCount val="1"/>
                <c:pt idx="0">
                  <c:v>2022年</c:v>
                </c:pt>
              </c:strCache>
            </c:strRef>
          </c:tx>
          <c:spPr>
            <a:solidFill>
              <a:srgbClr val="9999FF"/>
            </a:solidFill>
            <a:ln w="15296">
              <a:solidFill>
                <a:srgbClr val="000000"/>
              </a:solidFill>
              <a:prstDash val="solid"/>
            </a:ln>
          </c:spPr>
          <c:dLbls>
            <c:dLbl>
              <c:idx val="1"/>
              <c:tx>
                <c:rich>
                  <a:bodyPr/>
                  <a:lstStyle/>
                  <a:p>
                    <a:endParaRPr lang="en-US" altLang="en-US"/>
                  </a:p>
                </c:rich>
              </c:tx>
              <c:showVal val="1"/>
            </c:dLbl>
            <c:spPr>
              <a:noFill/>
              <a:ln w="30592">
                <a:noFill/>
              </a:ln>
            </c:spPr>
            <c:txPr>
              <a:bodyPr/>
              <a:lstStyle/>
              <a:p>
                <a:pPr>
                  <a:defRPr sz="1204" b="0" i="0" u="none" strike="noStrike" baseline="0">
                    <a:solidFill>
                      <a:srgbClr val="000000"/>
                    </a:solidFill>
                    <a:latin typeface="宋体"/>
                    <a:ea typeface="宋体"/>
                    <a:cs typeface="宋体"/>
                  </a:defRPr>
                </a:pPr>
                <a:endParaRPr lang="zh-CN"/>
              </a:p>
            </c:txPr>
            <c:showVal val="1"/>
          </c:dLbls>
          <c:cat>
            <c:strRef>
              <c:f>Sheet1!$B$1:$D$1</c:f>
              <c:strCache>
                <c:ptCount val="3"/>
                <c:pt idx="0">
                  <c:v>全年收入</c:v>
                </c:pt>
                <c:pt idx="2">
                  <c:v>全年支出</c:v>
                </c:pt>
              </c:strCache>
            </c:strRef>
          </c:cat>
          <c:val>
            <c:numRef>
              <c:f>Sheet1!$B$2:$D$2</c:f>
              <c:numCache>
                <c:formatCode>General</c:formatCode>
                <c:ptCount val="3"/>
                <c:pt idx="0" formatCode="#,##0.00">
                  <c:v>699.47</c:v>
                </c:pt>
                <c:pt idx="1">
                  <c:v>0</c:v>
                </c:pt>
                <c:pt idx="2">
                  <c:v>742.37</c:v>
                </c:pt>
              </c:numCache>
            </c:numRef>
          </c:val>
        </c:ser>
        <c:ser>
          <c:idx val="1"/>
          <c:order val="1"/>
          <c:tx>
            <c:strRef>
              <c:f>Sheet1!$A$3</c:f>
              <c:strCache>
                <c:ptCount val="1"/>
                <c:pt idx="0">
                  <c:v>2023年</c:v>
                </c:pt>
              </c:strCache>
            </c:strRef>
          </c:tx>
          <c:spPr>
            <a:solidFill>
              <a:srgbClr val="993366"/>
            </a:solidFill>
            <a:ln w="15296">
              <a:solidFill>
                <a:srgbClr val="000000"/>
              </a:solidFill>
              <a:prstDash val="solid"/>
            </a:ln>
          </c:spPr>
          <c:dLbls>
            <c:dLbl>
              <c:idx val="0"/>
              <c:tx>
                <c:rich>
                  <a:bodyPr/>
                  <a:lstStyle/>
                  <a:p>
                    <a:pPr>
                      <a:defRPr sz="1204" b="0" i="0" u="none" strike="noStrike" baseline="0">
                        <a:solidFill>
                          <a:srgbClr val="000000"/>
                        </a:solidFill>
                        <a:latin typeface="宋体"/>
                        <a:ea typeface="宋体"/>
                        <a:cs typeface="宋体"/>
                      </a:defRPr>
                    </a:pPr>
                    <a:r>
                      <a:rPr lang="en-US" altLang="en-US"/>
                      <a:t>699.47</a:t>
                    </a:r>
                  </a:p>
                </c:rich>
              </c:tx>
              <c:numFmt formatCode="#,##0.00;[Red]\-#,##0.00" sourceLinked="0"/>
              <c:spPr>
                <a:noFill/>
                <a:ln w="30592">
                  <a:noFill/>
                </a:ln>
              </c:spPr>
              <c:showVal val="1"/>
            </c:dLbl>
            <c:dLbl>
              <c:idx val="2"/>
              <c:tx>
                <c:rich>
                  <a:bodyPr/>
                  <a:lstStyle/>
                  <a:p>
                    <a:r>
                      <a:rPr lang="en-US" altLang="en-US"/>
                      <a:t>742.37</a:t>
                    </a:r>
                  </a:p>
                </c:rich>
              </c:tx>
              <c:showVal val="1"/>
            </c:dLbl>
            <c:numFmt formatCode="#,##0.00;[Red]\-#,##0.00" sourceLinked="0"/>
            <c:showVal val="1"/>
          </c:dLbls>
          <c:cat>
            <c:strRef>
              <c:f>Sheet1!$B$1:$D$1</c:f>
              <c:strCache>
                <c:ptCount val="3"/>
                <c:pt idx="0">
                  <c:v>全年收入</c:v>
                </c:pt>
                <c:pt idx="2">
                  <c:v>全年支出</c:v>
                </c:pt>
              </c:strCache>
            </c:strRef>
          </c:cat>
          <c:val>
            <c:numRef>
              <c:f>Sheet1!$B$3:$D$3</c:f>
              <c:numCache>
                <c:formatCode>General</c:formatCode>
                <c:ptCount val="3"/>
                <c:pt idx="0" formatCode="#,##0.00">
                  <c:v>1289.56</c:v>
                </c:pt>
                <c:pt idx="1">
                  <c:v>0</c:v>
                </c:pt>
                <c:pt idx="2" formatCode="#,##0.00">
                  <c:v>1303.4100000000001</c:v>
                </c:pt>
              </c:numCache>
            </c:numRef>
          </c:val>
        </c:ser>
        <c:gapWidth val="0"/>
        <c:axId val="196779008"/>
        <c:axId val="196780800"/>
      </c:barChart>
      <c:catAx>
        <c:axId val="196779008"/>
        <c:scaling>
          <c:orientation val="minMax"/>
        </c:scaling>
        <c:axPos val="b"/>
        <c:numFmt formatCode="General" sourceLinked="1"/>
        <c:majorTickMark val="in"/>
        <c:tickLblPos val="nextTo"/>
        <c:spPr>
          <a:ln w="3824">
            <a:solidFill>
              <a:srgbClr val="000000"/>
            </a:solidFill>
            <a:prstDash val="solid"/>
          </a:ln>
        </c:spPr>
        <c:txPr>
          <a:bodyPr rot="0" vert="horz"/>
          <a:lstStyle/>
          <a:p>
            <a:pPr>
              <a:defRPr sz="1204" b="0" i="0" u="none" strike="noStrike" baseline="0">
                <a:solidFill>
                  <a:srgbClr val="000000"/>
                </a:solidFill>
                <a:latin typeface="宋体"/>
                <a:ea typeface="宋体"/>
                <a:cs typeface="宋体"/>
              </a:defRPr>
            </a:pPr>
            <a:endParaRPr lang="zh-CN"/>
          </a:p>
        </c:txPr>
        <c:crossAx val="196780800"/>
        <c:crosses val="autoZero"/>
        <c:auto val="1"/>
        <c:lblAlgn val="ctr"/>
        <c:lblOffset val="100"/>
        <c:tickLblSkip val="1"/>
        <c:tickMarkSkip val="1"/>
      </c:catAx>
      <c:valAx>
        <c:axId val="196780800"/>
        <c:scaling>
          <c:orientation val="minMax"/>
        </c:scaling>
        <c:axPos val="l"/>
        <c:numFmt formatCode="#,##0.00" sourceLinked="1"/>
        <c:majorTickMark val="in"/>
        <c:tickLblPos val="nextTo"/>
        <c:spPr>
          <a:ln w="3824">
            <a:solidFill>
              <a:srgbClr val="000000"/>
            </a:solidFill>
            <a:prstDash val="solid"/>
          </a:ln>
        </c:spPr>
        <c:txPr>
          <a:bodyPr rot="0" vert="horz"/>
          <a:lstStyle/>
          <a:p>
            <a:pPr>
              <a:defRPr sz="1204" b="0" i="0" u="none" strike="noStrike" baseline="0">
                <a:solidFill>
                  <a:srgbClr val="000000"/>
                </a:solidFill>
                <a:latin typeface="宋体"/>
                <a:ea typeface="宋体"/>
                <a:cs typeface="宋体"/>
              </a:defRPr>
            </a:pPr>
            <a:endParaRPr lang="zh-CN"/>
          </a:p>
        </c:txPr>
        <c:crossAx val="196779008"/>
        <c:crosses val="autoZero"/>
        <c:crossBetween val="between"/>
      </c:valAx>
      <c:spPr>
        <a:solidFill>
          <a:srgbClr val="C0C0C0"/>
        </a:solidFill>
        <a:ln w="15296">
          <a:solidFill>
            <a:srgbClr val="808080"/>
          </a:solidFill>
          <a:prstDash val="solid"/>
        </a:ln>
      </c:spPr>
    </c:plotArea>
    <c:plotVisOnly val="1"/>
    <c:dispBlanksAs val="gap"/>
  </c:chart>
  <c:spPr>
    <a:noFill/>
    <a:ln>
      <a:noFill/>
    </a:ln>
  </c:spPr>
  <c:txPr>
    <a:bodyPr/>
    <a:lstStyle/>
    <a:p>
      <a:pPr>
        <a:defRPr sz="1174" b="0" i="0" u="none" strike="noStrike" baseline="0">
          <a:solidFill>
            <a:srgbClr val="000000"/>
          </a:solidFill>
          <a:latin typeface="宋体"/>
          <a:ea typeface="宋体"/>
          <a:cs typeface="宋体"/>
        </a:defRPr>
      </a:pPr>
      <a:endParaRPr lang="zh-CN"/>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2074324042827997"/>
          <c:y val="0.28221719809776252"/>
          <c:w val="0.37962962962963448"/>
          <c:h val="0.71615720524018178"/>
        </c:manualLayout>
      </c:layout>
      <c:pieChart>
        <c:varyColors val="1"/>
        <c:ser>
          <c:idx val="0"/>
          <c:order val="0"/>
          <c:tx>
            <c:strRef>
              <c:f>Sheet1!$A$2</c:f>
              <c:strCache>
                <c:ptCount val="1"/>
                <c:pt idx="0">
                  <c:v>1,289.56</c:v>
                </c:pt>
              </c:strCache>
            </c:strRef>
          </c:tx>
          <c:spPr>
            <a:solidFill>
              <a:srgbClr val="9999FF"/>
            </a:solidFill>
            <a:ln w="15501">
              <a:solidFill>
                <a:srgbClr val="000000"/>
              </a:solidFill>
              <a:prstDash val="solid"/>
            </a:ln>
          </c:spPr>
          <c:dPt>
            <c:idx val="1"/>
            <c:spPr>
              <a:solidFill>
                <a:srgbClr val="993366"/>
              </a:solidFill>
              <a:ln w="15501">
                <a:solidFill>
                  <a:srgbClr val="000000"/>
                </a:solidFill>
                <a:prstDash val="solid"/>
              </a:ln>
            </c:spPr>
          </c:dPt>
          <c:dPt>
            <c:idx val="2"/>
            <c:spPr>
              <a:solidFill>
                <a:srgbClr val="FFFFCC"/>
              </a:solidFill>
              <a:ln w="15501">
                <a:solidFill>
                  <a:srgbClr val="000000"/>
                </a:solidFill>
                <a:prstDash val="solid"/>
              </a:ln>
            </c:spPr>
          </c:dPt>
          <c:dPt>
            <c:idx val="3"/>
            <c:spPr>
              <a:solidFill>
                <a:srgbClr val="CCFFFF"/>
              </a:solidFill>
              <a:ln w="15501">
                <a:solidFill>
                  <a:srgbClr val="000000"/>
                </a:solidFill>
                <a:prstDash val="solid"/>
              </a:ln>
            </c:spPr>
          </c:dPt>
          <c:dLbls>
            <c:dLbl>
              <c:idx val="0"/>
              <c:layout>
                <c:manualLayout>
                  <c:x val="-5.1001441721193301E-3"/>
                  <c:y val="-0.20398521613369716"/>
                </c:manualLayout>
              </c:layout>
              <c:tx>
                <c:rich>
                  <a:bodyPr/>
                  <a:lstStyle/>
                  <a:p>
                    <a:r>
                      <a:rPr lang="en-US" sz="1600" b="0" i="0" u="none" strike="noStrike" baseline="0"/>
                      <a:t>1,289.56</a:t>
                    </a:r>
                    <a:endParaRPr lang="en-US" altLang="en-US" sz="1600"/>
                  </a:p>
                </c:rich>
              </c:tx>
              <c:dLblPos val="bestFit"/>
              <c:showVal val="1"/>
              <c:extLst>
                <c:ext xmlns:c15="http://schemas.microsoft.com/office/drawing/2012/chart" uri="{CE6537A1-D6FC-4f65-9D91-7224C49458BB}">
                  <c15:layout/>
                </c:ext>
              </c:extLst>
            </c:dLbl>
            <c:dLbl>
              <c:idx val="2"/>
              <c:layout>
                <c:manualLayout>
                  <c:x val="-6.7228568259953408E-4"/>
                  <c:y val="1.7078302712161007E-2"/>
                </c:manualLayout>
              </c:layout>
              <c:dLblPos val="bestFit"/>
              <c:showVal val="1"/>
              <c:extLst>
                <c:ext xmlns:c15="http://schemas.microsoft.com/office/drawing/2012/chart" uri="{CE6537A1-D6FC-4f65-9D91-7224C49458BB}">
                  <c15:layout/>
                </c:ext>
              </c:extLst>
            </c:dLbl>
            <c:dLbl>
              <c:idx val="3"/>
              <c:layout>
                <c:manualLayout>
                  <c:x val="-1.6111788843296113E-3"/>
                  <c:y val="2.1244969378827729E-2"/>
                </c:manualLayout>
              </c:layout>
              <c:dLblPos val="bestFit"/>
              <c:showVal val="1"/>
              <c:extLst>
                <c:ext xmlns:c15="http://schemas.microsoft.com/office/drawing/2012/chart" uri="{CE6537A1-D6FC-4f65-9D91-7224C49458BB}">
                  <c15:layout/>
                </c:ext>
              </c:extLst>
            </c:dLbl>
            <c:spPr>
              <a:noFill/>
              <a:ln w="31001">
                <a:noFill/>
              </a:ln>
              <a:effectLst/>
            </c:spPr>
            <c:txPr>
              <a:bodyPr rot="0" spcFirstLastPara="0" vertOverflow="ellipsis" vert="horz" wrap="square" lIns="38100" tIns="19050" rIns="38100" bIns="19050" anchor="ctr" anchorCtr="1"/>
              <a:lstStyle/>
              <a:p>
                <a:pPr>
                  <a:defRPr lang="zh-CN" sz="183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extLst>
              <c:ext xmlns:c15="http://schemas.microsoft.com/office/drawing/2012/chart" uri="{CE6537A1-D6FC-4f65-9D91-7224C49458BB}">
                <c15:layout/>
                <c15:showLeaderLines val="1"/>
                <c15:leaderLines/>
              </c:ext>
            </c:extLst>
          </c:dLbls>
          <c:cat>
            <c:strRef>
              <c:f>Sheet1!$B$1:$E$1</c:f>
              <c:strCache>
                <c:ptCount val="4"/>
                <c:pt idx="0">
                  <c:v>一般公共预算财政拨款收入</c:v>
                </c:pt>
                <c:pt idx="1">
                  <c:v>政府性基金预算财政拨款收入</c:v>
                </c:pt>
                <c:pt idx="2">
                  <c:v>国有资本经营预算财政拨款收入</c:v>
                </c:pt>
                <c:pt idx="3">
                  <c:v>事业收入</c:v>
                </c:pt>
              </c:strCache>
            </c:strRef>
          </c:cat>
          <c:val>
            <c:numRef>
              <c:f>Sheet1!$B$2:$E$2</c:f>
              <c:numCache>
                <c:formatCode>General</c:formatCode>
                <c:ptCount val="4"/>
                <c:pt idx="0" formatCode="#,##0.00">
                  <c:v>1289.56</c:v>
                </c:pt>
                <c:pt idx="1">
                  <c:v>0</c:v>
                </c:pt>
                <c:pt idx="2">
                  <c:v>0</c:v>
                </c:pt>
                <c:pt idx="3">
                  <c:v>0</c:v>
                </c:pt>
              </c:numCache>
            </c:numRef>
          </c:val>
        </c:ser>
        <c:ser>
          <c:idx val="1"/>
          <c:order val="1"/>
          <c:tx>
            <c:strRef>
              <c:f>Sheet1!$A$3</c:f>
              <c:strCache>
                <c:ptCount val="1"/>
              </c:strCache>
            </c:strRef>
          </c:tx>
          <c:spPr>
            <a:solidFill>
              <a:srgbClr val="993366"/>
            </a:solidFill>
            <a:ln w="15501">
              <a:solidFill>
                <a:srgbClr val="000000"/>
              </a:solidFill>
              <a:prstDash val="solid"/>
            </a:ln>
          </c:spPr>
          <c:dPt>
            <c:idx val="0"/>
            <c:spPr>
              <a:solidFill>
                <a:srgbClr val="9999FF"/>
              </a:solidFill>
              <a:ln w="15501">
                <a:solidFill>
                  <a:srgbClr val="000000"/>
                </a:solidFill>
                <a:prstDash val="solid"/>
              </a:ln>
            </c:spPr>
          </c:dPt>
          <c:dPt>
            <c:idx val="2"/>
            <c:spPr>
              <a:solidFill>
                <a:srgbClr val="FFFFCC"/>
              </a:solidFill>
              <a:ln w="15501">
                <a:solidFill>
                  <a:srgbClr val="000000"/>
                </a:solidFill>
                <a:prstDash val="solid"/>
              </a:ln>
            </c:spPr>
          </c:dPt>
          <c:dPt>
            <c:idx val="3"/>
            <c:spPr>
              <a:solidFill>
                <a:srgbClr val="CCFFFF"/>
              </a:solidFill>
              <a:ln w="15501">
                <a:solidFill>
                  <a:srgbClr val="000000"/>
                </a:solidFill>
                <a:prstDash val="solid"/>
              </a:ln>
            </c:spPr>
          </c:dPt>
          <c:cat>
            <c:strRef>
              <c:f>Sheet1!$B$1:$E$1</c:f>
              <c:strCache>
                <c:ptCount val="4"/>
                <c:pt idx="0">
                  <c:v>一般公共预算财政拨款收入</c:v>
                </c:pt>
                <c:pt idx="1">
                  <c:v>政府性基金预算财政拨款收入</c:v>
                </c:pt>
                <c:pt idx="2">
                  <c:v>国有资本经营预算财政拨款收入</c:v>
                </c:pt>
                <c:pt idx="3">
                  <c:v>事业收入</c:v>
                </c:pt>
              </c:strCache>
            </c:strRef>
          </c:cat>
          <c:val>
            <c:numRef>
              <c:f>Sheet1!$B$3:$E$3</c:f>
              <c:numCache>
                <c:formatCode>General</c:formatCode>
                <c:ptCount val="4"/>
              </c:numCache>
            </c:numRef>
          </c:val>
        </c:ser>
        <c:firstSliceAng val="0"/>
      </c:pieChart>
      <c:spPr>
        <a:noFill/>
        <a:ln w="25400">
          <a:noFill/>
        </a:ln>
      </c:spPr>
    </c:plotArea>
    <c:legend>
      <c:legendPos val="r"/>
      <c:layout>
        <c:manualLayout>
          <c:xMode val="edge"/>
          <c:yMode val="edge"/>
          <c:x val="0.63360718642564162"/>
          <c:y val="0.23580786026200901"/>
          <c:w val="0.33778684706665874"/>
          <c:h val="0.67745848600608394"/>
        </c:manualLayout>
      </c:layout>
      <c:spPr>
        <a:solidFill>
          <a:srgbClr val="FFFFFF"/>
        </a:solidFill>
        <a:ln w="3875">
          <a:solidFill>
            <a:srgbClr val="000000"/>
          </a:solidFill>
          <a:prstDash val="solid"/>
        </a:ln>
        <a:effectLst>
          <a:outerShdw dist="35921" dir="2700000" algn="br">
            <a:srgbClr val="000000"/>
          </a:outerShdw>
        </a:effectLst>
      </c:spPr>
      <c:txPr>
        <a:bodyPr rot="0" spcFirstLastPara="0" vertOverflow="ellipsis" vert="horz" wrap="square" anchor="ctr" anchorCtr="1"/>
        <a:lstStyle/>
        <a:p>
          <a:pPr>
            <a:defRPr lang="zh-CN" sz="10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3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4684913681564626"/>
          <c:y val="0.17902981799406201"/>
          <c:w val="0.31140083545895247"/>
          <c:h val="0.72490030549460005"/>
        </c:manualLayout>
      </c:layout>
      <c:pieChart>
        <c:varyColors val="1"/>
        <c:ser>
          <c:idx val="0"/>
          <c:order val="0"/>
          <c:tx>
            <c:strRef>
              <c:f>Sheet1!$A$2</c:f>
              <c:strCache>
                <c:ptCount val="1"/>
                <c:pt idx="0">
                  <c:v>1,303.41</c:v>
                </c:pt>
              </c:strCache>
            </c:strRef>
          </c:tx>
          <c:spPr>
            <a:solidFill>
              <a:srgbClr val="9999FF"/>
            </a:solidFill>
            <a:ln w="15501">
              <a:solidFill>
                <a:srgbClr val="000000"/>
              </a:solidFill>
              <a:prstDash val="solid"/>
            </a:ln>
          </c:spPr>
          <c:dPt>
            <c:idx val="1"/>
            <c:spPr>
              <a:solidFill>
                <a:srgbClr val="993366"/>
              </a:solidFill>
              <a:ln w="15501">
                <a:solidFill>
                  <a:srgbClr val="000000"/>
                </a:solidFill>
                <a:prstDash val="solid"/>
              </a:ln>
            </c:spPr>
          </c:dPt>
          <c:dPt>
            <c:idx val="2"/>
            <c:spPr>
              <a:solidFill>
                <a:srgbClr val="FFFFCC"/>
              </a:solidFill>
              <a:ln w="15501">
                <a:solidFill>
                  <a:srgbClr val="000000"/>
                </a:solidFill>
                <a:prstDash val="solid"/>
              </a:ln>
            </c:spPr>
          </c:dPt>
          <c:dPt>
            <c:idx val="3"/>
            <c:spPr>
              <a:solidFill>
                <a:srgbClr val="CCFFFF"/>
              </a:solidFill>
              <a:ln w="15501">
                <a:solidFill>
                  <a:srgbClr val="000000"/>
                </a:solidFill>
                <a:prstDash val="solid"/>
              </a:ln>
            </c:spPr>
          </c:dPt>
          <c:dLbls>
            <c:dLbl>
              <c:idx val="0"/>
              <c:layout>
                <c:manualLayout>
                  <c:x val="-0.10657075034738313"/>
                  <c:y val="-0.10119268875174393"/>
                </c:manualLayout>
              </c:layout>
              <c:tx>
                <c:rich>
                  <a:bodyPr/>
                  <a:lstStyle/>
                  <a:p>
                    <a:r>
                      <a:rPr lang="en-US" sz="1830" b="0" i="0" u="none" strike="noStrike" baseline="0"/>
                      <a:t>431.59</a:t>
                    </a:r>
                    <a:endParaRPr lang="en-US" altLang="en-US"/>
                  </a:p>
                </c:rich>
              </c:tx>
              <c:dLblPos val="bestFit"/>
              <c:showVal val="1"/>
              <c:extLst>
                <c:ext xmlns:c15="http://schemas.microsoft.com/office/drawing/2012/chart" uri="{CE6537A1-D6FC-4f65-9D91-7224C49458BB}">
                  <c15:layout/>
                </c:ext>
              </c:extLst>
            </c:dLbl>
            <c:dLbl>
              <c:idx val="1"/>
              <c:tx>
                <c:rich>
                  <a:bodyPr/>
                  <a:lstStyle/>
                  <a:p>
                    <a:r>
                      <a:rPr lang="en-US" sz="1830" b="0" i="0" u="none" strike="noStrike" baseline="0"/>
                      <a:t>871.82</a:t>
                    </a:r>
                    <a:endParaRPr lang="en-US" altLang="en-US"/>
                  </a:p>
                </c:rich>
              </c:tx>
              <c:dLblPos val="bestFit"/>
              <c:showVal val="1"/>
              <c:extLst>
                <c:ext xmlns:c15="http://schemas.microsoft.com/office/drawing/2012/chart" uri="{CE6537A1-D6FC-4f65-9D91-7224C49458BB}"/>
              </c:extLst>
            </c:dLbl>
            <c:dLbl>
              <c:idx val="2"/>
              <c:layout>
                <c:manualLayout>
                  <c:x val="-6.7228568259953408E-4"/>
                  <c:y val="1.7078302712161007E-2"/>
                </c:manualLayout>
              </c:layout>
              <c:dLblPos val="bestFit"/>
              <c:showVal val="1"/>
              <c:extLst>
                <c:ext xmlns:c15="http://schemas.microsoft.com/office/drawing/2012/chart" uri="{CE6537A1-D6FC-4f65-9D91-7224C49458BB}">
                  <c15:layout/>
                </c:ext>
              </c:extLst>
            </c:dLbl>
            <c:dLbl>
              <c:idx val="3"/>
              <c:layout>
                <c:manualLayout>
                  <c:x val="-1.6111788843296113E-3"/>
                  <c:y val="2.1244969378827729E-2"/>
                </c:manualLayout>
              </c:layout>
              <c:dLblPos val="bestFit"/>
              <c:showVal val="1"/>
              <c:extLst>
                <c:ext xmlns:c15="http://schemas.microsoft.com/office/drawing/2012/chart" uri="{CE6537A1-D6FC-4f65-9D91-7224C49458BB}">
                  <c15:layout/>
                </c:ext>
              </c:extLst>
            </c:dLbl>
            <c:spPr>
              <a:noFill/>
              <a:ln w="31001">
                <a:noFill/>
              </a:ln>
              <a:effectLst/>
            </c:spPr>
            <c:txPr>
              <a:bodyPr rot="0" spcFirstLastPara="0" vertOverflow="ellipsis" vert="horz" wrap="square" lIns="38100" tIns="19050" rIns="38100" bIns="19050" anchor="ctr" anchorCtr="1"/>
              <a:lstStyle/>
              <a:p>
                <a:pPr>
                  <a:defRPr lang="zh-CN" sz="183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extLst>
              <c:ext xmlns:c15="http://schemas.microsoft.com/office/drawing/2012/chart" uri="{CE6537A1-D6FC-4f65-9D91-7224C49458BB}">
                <c15:layout/>
                <c15:showLeaderLines val="1"/>
                <c15:leaderLines/>
              </c:ext>
            </c:extLst>
          </c:dLbls>
          <c:cat>
            <c:strRef>
              <c:f>Sheet1!$B$1:$E$1</c:f>
              <c:strCache>
                <c:ptCount val="4"/>
                <c:pt idx="0">
                  <c:v>基本支出</c:v>
                </c:pt>
                <c:pt idx="1">
                  <c:v>项目支出</c:v>
                </c:pt>
                <c:pt idx="2">
                  <c:v>上缴上级支出</c:v>
                </c:pt>
                <c:pt idx="3">
                  <c:v>经营支出</c:v>
                </c:pt>
              </c:strCache>
            </c:strRef>
          </c:cat>
          <c:val>
            <c:numRef>
              <c:f>Sheet1!$B$2:$E$2</c:f>
              <c:numCache>
                <c:formatCode>General</c:formatCode>
                <c:ptCount val="4"/>
                <c:pt idx="0">
                  <c:v>431.59</c:v>
                </c:pt>
                <c:pt idx="1">
                  <c:v>871.81999999999971</c:v>
                </c:pt>
                <c:pt idx="2">
                  <c:v>0</c:v>
                </c:pt>
                <c:pt idx="3">
                  <c:v>0</c:v>
                </c:pt>
              </c:numCache>
            </c:numRef>
          </c:val>
        </c:ser>
        <c:ser>
          <c:idx val="1"/>
          <c:order val="1"/>
          <c:tx>
            <c:strRef>
              <c:f>Sheet1!$A$3</c:f>
              <c:strCache>
                <c:ptCount val="1"/>
              </c:strCache>
            </c:strRef>
          </c:tx>
          <c:spPr>
            <a:solidFill>
              <a:srgbClr val="993366"/>
            </a:solidFill>
            <a:ln w="15501">
              <a:solidFill>
                <a:srgbClr val="000000"/>
              </a:solidFill>
              <a:prstDash val="solid"/>
            </a:ln>
          </c:spPr>
          <c:dPt>
            <c:idx val="0"/>
            <c:spPr>
              <a:solidFill>
                <a:srgbClr val="9999FF"/>
              </a:solidFill>
              <a:ln w="15501">
                <a:solidFill>
                  <a:srgbClr val="000000"/>
                </a:solidFill>
                <a:prstDash val="solid"/>
              </a:ln>
            </c:spPr>
          </c:dPt>
          <c:dPt>
            <c:idx val="2"/>
            <c:spPr>
              <a:solidFill>
                <a:srgbClr val="FFFFCC"/>
              </a:solidFill>
              <a:ln w="15501">
                <a:solidFill>
                  <a:srgbClr val="000000"/>
                </a:solidFill>
                <a:prstDash val="solid"/>
              </a:ln>
            </c:spPr>
          </c:dPt>
          <c:dPt>
            <c:idx val="3"/>
            <c:spPr>
              <a:solidFill>
                <a:srgbClr val="CCFFFF"/>
              </a:solidFill>
              <a:ln w="15501">
                <a:solidFill>
                  <a:srgbClr val="000000"/>
                </a:solidFill>
                <a:prstDash val="solid"/>
              </a:ln>
            </c:spPr>
          </c:dPt>
          <c:cat>
            <c:strRef>
              <c:f>Sheet1!$B$1:$E$1</c:f>
              <c:strCache>
                <c:ptCount val="4"/>
                <c:pt idx="0">
                  <c:v>基本支出</c:v>
                </c:pt>
                <c:pt idx="1">
                  <c:v>项目支出</c:v>
                </c:pt>
                <c:pt idx="2">
                  <c:v>上缴上级支出</c:v>
                </c:pt>
                <c:pt idx="3">
                  <c:v>经营支出</c:v>
                </c:pt>
              </c:strCache>
            </c:strRef>
          </c:cat>
          <c:val>
            <c:numRef>
              <c:f>Sheet1!$B$3:$E$3</c:f>
              <c:numCache>
                <c:formatCode>General</c:formatCode>
                <c:ptCount val="4"/>
              </c:numCache>
            </c:numRef>
          </c:val>
        </c:ser>
        <c:firstSliceAng val="0"/>
      </c:pieChart>
      <c:spPr>
        <a:solidFill>
          <a:srgbClr val="C0C0C0"/>
        </a:solidFill>
        <a:ln w="15501">
          <a:solidFill>
            <a:srgbClr val="808080"/>
          </a:solidFill>
          <a:prstDash val="solid"/>
        </a:ln>
      </c:spPr>
    </c:plotArea>
    <c:legend>
      <c:legendPos val="r"/>
      <c:layout>
        <c:manualLayout>
          <c:xMode val="edge"/>
          <c:yMode val="edge"/>
          <c:x val="0.55097807844442692"/>
          <c:y val="0.23580786026200901"/>
          <c:w val="0.44670703486007879"/>
          <c:h val="0.61540226390620056"/>
        </c:manualLayout>
      </c:layout>
      <c:spPr>
        <a:solidFill>
          <a:srgbClr val="FFFFFF"/>
        </a:solidFill>
        <a:ln w="3875">
          <a:solidFill>
            <a:srgbClr val="000000"/>
          </a:solidFill>
          <a:prstDash val="solid"/>
        </a:ln>
        <a:effectLst>
          <a:outerShdw dist="35921" dir="2700000" algn="br">
            <a:srgbClr val="000000"/>
          </a:outerShdw>
        </a:effectLst>
      </c:spPr>
      <c:txPr>
        <a:bodyPr rot="0" spcFirstLastPara="0" vertOverflow="ellipsis" vert="horz" wrap="square" anchor="ctr" anchorCtr="1"/>
        <a:lstStyle/>
        <a:p>
          <a:pPr>
            <a:defRPr lang="zh-CN" sz="10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3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2583035554291"/>
          <c:y val="0.16190221505330701"/>
          <c:w val="0.72116910024339664"/>
          <c:h val="0.72303825658157372"/>
        </c:manualLayout>
      </c:layout>
      <c:barChart>
        <c:barDir val="col"/>
        <c:grouping val="clustered"/>
        <c:ser>
          <c:idx val="0"/>
          <c:order val="0"/>
          <c:tx>
            <c:strRef>
              <c:f>Sheet1!$A$2</c:f>
              <c:strCache>
                <c:ptCount val="1"/>
                <c:pt idx="0">
                  <c:v>2022年</c:v>
                </c:pt>
              </c:strCache>
            </c:strRef>
          </c:tx>
          <c:spPr>
            <a:solidFill>
              <a:srgbClr val="9999FF"/>
            </a:solidFill>
            <a:ln w="15296">
              <a:solidFill>
                <a:srgbClr val="000000"/>
              </a:solidFill>
              <a:prstDash val="solid"/>
            </a:ln>
          </c:spPr>
          <c:dLbls>
            <c:dLbl>
              <c:idx val="1"/>
              <c:layout>
                <c:manualLayout>
                  <c:x val="0.36470903727540932"/>
                  <c:y val="-0.53632374451487164"/>
                </c:manualLayout>
              </c:layout>
              <c:tx>
                <c:rich>
                  <a:bodyPr/>
                  <a:lstStyle/>
                  <a:p>
                    <a:r>
                      <a:rPr lang="en-US" sz="1205" b="0" i="0" u="none" strike="noStrike" baseline="0"/>
                      <a:t>1,303.41</a:t>
                    </a:r>
                    <a:endParaRPr lang="en-US" altLang="en-US"/>
                  </a:p>
                </c:rich>
              </c:tx>
              <c:dLblPos val="outEnd"/>
              <c:showVal val="1"/>
              <c:extLst>
                <c:ext xmlns:c15="http://schemas.microsoft.com/office/drawing/2012/chart" uri="{CE6537A1-D6FC-4f65-9D91-7224C49458BB}">
                  <c15:layout/>
                </c:ext>
              </c:extLst>
            </c:dLbl>
            <c:spPr>
              <a:noFill/>
              <a:ln w="30592">
                <a:noFill/>
              </a:ln>
              <a:effectLst/>
            </c:spPr>
            <c:txPr>
              <a:bodyPr rot="0" spcFirstLastPara="0" vertOverflow="ellipsis" vert="horz" wrap="square" lIns="38100" tIns="19050" rIns="38100" bIns="19050" anchor="ctr" anchorCtr="1"/>
              <a:lstStyle/>
              <a:p>
                <a:pPr>
                  <a:defRPr lang="zh-CN" sz="120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trendline>
            <c:trendlineType val="linear"/>
          </c:trendline>
          <c:trendline>
            <c:trendlineType val="linear"/>
          </c:trendline>
          <c:cat>
            <c:strRef>
              <c:f>Sheet1!$B$1:$D$1</c:f>
              <c:strCache>
                <c:ptCount val="3"/>
                <c:pt idx="0">
                  <c:v>财政拨款收入</c:v>
                </c:pt>
                <c:pt idx="2">
                  <c:v>财政拨款支出</c:v>
                </c:pt>
              </c:strCache>
            </c:strRef>
          </c:cat>
          <c:val>
            <c:numRef>
              <c:f>Sheet1!$B$2:$D$2</c:f>
              <c:numCache>
                <c:formatCode>General</c:formatCode>
                <c:ptCount val="3"/>
                <c:pt idx="0">
                  <c:v>699.48</c:v>
                </c:pt>
                <c:pt idx="1">
                  <c:v>0</c:v>
                </c:pt>
                <c:pt idx="2">
                  <c:v>742.31</c:v>
                </c:pt>
              </c:numCache>
            </c:numRef>
          </c:val>
        </c:ser>
        <c:ser>
          <c:idx val="1"/>
          <c:order val="1"/>
          <c:tx>
            <c:strRef>
              <c:f>Sheet1!$A$3</c:f>
              <c:strCache>
                <c:ptCount val="1"/>
                <c:pt idx="0">
                  <c:v>2023年</c:v>
                </c:pt>
              </c:strCache>
            </c:strRef>
          </c:tx>
          <c:spPr>
            <a:solidFill>
              <a:srgbClr val="993366"/>
            </a:solidFill>
            <a:ln w="15296">
              <a:solidFill>
                <a:srgbClr val="000000"/>
              </a:solidFill>
              <a:prstDash val="solid"/>
            </a:ln>
          </c:spPr>
          <c:dLbls>
            <c:dLbl>
              <c:idx val="0"/>
              <c:layout>
                <c:manualLayout>
                  <c:x val="8.043973723019163E-3"/>
                  <c:y val="0"/>
                </c:manualLayout>
              </c:layout>
              <c:tx>
                <c:rich>
                  <a:bodyPr rot="0" spcFirstLastPara="0" vertOverflow="ellipsis" vert="horz" wrap="square" lIns="38100" tIns="19050" rIns="38100" bIns="19050" anchor="ctr" anchorCtr="1"/>
                  <a:lstStyle/>
                  <a:p>
                    <a:pPr>
                      <a:defRPr lang="zh-CN" sz="120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sz="1205" b="0" i="0" u="none" strike="noStrike" baseline="0"/>
                      <a:t>1,289.56</a:t>
                    </a:r>
                    <a:endParaRPr lang="en-US" altLang="en-US"/>
                  </a:p>
                </c:rich>
              </c:tx>
              <c:spPr>
                <a:noFill/>
                <a:ln w="30592">
                  <a:noFill/>
                </a:ln>
                <a:effectLst/>
              </c:spPr>
              <c:dLblPos val="outEnd"/>
              <c:showVal val="1"/>
              <c:extLst>
                <c:ext xmlns:c15="http://schemas.microsoft.com/office/drawing/2012/chart" uri="{CE6537A1-D6FC-4f65-9D91-7224C49458BB}"/>
              </c:extLst>
            </c:dLbl>
            <c:delete val="1"/>
            <c:extLst>
              <c:ext xmlns:c15="http://schemas.microsoft.com/office/drawing/2012/chart" uri="{CE6537A1-D6FC-4f65-9D91-7224C49458BB}">
                <c15:layout/>
                <c15:showLeaderLines val="0"/>
                <c15:leaderLines/>
              </c:ext>
            </c:extLst>
          </c:dLbls>
          <c:trendline>
            <c:trendlineType val="linear"/>
          </c:trendline>
          <c:cat>
            <c:strRef>
              <c:f>Sheet1!$B$1:$D$1</c:f>
              <c:strCache>
                <c:ptCount val="3"/>
                <c:pt idx="0">
                  <c:v>财政拨款收入</c:v>
                </c:pt>
                <c:pt idx="2">
                  <c:v>财政拨款支出</c:v>
                </c:pt>
              </c:strCache>
            </c:strRef>
          </c:cat>
          <c:val>
            <c:numRef>
              <c:f>Sheet1!$B$3:$D$3</c:f>
              <c:numCache>
                <c:formatCode>General</c:formatCode>
                <c:ptCount val="3"/>
                <c:pt idx="0" formatCode="#,##0.00">
                  <c:v>1289.56</c:v>
                </c:pt>
                <c:pt idx="1">
                  <c:v>0</c:v>
                </c:pt>
                <c:pt idx="2" formatCode="#,##0.00">
                  <c:v>1303.4100000000001</c:v>
                </c:pt>
              </c:numCache>
            </c:numRef>
          </c:val>
        </c:ser>
        <c:gapWidth val="0"/>
        <c:axId val="199210496"/>
        <c:axId val="199212032"/>
      </c:barChart>
      <c:catAx>
        <c:axId val="199210496"/>
        <c:scaling>
          <c:orientation val="minMax"/>
        </c:scaling>
        <c:axPos val="b"/>
        <c:numFmt formatCode="General" sourceLinked="1"/>
        <c:majorTickMark val="in"/>
        <c:tickLblPos val="nextTo"/>
        <c:spPr>
          <a:ln w="3824" cap="flat" cmpd="sng" algn="ctr">
            <a:solidFill>
              <a:srgbClr val="000000"/>
            </a:solidFill>
            <a:prstDash val="solid"/>
            <a:round/>
          </a:ln>
        </c:spPr>
        <c:txPr>
          <a:bodyPr rot="0" spcFirstLastPara="0" vertOverflow="ellipsis" vert="horz" wrap="square" anchor="ctr" anchorCtr="1"/>
          <a:lstStyle/>
          <a:p>
            <a:pPr>
              <a:defRPr lang="zh-CN" sz="120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99212032"/>
        <c:crosses val="autoZero"/>
        <c:auto val="1"/>
        <c:lblAlgn val="ctr"/>
        <c:lblOffset val="100"/>
        <c:tickLblSkip val="1"/>
      </c:catAx>
      <c:valAx>
        <c:axId val="199212032"/>
        <c:scaling>
          <c:orientation val="minMax"/>
        </c:scaling>
        <c:axPos val="l"/>
        <c:numFmt formatCode="General" sourceLinked="1"/>
        <c:majorTickMark val="in"/>
        <c:tickLblPos val="nextTo"/>
        <c:spPr>
          <a:ln w="3824" cap="flat" cmpd="sng" algn="ctr">
            <a:solidFill>
              <a:srgbClr val="000000"/>
            </a:solidFill>
            <a:prstDash val="solid"/>
            <a:round/>
          </a:ln>
        </c:spPr>
        <c:txPr>
          <a:bodyPr rot="0" spcFirstLastPara="0" vertOverflow="ellipsis" vert="horz" wrap="square" anchor="ctr" anchorCtr="1"/>
          <a:lstStyle/>
          <a:p>
            <a:pPr>
              <a:defRPr lang="zh-CN" sz="120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199210496"/>
        <c:crosses val="autoZero"/>
        <c:crossBetween val="between"/>
      </c:valAx>
    </c:plotArea>
    <c:legend>
      <c:legendPos val="r"/>
      <c:layout>
        <c:manualLayout>
          <c:xMode val="edge"/>
          <c:yMode val="edge"/>
          <c:x val="0.83947368421052704"/>
          <c:y val="0.3061224489795954"/>
          <c:w val="0.16052631578947404"/>
          <c:h val="0.18877551020408187"/>
        </c:manualLayout>
      </c:layout>
      <c:spPr>
        <a:solidFill>
          <a:srgbClr val="FFFFFF"/>
        </a:solidFill>
        <a:ln w="3824">
          <a:solidFill>
            <a:srgbClr val="000000"/>
          </a:solidFill>
          <a:prstDash val="solid"/>
        </a:ln>
        <a:effectLst>
          <a:outerShdw dist="35921" dir="2700000" algn="br">
            <a:srgbClr val="000000"/>
          </a:outerShdw>
        </a:effectLst>
      </c:spPr>
      <c:txPr>
        <a:bodyPr rot="0" spcFirstLastPara="0" vertOverflow="ellipsis" vert="horz" wrap="square" anchor="ctr" anchorCtr="1"/>
        <a:lstStyle/>
        <a:p>
          <a:pPr>
            <a:defRPr lang="zh-CN" sz="10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11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63951358598161"/>
          <c:y val="3.4125915181654948E-2"/>
          <c:w val="0.72116910024339564"/>
          <c:h val="0.65858502178542822"/>
        </c:manualLayout>
      </c:layout>
      <c:barChart>
        <c:barDir val="col"/>
        <c:grouping val="clustered"/>
        <c:ser>
          <c:idx val="0"/>
          <c:order val="0"/>
          <c:tx>
            <c:strRef>
              <c:f>Sheet1!$A$2</c:f>
              <c:strCache>
                <c:ptCount val="1"/>
                <c:pt idx="0">
                  <c:v>2022年</c:v>
                </c:pt>
              </c:strCache>
            </c:strRef>
          </c:tx>
          <c:spPr>
            <a:solidFill>
              <a:srgbClr val="9999FF"/>
            </a:solidFill>
            <a:ln w="15296">
              <a:solidFill>
                <a:srgbClr val="000000"/>
              </a:solidFill>
              <a:prstDash val="solid"/>
            </a:ln>
          </c:spPr>
          <c:dLbls>
            <c:dLbl>
              <c:idx val="2"/>
              <c:delete val="1"/>
            </c:dLbl>
            <c:spPr>
              <a:noFill/>
              <a:ln w="30592">
                <a:noFill/>
              </a:ln>
            </c:spPr>
            <c:txPr>
              <a:bodyPr/>
              <a:lstStyle/>
              <a:p>
                <a:pPr>
                  <a:defRPr sz="1204" b="0" i="0" u="none" strike="noStrike" baseline="0">
                    <a:solidFill>
                      <a:srgbClr val="000000"/>
                    </a:solidFill>
                    <a:latin typeface="宋体"/>
                    <a:ea typeface="宋体"/>
                    <a:cs typeface="宋体"/>
                  </a:defRPr>
                </a:pPr>
                <a:endParaRPr lang="zh-CN"/>
              </a:p>
            </c:txPr>
            <c:showVal val="1"/>
          </c:dLbls>
          <c:cat>
            <c:strRef>
              <c:f>Sheet1!$B$1:$D$1</c:f>
              <c:strCache>
                <c:ptCount val="1"/>
                <c:pt idx="0">
                  <c:v>               2023年一般公共预算财政拨款(图5）</c:v>
                </c:pt>
              </c:strCache>
            </c:strRef>
          </c:cat>
          <c:val>
            <c:numRef>
              <c:f>Sheet1!$B$2:$D$2</c:f>
              <c:numCache>
                <c:formatCode>General</c:formatCode>
                <c:ptCount val="3"/>
                <c:pt idx="0">
                  <c:v>742.31</c:v>
                </c:pt>
              </c:numCache>
            </c:numRef>
          </c:val>
        </c:ser>
        <c:ser>
          <c:idx val="1"/>
          <c:order val="1"/>
          <c:tx>
            <c:strRef>
              <c:f>Sheet1!$A$3</c:f>
              <c:strCache>
                <c:ptCount val="1"/>
                <c:pt idx="0">
                  <c:v>2023年</c:v>
                </c:pt>
              </c:strCache>
            </c:strRef>
          </c:tx>
          <c:spPr>
            <a:solidFill>
              <a:srgbClr val="993366"/>
            </a:solidFill>
            <a:ln w="15296">
              <a:solidFill>
                <a:srgbClr val="000000"/>
              </a:solidFill>
              <a:prstDash val="solid"/>
            </a:ln>
          </c:spPr>
          <c:dLbls>
            <c:dLbl>
              <c:idx val="0"/>
              <c:tx>
                <c:rich>
                  <a:bodyPr/>
                  <a:lstStyle/>
                  <a:p>
                    <a:pPr>
                      <a:defRPr sz="1204" b="0" i="0" u="none" strike="noStrike" baseline="0">
                        <a:solidFill>
                          <a:srgbClr val="000000"/>
                        </a:solidFill>
                        <a:latin typeface="宋体"/>
                        <a:ea typeface="宋体"/>
                        <a:cs typeface="宋体"/>
                      </a:defRPr>
                    </a:pPr>
                    <a:r>
                      <a:rPr lang="en-US" altLang="en-US"/>
                      <a:t>1303.41</a:t>
                    </a:r>
                  </a:p>
                </c:rich>
              </c:tx>
              <c:spPr>
                <a:noFill/>
                <a:ln w="30592">
                  <a:noFill/>
                </a:ln>
              </c:spPr>
              <c:showVal val="1"/>
            </c:dLbl>
            <c:delete val="1"/>
          </c:dLbls>
          <c:cat>
            <c:strRef>
              <c:f>Sheet1!$B$1:$D$1</c:f>
              <c:strCache>
                <c:ptCount val="1"/>
                <c:pt idx="0">
                  <c:v>               2023年一般公共预算财政拨款(图5）</c:v>
                </c:pt>
              </c:strCache>
            </c:strRef>
          </c:cat>
          <c:val>
            <c:numRef>
              <c:f>Sheet1!$B$3:$D$3</c:f>
              <c:numCache>
                <c:formatCode>General</c:formatCode>
                <c:ptCount val="3"/>
                <c:pt idx="0">
                  <c:v>1303.4100000000001</c:v>
                </c:pt>
              </c:numCache>
            </c:numRef>
          </c:val>
        </c:ser>
        <c:gapWidth val="0"/>
        <c:axId val="199356800"/>
        <c:axId val="199358336"/>
      </c:barChart>
      <c:catAx>
        <c:axId val="199356800"/>
        <c:scaling>
          <c:orientation val="minMax"/>
        </c:scaling>
        <c:axPos val="b"/>
        <c:numFmt formatCode="General" sourceLinked="1"/>
        <c:majorTickMark val="in"/>
        <c:tickLblPos val="nextTo"/>
        <c:spPr>
          <a:ln w="3824">
            <a:solidFill>
              <a:srgbClr val="000000"/>
            </a:solidFill>
            <a:prstDash val="solid"/>
          </a:ln>
        </c:spPr>
        <c:txPr>
          <a:bodyPr rot="0" vert="horz"/>
          <a:lstStyle/>
          <a:p>
            <a:pPr>
              <a:defRPr sz="1204" b="0" i="0" u="none" strike="noStrike" baseline="0">
                <a:solidFill>
                  <a:srgbClr val="000000"/>
                </a:solidFill>
                <a:latin typeface="宋体"/>
                <a:ea typeface="宋体"/>
                <a:cs typeface="宋体"/>
              </a:defRPr>
            </a:pPr>
            <a:endParaRPr lang="zh-CN"/>
          </a:p>
        </c:txPr>
        <c:crossAx val="199358336"/>
        <c:crosses val="autoZero"/>
        <c:auto val="1"/>
        <c:lblAlgn val="ctr"/>
        <c:lblOffset val="100"/>
        <c:tickLblSkip val="1"/>
        <c:tickMarkSkip val="1"/>
      </c:catAx>
      <c:valAx>
        <c:axId val="199358336"/>
        <c:scaling>
          <c:orientation val="minMax"/>
        </c:scaling>
        <c:axPos val="l"/>
        <c:numFmt formatCode="General" sourceLinked="1"/>
        <c:majorTickMark val="in"/>
        <c:tickLblPos val="nextTo"/>
        <c:spPr>
          <a:ln w="3824">
            <a:solidFill>
              <a:srgbClr val="000000"/>
            </a:solidFill>
            <a:prstDash val="solid"/>
          </a:ln>
        </c:spPr>
        <c:txPr>
          <a:bodyPr rot="0" vert="horz"/>
          <a:lstStyle/>
          <a:p>
            <a:pPr>
              <a:defRPr sz="1204" b="0" i="0" u="none" strike="noStrike" baseline="0">
                <a:solidFill>
                  <a:srgbClr val="000000"/>
                </a:solidFill>
                <a:latin typeface="宋体"/>
                <a:ea typeface="宋体"/>
                <a:cs typeface="宋体"/>
              </a:defRPr>
            </a:pPr>
            <a:endParaRPr lang="zh-CN"/>
          </a:p>
        </c:txPr>
        <c:crossAx val="199356800"/>
        <c:crosses val="autoZero"/>
        <c:crossBetween val="between"/>
      </c:valAx>
      <c:spPr>
        <a:solidFill>
          <a:srgbClr val="C0C0C0"/>
        </a:solidFill>
        <a:ln w="15296">
          <a:solidFill>
            <a:srgbClr val="808080"/>
          </a:solidFill>
          <a:prstDash val="solid"/>
        </a:ln>
      </c:spPr>
    </c:plotArea>
    <c:legend>
      <c:legendPos val="r"/>
      <c:layout>
        <c:manualLayout>
          <c:xMode val="edge"/>
          <c:yMode val="edge"/>
          <c:x val="0.49175192129761097"/>
          <c:y val="0.41530359573539682"/>
          <c:w val="0.16052631578947371"/>
          <c:h val="0.18877551020408162"/>
        </c:manualLayout>
      </c:layout>
      <c:spPr>
        <a:solidFill>
          <a:srgbClr val="FFFFFF"/>
        </a:solidFill>
        <a:ln w="3824">
          <a:solidFill>
            <a:srgbClr val="000000"/>
          </a:solidFill>
          <a:prstDash val="solid"/>
        </a:ln>
        <a:effectLst>
          <a:outerShdw dist="35921" dir="2700000" algn="br">
            <a:srgbClr val="000000"/>
          </a:outerShdw>
        </a:effectLst>
      </c:spPr>
      <c:txPr>
        <a:bodyPr/>
        <a:lstStyle/>
        <a:p>
          <a:pPr>
            <a:defRPr sz="1078"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74" b="0" i="0" u="none" strike="noStrike" baseline="0">
          <a:solidFill>
            <a:srgbClr val="000000"/>
          </a:solidFill>
          <a:latin typeface="宋体"/>
          <a:ea typeface="宋体"/>
          <a:cs typeface="宋体"/>
        </a:defRPr>
      </a:pPr>
      <a:endParaRPr lang="zh-CN"/>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explosion val="25"/>
          <c:dPt>
            <c:idx val="0"/>
            <c:explosion val="3"/>
          </c:dPt>
          <c:dLbls>
            <c:showPercent val="1"/>
          </c:dLbls>
          <c:cat>
            <c:strRef>
              <c:f>Sheet1!$A$1:$F$1</c:f>
              <c:strCache>
                <c:ptCount val="6"/>
                <c:pt idx="0">
                  <c:v>本年支出</c:v>
                </c:pt>
                <c:pt idx="1">
                  <c:v>一般公共服务支出 </c:v>
                </c:pt>
                <c:pt idx="2">
                  <c:v>社会保障和就业支出</c:v>
                </c:pt>
                <c:pt idx="3">
                  <c:v>卫生健康支出</c:v>
                </c:pt>
                <c:pt idx="4">
                  <c:v>住房保障支出</c:v>
                </c:pt>
                <c:pt idx="5">
                  <c:v>科学技术支出</c:v>
                </c:pt>
              </c:strCache>
            </c:strRef>
          </c:cat>
          <c:val>
            <c:numRef>
              <c:f>Sheet1!$A$2:$F$2</c:f>
              <c:numCache>
                <c:formatCode>#,##0.00</c:formatCode>
                <c:ptCount val="6"/>
                <c:pt idx="0">
                  <c:v>1303.4100000000001</c:v>
                </c:pt>
                <c:pt idx="1">
                  <c:v>1116.83</c:v>
                </c:pt>
                <c:pt idx="2" formatCode="General">
                  <c:v>18.45</c:v>
                </c:pt>
                <c:pt idx="3" formatCode="General">
                  <c:v>17.23</c:v>
                </c:pt>
                <c:pt idx="4" formatCode="General">
                  <c:v>31.09</c:v>
                </c:pt>
                <c:pt idx="5" formatCode="General">
                  <c:v>119.8</c:v>
                </c:pt>
              </c:numCache>
            </c:numRef>
          </c:val>
        </c:ser>
        <c:ser>
          <c:idx val="1"/>
          <c:order val="1"/>
          <c:explosion val="25"/>
          <c:dLbls>
            <c:showPercent val="1"/>
          </c:dLbls>
          <c:cat>
            <c:strRef>
              <c:f>Sheet1!$A$1:$F$1</c:f>
              <c:strCache>
                <c:ptCount val="6"/>
                <c:pt idx="0">
                  <c:v>本年支出</c:v>
                </c:pt>
                <c:pt idx="1">
                  <c:v>一般公共服务支出 </c:v>
                </c:pt>
                <c:pt idx="2">
                  <c:v>社会保障和就业支出</c:v>
                </c:pt>
                <c:pt idx="3">
                  <c:v>卫生健康支出</c:v>
                </c:pt>
                <c:pt idx="4">
                  <c:v>住房保障支出</c:v>
                </c:pt>
                <c:pt idx="5">
                  <c:v>科学技术支出</c:v>
                </c:pt>
              </c:strCache>
            </c:strRef>
          </c:cat>
          <c:val>
            <c:numRef>
              <c:f>Sheet1!$A$3:$F$3</c:f>
              <c:numCache>
                <c:formatCode>General</c:formatCode>
                <c:ptCount val="6"/>
              </c:numCache>
            </c:numRef>
          </c:val>
        </c:ser>
        <c:dLbls>
          <c:showPercent val="1"/>
        </c:dLbls>
        <c:firstSliceAng val="0"/>
      </c:pieChart>
    </c:plotArea>
    <c:legend>
      <c:legendPos val="r"/>
    </c:legend>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0.07189</cdr:x>
      <cdr:y>0</cdr:y>
    </cdr:from>
    <cdr:to>
      <cdr:x>0.69716</cdr:x>
      <cdr:y>0.09722</cdr:y>
    </cdr:to>
    <cdr:sp macro="" textlink="">
      <cdr:nvSpPr>
        <cdr:cNvPr id="1025" name="Text Box 1"/>
        <cdr:cNvSpPr txBox="1">
          <a:spLocks xmlns:a="http://schemas.openxmlformats.org/drawingml/2006/main" noChangeArrowheads="1"/>
        </cdr:cNvSpPr>
      </cdr:nvSpPr>
      <cdr:spPr bwMode="auto">
        <a:xfrm xmlns:a="http://schemas.openxmlformats.org/drawingml/2006/main">
          <a:off x="368397" y="0"/>
          <a:ext cx="3204142" cy="23613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1">
            <a:defRPr sz="1000"/>
          </a:pPr>
          <a:r>
            <a:rPr lang="en-US" altLang="zh-CN" sz="1125" b="0" i="0" strike="noStrike">
              <a:solidFill>
                <a:srgbClr val="000000"/>
              </a:solidFill>
              <a:latin typeface="宋体"/>
              <a:ea typeface="宋体"/>
            </a:rPr>
            <a:t>2023</a:t>
          </a:r>
          <a:r>
            <a:rPr lang="zh-CN" altLang="en-US" sz="1125" b="0" i="0" strike="noStrike">
              <a:solidFill>
                <a:srgbClr val="000000"/>
              </a:solidFill>
              <a:latin typeface="宋体"/>
              <a:ea typeface="宋体"/>
            </a:rPr>
            <a:t>年收入支出总体情况表（单位：万元）</a:t>
          </a:r>
        </a:p>
        <a:p xmlns:a="http://schemas.openxmlformats.org/drawingml/2006/main">
          <a:pPr algn="ctr" rtl="1">
            <a:defRPr sz="1000"/>
          </a:pPr>
          <a:endParaRPr lang="zh-CN" altLang="en-US" sz="1125" b="0" i="0" strike="noStrike">
            <a:solidFill>
              <a:srgbClr val="000000"/>
            </a:solidFill>
            <a:latin typeface="宋体"/>
            <a:ea typeface="宋体"/>
          </a:endParaRPr>
        </a:p>
      </cdr:txBody>
    </cdr:sp>
  </cdr:relSizeAnchor>
  <cdr:relSizeAnchor xmlns:cdr="http://schemas.openxmlformats.org/drawingml/2006/chartDrawing">
    <cdr:from>
      <cdr:x>0.14274</cdr:x>
      <cdr:y>0.6367</cdr:y>
    </cdr:from>
    <cdr:to>
      <cdr:x>0.24325</cdr:x>
      <cdr:y>0.75769</cdr:y>
    </cdr:to>
    <cdr:sp macro="" textlink="">
      <cdr:nvSpPr>
        <cdr:cNvPr id="1026" name="Text Box 2"/>
        <cdr:cNvSpPr txBox="1">
          <a:spLocks xmlns:a="http://schemas.openxmlformats.org/drawingml/2006/main" noChangeArrowheads="1"/>
        </cdr:cNvSpPr>
      </cdr:nvSpPr>
      <cdr:spPr bwMode="auto">
        <a:xfrm xmlns:a="http://schemas.openxmlformats.org/drawingml/2006/main">
          <a:off x="731520" y="1543508"/>
          <a:ext cx="515110" cy="293302"/>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1">
            <a:defRPr sz="1000"/>
          </a:pPr>
          <a:r>
            <a:rPr lang="en-US" altLang="zh-CN" sz="1125" b="0" i="0" strike="noStrike">
              <a:solidFill>
                <a:srgbClr val="000000"/>
              </a:solidFill>
              <a:latin typeface="宋体"/>
              <a:ea typeface="宋体"/>
            </a:rPr>
            <a:t>2022</a:t>
          </a:r>
        </a:p>
      </cdr:txBody>
    </cdr:sp>
  </cdr:relSizeAnchor>
  <cdr:relSizeAnchor xmlns:cdr="http://schemas.openxmlformats.org/drawingml/2006/chartDrawing">
    <cdr:from>
      <cdr:x>0.28119</cdr:x>
      <cdr:y>0.64575</cdr:y>
    </cdr:from>
    <cdr:to>
      <cdr:x>0.3754</cdr:x>
      <cdr:y>0.72525</cdr:y>
    </cdr:to>
    <cdr:sp macro="" textlink="">
      <cdr:nvSpPr>
        <cdr:cNvPr id="1027" name="Text Box 3"/>
        <cdr:cNvSpPr txBox="1">
          <a:spLocks xmlns:a="http://schemas.openxmlformats.org/drawingml/2006/main" noChangeArrowheads="1"/>
        </cdr:cNvSpPr>
      </cdr:nvSpPr>
      <cdr:spPr bwMode="auto">
        <a:xfrm xmlns:a="http://schemas.openxmlformats.org/drawingml/2006/main">
          <a:off x="1441094" y="1565452"/>
          <a:ext cx="482804" cy="19271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1">
            <a:defRPr sz="1000"/>
          </a:pPr>
          <a:r>
            <a:rPr lang="en-US" altLang="zh-CN" sz="1125" b="0" i="0" strike="noStrike">
              <a:solidFill>
                <a:srgbClr val="000000"/>
              </a:solidFill>
              <a:latin typeface="宋体"/>
              <a:ea typeface="宋体"/>
            </a:rPr>
            <a:t>2023</a:t>
          </a:r>
        </a:p>
      </cdr:txBody>
    </cdr:sp>
  </cdr:relSizeAnchor>
</c:userShapes>
</file>

<file path=word/drawings/drawing2.xml><?xml version="1.0" encoding="utf-8"?>
<c:userShapes xmlns:c="http://schemas.openxmlformats.org/drawingml/2006/chart">
  <cdr:relSizeAnchor xmlns:cdr="http://schemas.openxmlformats.org/drawingml/2006/chartDrawing">
    <cdr:from>
      <cdr:x>0.11445</cdr:x>
      <cdr:y>0</cdr:y>
    </cdr:from>
    <cdr:to>
      <cdr:x>0.83935</cdr:x>
      <cdr:y>0.125</cdr:y>
    </cdr:to>
    <cdr:sp macro="" textlink="">
      <cdr:nvSpPr>
        <cdr:cNvPr id="1025" name="Text Box 1"/>
        <cdr:cNvSpPr txBox="1">
          <a:spLocks xmlns:a="http://schemas.openxmlformats.org/drawingml/2006/main" noChangeArrowheads="1"/>
        </cdr:cNvSpPr>
      </cdr:nvSpPr>
      <cdr:spPr bwMode="auto">
        <a:xfrm xmlns:a="http://schemas.openxmlformats.org/drawingml/2006/main">
          <a:off x="606125" y="0"/>
          <a:ext cx="3838998" cy="43457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1">
            <a:defRPr sz="1000"/>
          </a:pPr>
          <a:r>
            <a:rPr lang="en-US" altLang="zh-CN" sz="1200" b="0" i="0" strike="noStrike">
              <a:solidFill>
                <a:srgbClr val="000000"/>
              </a:solidFill>
              <a:latin typeface="宋体"/>
              <a:ea typeface="宋体"/>
            </a:rPr>
            <a:t>2023</a:t>
          </a:r>
          <a:r>
            <a:rPr lang="zh-CN" altLang="en-US" sz="1200" b="0" i="0" strike="noStrike">
              <a:solidFill>
                <a:srgbClr val="000000"/>
              </a:solidFill>
              <a:latin typeface="宋体"/>
              <a:ea typeface="宋体"/>
            </a:rPr>
            <a:t>年一般公共预算财政拨款支出决算变动情况表            （单位：万元）</a:t>
          </a:r>
        </a:p>
        <a:p xmlns:a="http://schemas.openxmlformats.org/drawingml/2006/main">
          <a:pPr algn="ctr" rtl="1">
            <a:defRPr sz="1000"/>
          </a:pPr>
          <a:endParaRPr lang="zh-CN" altLang="en-US" sz="1125" b="0" i="0" strike="noStrike">
            <a:solidFill>
              <a:srgbClr val="000000"/>
            </a:solidFill>
            <a:latin typeface="宋体"/>
            <a:ea typeface="宋体"/>
          </a:endParaRPr>
        </a:p>
      </cdr:txBody>
    </cdr:sp>
  </cdr:relSizeAnchor>
  <cdr:relSizeAnchor xmlns:cdr="http://schemas.openxmlformats.org/drawingml/2006/chartDrawing">
    <cdr:from>
      <cdr:x>0.09367</cdr:x>
      <cdr:y>0.61154</cdr:y>
    </cdr:from>
    <cdr:to>
      <cdr:x>0.24325</cdr:x>
      <cdr:y>0.75769</cdr:y>
    </cdr:to>
    <cdr:sp macro="" textlink="">
      <cdr:nvSpPr>
        <cdr:cNvPr id="1026" name="Text Box 2"/>
        <cdr:cNvSpPr txBox="1">
          <a:spLocks xmlns:a="http://schemas.openxmlformats.org/drawingml/2006/main" noChangeArrowheads="1"/>
        </cdr:cNvSpPr>
      </cdr:nvSpPr>
      <cdr:spPr bwMode="auto">
        <a:xfrm xmlns:a="http://schemas.openxmlformats.org/drawingml/2006/main">
          <a:off x="419101" y="1514475"/>
          <a:ext cx="669252" cy="361949"/>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1">
            <a:defRPr sz="1000"/>
          </a:pPr>
          <a:endParaRPr lang="en-US" altLang="zh-CN" sz="1125" b="0" i="0" strike="noStrike">
            <a:solidFill>
              <a:srgbClr val="000000"/>
            </a:solidFill>
            <a:latin typeface="宋体"/>
            <a:ea typeface="宋体"/>
          </a:endParaRPr>
        </a:p>
      </cdr:txBody>
    </cdr:sp>
  </cdr:relSizeAnchor>
  <cdr:relSizeAnchor xmlns:cdr="http://schemas.openxmlformats.org/drawingml/2006/chartDrawing">
    <cdr:from>
      <cdr:x>0.2325</cdr:x>
      <cdr:y>0.6335</cdr:y>
    </cdr:from>
    <cdr:to>
      <cdr:x>0.32725</cdr:x>
      <cdr:y>0.72525</cdr:y>
    </cdr:to>
    <cdr:sp macro="" textlink="">
      <cdr:nvSpPr>
        <cdr:cNvPr id="1027" name="Text Box 3"/>
        <cdr:cNvSpPr txBox="1">
          <a:spLocks xmlns:a="http://schemas.openxmlformats.org/drawingml/2006/main" noChangeArrowheads="1"/>
        </cdr:cNvSpPr>
      </cdr:nvSpPr>
      <cdr:spPr bwMode="auto">
        <a:xfrm xmlns:a="http://schemas.openxmlformats.org/drawingml/2006/main">
          <a:off x="1040254" y="1991249"/>
          <a:ext cx="423931" cy="28839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1">
            <a:defRPr sz="1000"/>
          </a:pPr>
          <a:endParaRPr lang="en-US" altLang="zh-CN" sz="1125" b="0" i="0" strike="noStrike">
            <a:solidFill>
              <a:srgbClr val="000000"/>
            </a:solidFill>
            <a:latin typeface="宋体"/>
            <a:ea typeface="宋体"/>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7861-246B-496A-B4E1-EAF1C9CB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46</Pages>
  <Words>2884</Words>
  <Characters>16445</Characters>
  <Application>Microsoft Office Word</Application>
  <DocSecurity>0</DocSecurity>
  <Lines>137</Lines>
  <Paragraphs>38</Paragraphs>
  <ScaleCrop>false</ScaleCrop>
  <Company>四川省财政厅</Company>
  <LinksUpToDate>false</LinksUpToDate>
  <CharactersWithSpaces>19291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微软用户</cp:lastModifiedBy>
  <cp:revision>11</cp:revision>
  <cp:lastPrinted>2019-08-01T00:48:00Z</cp:lastPrinted>
  <dcterms:created xsi:type="dcterms:W3CDTF">2023-09-28T02:55:00Z</dcterms:created>
  <dcterms:modified xsi:type="dcterms:W3CDTF">2024-10-25T06:42:00Z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C0F6D4BA5D1B448D8F52A967579A924D</vt:lpwstr>
  </property>
</Properties>
</file>