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BE13E">
      <w:pPr>
        <w:spacing w:line="600" w:lineRule="exact"/>
        <w:jc w:val="left"/>
        <w:outlineLvl w:val="9"/>
        <w:rPr>
          <w:rFonts w:ascii="方正小标宋简体" w:hAnsi="宋体" w:eastAsia="方正小标宋简体"/>
          <w:szCs w:val="21"/>
        </w:rPr>
      </w:pPr>
      <w:bookmarkStart w:id="0" w:name="_Toc15306267"/>
    </w:p>
    <w:p w14:paraId="52C55B9F">
      <w:pPr>
        <w:pStyle w:val="6"/>
        <w:spacing w:before="93"/>
      </w:pPr>
    </w:p>
    <w:p w14:paraId="3B196DA3">
      <w:pPr>
        <w:spacing w:line="600" w:lineRule="exact"/>
        <w:jc w:val="center"/>
        <w:outlineLvl w:val="9"/>
        <w:rPr>
          <w:rFonts w:ascii="方正小标宋简体" w:hAnsi="宋体" w:eastAsia="方正小标宋简体"/>
          <w:sz w:val="72"/>
          <w:szCs w:val="72"/>
        </w:rPr>
      </w:pPr>
    </w:p>
    <w:p w14:paraId="184EF11C">
      <w:pPr>
        <w:spacing w:line="600" w:lineRule="exact"/>
        <w:jc w:val="center"/>
        <w:outlineLvl w:val="9"/>
        <w:rPr>
          <w:rFonts w:ascii="方正小标宋简体" w:hAnsi="宋体" w:eastAsia="方正小标宋简体"/>
          <w:sz w:val="72"/>
          <w:szCs w:val="72"/>
        </w:rPr>
      </w:pPr>
    </w:p>
    <w:p w14:paraId="4A02089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96475"/>
      <w:bookmarkStart w:id="4" w:name="_Toc15377193"/>
      <w:bookmarkStart w:id="5" w:name="_Toc29648"/>
      <w:bookmarkStart w:id="6"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74C60A9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426"/>
      <w:bookmarkStart w:id="8" w:name="_Toc3395"/>
      <w:bookmarkStart w:id="9" w:name="_Toc15378442"/>
      <w:bookmarkStart w:id="10" w:name="_Toc15377194"/>
      <w:bookmarkStart w:id="11" w:name="_Toc15396598"/>
      <w:bookmarkStart w:id="12" w:name="_Toc15396476"/>
      <w:r>
        <w:rPr>
          <w:rFonts w:hint="eastAsia" w:ascii="方正小标宋简体" w:hAnsi="方正小标宋简体" w:eastAsia="方正小标宋简体" w:cs="方正小标宋简体"/>
          <w:sz w:val="72"/>
          <w:szCs w:val="72"/>
          <w:highlight w:val="yellow"/>
        </w:rPr>
        <w:t>四川省大竹县童家镇人民政府</w:t>
      </w:r>
      <w:bookmarkEnd w:id="0"/>
      <w:bookmarkStart w:id="13" w:name="_Toc15306268"/>
      <w:r>
        <w:rPr>
          <w:rFonts w:hint="eastAsia" w:ascii="方正小标宋简体" w:hAnsi="方正小标宋简体" w:eastAsia="方正小标宋简体" w:cs="方正小标宋简体"/>
          <w:sz w:val="72"/>
          <w:szCs w:val="72"/>
          <w:highlight w:val="yellow"/>
        </w:rPr>
        <w:t>决算</w:t>
      </w:r>
      <w:bookmarkEnd w:id="7"/>
      <w:bookmarkEnd w:id="8"/>
      <w:bookmarkEnd w:id="9"/>
      <w:bookmarkEnd w:id="10"/>
      <w:bookmarkEnd w:id="11"/>
      <w:bookmarkEnd w:id="12"/>
      <w:bookmarkEnd w:id="13"/>
    </w:p>
    <w:p w14:paraId="280B79E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AF8AB43">
      <w:pPr>
        <w:widowControl/>
        <w:jc w:val="center"/>
        <w:rPr>
          <w:rFonts w:ascii="黑体" w:hAnsi="黑体" w:eastAsia="黑体" w:cstheme="minorBidi"/>
          <w:sz w:val="28"/>
          <w:szCs w:val="28"/>
        </w:rPr>
      </w:pPr>
    </w:p>
    <w:p w14:paraId="097AD6A4">
      <w:pPr>
        <w:pStyle w:val="12"/>
        <w:rPr>
          <w:rFonts w:hint="default" w:eastAsia="仿宋"/>
          <w:highlight w:val="yellow"/>
          <w:lang w:val="en-US" w:eastAsia="zh-CN"/>
        </w:rPr>
      </w:pPr>
      <w:r>
        <w:rPr>
          <w:rFonts w:hint="eastAsia"/>
          <w:highlight w:val="yellow"/>
        </w:rPr>
        <w:t>公开时间：202</w:t>
      </w:r>
      <w:r>
        <w:rPr>
          <w:rFonts w:hint="eastAsia"/>
          <w:highlight w:val="yellow"/>
          <w:lang w:val="en-US" w:eastAsia="zh-CN"/>
        </w:rPr>
        <w:t>4</w:t>
      </w:r>
      <w:r>
        <w:rPr>
          <w:rFonts w:hint="eastAsia"/>
          <w:highlight w:val="yellow"/>
        </w:rPr>
        <w:t>年</w:t>
      </w:r>
      <w:r>
        <w:rPr>
          <w:rFonts w:hint="eastAsia"/>
          <w:highlight w:val="yellow"/>
          <w:lang w:val="en-US" w:eastAsia="zh-CN"/>
        </w:rPr>
        <w:t>10</w:t>
      </w:r>
      <w:r>
        <w:rPr>
          <w:rFonts w:hint="eastAsia"/>
          <w:highlight w:val="yellow"/>
        </w:rPr>
        <w:t>月</w:t>
      </w:r>
      <w:r>
        <w:rPr>
          <w:rFonts w:hint="eastAsia"/>
          <w:highlight w:val="yellow"/>
          <w:lang w:val="en-US" w:eastAsia="zh-CN"/>
        </w:rPr>
        <w:t>18</w:t>
      </w:r>
      <w:r>
        <w:rPr>
          <w:rFonts w:hint="eastAsia"/>
          <w:highlight w:val="yellow"/>
        </w:rPr>
        <w:t>日</w:t>
      </w:r>
    </w:p>
    <w:p w14:paraId="7E453E0B"/>
    <w:sdt>
      <w:sdtPr>
        <w:rPr>
          <w:rFonts w:ascii="宋体" w:hAnsi="宋体" w:eastAsia="宋体" w:cs="Times New Roman"/>
          <w:kern w:val="2"/>
          <w:sz w:val="21"/>
          <w:szCs w:val="24"/>
          <w:lang w:val="en-US" w:eastAsia="zh-CN" w:bidi="ar-SA"/>
        </w:rPr>
        <w:id w:val="147470980"/>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C818205">
          <w:pPr>
            <w:spacing w:before="0" w:beforeLines="0" w:after="0" w:afterLines="0" w:line="240" w:lineRule="auto"/>
            <w:ind w:left="0" w:leftChars="0" w:right="0" w:rightChars="0" w:firstLine="0" w:firstLineChars="0"/>
            <w:jc w:val="center"/>
          </w:pPr>
          <w:bookmarkStart w:id="14" w:name="_Toc15396599"/>
          <w:bookmarkStart w:id="15" w:name="_Toc15377196"/>
          <w:r>
            <w:rPr>
              <w:rFonts w:ascii="宋体" w:hAnsi="宋体" w:eastAsia="宋体"/>
              <w:sz w:val="21"/>
            </w:rPr>
            <w:t>目录</w:t>
          </w:r>
        </w:p>
        <w:p w14:paraId="23BDCC54">
          <w:pPr>
            <w:pStyle w:val="33"/>
            <w:tabs>
              <w:tab w:val="right" w:leader="dot" w:pos="8306"/>
            </w:tabs>
            <w:rPr>
              <w:b/>
            </w:rPr>
          </w:pPr>
          <w:r>
            <w:fldChar w:fldCharType="begin"/>
          </w:r>
          <w:r>
            <w:instrText xml:space="preserve">TOC \o "1-2" \h \u </w:instrText>
          </w:r>
          <w:r>
            <w:fldChar w:fldCharType="separate"/>
          </w:r>
        </w:p>
        <w:p w14:paraId="0C11E302">
          <w:pPr>
            <w:pStyle w:val="33"/>
            <w:tabs>
              <w:tab w:val="right" w:leader="dot" w:pos="8306"/>
            </w:tabs>
            <w:rPr>
              <w:b/>
            </w:rPr>
          </w:pPr>
          <w:r>
            <w:rPr>
              <w:b/>
            </w:rPr>
            <w:fldChar w:fldCharType="begin"/>
          </w:r>
          <w:r>
            <w:rPr>
              <w:b/>
            </w:rPr>
            <w:instrText xml:space="preserve"> HYPERLINK \l _Toc12612 </w:instrText>
          </w:r>
          <w:r>
            <w:rPr>
              <w:b/>
            </w:rPr>
            <w:fldChar w:fldCharType="separate"/>
          </w:r>
          <w:r>
            <w:rPr>
              <w:rFonts w:hint="eastAsia" w:ascii="仿宋" w:hAnsi="仿宋" w:eastAsia="仿宋" w:cs="仿宋"/>
              <w:b w:val="0"/>
              <w:bCs/>
              <w:sz w:val="24"/>
              <w:szCs w:val="24"/>
            </w:rPr>
            <w:t>第一部分 单位概况</w:t>
          </w:r>
          <w:r>
            <w:rPr>
              <w:b/>
            </w:rPr>
            <w:tab/>
          </w:r>
          <w:r>
            <w:rPr>
              <w:b/>
            </w:rPr>
            <w:fldChar w:fldCharType="begin"/>
          </w:r>
          <w:r>
            <w:rPr>
              <w:b/>
            </w:rPr>
            <w:instrText xml:space="preserve"> PAGEREF _Toc12612 \h </w:instrText>
          </w:r>
          <w:r>
            <w:rPr>
              <w:b/>
            </w:rPr>
            <w:fldChar w:fldCharType="separate"/>
          </w:r>
          <w:r>
            <w:rPr>
              <w:b/>
            </w:rPr>
            <w:t>4</w:t>
          </w:r>
          <w:r>
            <w:rPr>
              <w:b/>
            </w:rPr>
            <w:fldChar w:fldCharType="end"/>
          </w:r>
          <w:r>
            <w:rPr>
              <w:b/>
            </w:rPr>
            <w:fldChar w:fldCharType="end"/>
          </w:r>
        </w:p>
        <w:p w14:paraId="16B8C4DC">
          <w:pPr>
            <w:pStyle w:val="34"/>
            <w:tabs>
              <w:tab w:val="right" w:leader="dot" w:pos="8306"/>
            </w:tabs>
          </w:pPr>
          <w:r>
            <w:fldChar w:fldCharType="begin"/>
          </w:r>
          <w:r>
            <w:instrText xml:space="preserve"> HYPERLINK \l _Toc3552 </w:instrText>
          </w:r>
          <w:r>
            <w:fldChar w:fldCharType="separate"/>
          </w:r>
          <w:r>
            <w:rPr>
              <w:rFonts w:hint="eastAsia" w:ascii="宋体" w:hAnsi="宋体" w:eastAsia="宋体" w:cs="宋体"/>
              <w:sz w:val="24"/>
              <w:szCs w:val="24"/>
            </w:rPr>
            <w:t>一、主要职责</w:t>
          </w:r>
          <w:r>
            <w:tab/>
          </w:r>
          <w:r>
            <w:fldChar w:fldCharType="begin"/>
          </w:r>
          <w:r>
            <w:instrText xml:space="preserve"> PAGEREF _Toc3552 \h </w:instrText>
          </w:r>
          <w:r>
            <w:fldChar w:fldCharType="separate"/>
          </w:r>
          <w:r>
            <w:t>4</w:t>
          </w:r>
          <w:r>
            <w:fldChar w:fldCharType="end"/>
          </w:r>
          <w:r>
            <w:fldChar w:fldCharType="end"/>
          </w:r>
        </w:p>
        <w:p w14:paraId="0D05983A">
          <w:pPr>
            <w:pStyle w:val="34"/>
            <w:tabs>
              <w:tab w:val="right" w:leader="dot" w:pos="8306"/>
            </w:tabs>
          </w:pPr>
          <w:r>
            <w:fldChar w:fldCharType="begin"/>
          </w:r>
          <w:r>
            <w:instrText xml:space="preserve"> HYPERLINK \l _Toc4380 </w:instrText>
          </w:r>
          <w:r>
            <w:fldChar w:fldCharType="separate"/>
          </w:r>
          <w:r>
            <w:rPr>
              <w:rFonts w:hint="eastAsia" w:ascii="宋体" w:hAnsi="宋体" w:eastAsia="宋体" w:cs="宋体"/>
              <w:sz w:val="24"/>
              <w:szCs w:val="24"/>
            </w:rPr>
            <w:t>二、机构设置</w:t>
          </w:r>
          <w:r>
            <w:tab/>
          </w:r>
          <w:r>
            <w:fldChar w:fldCharType="begin"/>
          </w:r>
          <w:r>
            <w:instrText xml:space="preserve"> PAGEREF _Toc4380 \h </w:instrText>
          </w:r>
          <w:r>
            <w:fldChar w:fldCharType="separate"/>
          </w:r>
          <w:r>
            <w:t>4</w:t>
          </w:r>
          <w:r>
            <w:fldChar w:fldCharType="end"/>
          </w:r>
          <w:r>
            <w:fldChar w:fldCharType="end"/>
          </w:r>
        </w:p>
        <w:p w14:paraId="7A7F2843">
          <w:pPr>
            <w:pStyle w:val="33"/>
            <w:tabs>
              <w:tab w:val="right" w:leader="dot" w:pos="8306"/>
            </w:tabs>
            <w:rPr>
              <w:b/>
            </w:rPr>
          </w:pPr>
          <w:r>
            <w:rPr>
              <w:b/>
            </w:rPr>
            <w:fldChar w:fldCharType="begin"/>
          </w:r>
          <w:r>
            <w:rPr>
              <w:b/>
            </w:rPr>
            <w:instrText xml:space="preserve"> HYPERLINK \l _Toc9065 </w:instrText>
          </w:r>
          <w:r>
            <w:rPr>
              <w:b/>
            </w:rPr>
            <w:fldChar w:fldCharType="separate"/>
          </w:r>
          <w:r>
            <w:rPr>
              <w:rFonts w:hint="eastAsia" w:ascii="仿宋" w:hAnsi="仿宋" w:eastAsia="仿宋" w:cs="仿宋"/>
              <w:b w:val="0"/>
              <w:bCs/>
              <w:sz w:val="24"/>
              <w:szCs w:val="24"/>
            </w:rPr>
            <w:t>第二部分 2023年度单位决算情况说明</w:t>
          </w:r>
          <w:r>
            <w:rPr>
              <w:b/>
            </w:rPr>
            <w:tab/>
          </w:r>
          <w:r>
            <w:rPr>
              <w:b/>
            </w:rPr>
            <w:fldChar w:fldCharType="begin"/>
          </w:r>
          <w:r>
            <w:rPr>
              <w:b/>
            </w:rPr>
            <w:instrText xml:space="preserve"> PAGEREF _Toc9065 \h </w:instrText>
          </w:r>
          <w:r>
            <w:rPr>
              <w:b/>
            </w:rPr>
            <w:fldChar w:fldCharType="separate"/>
          </w:r>
          <w:r>
            <w:rPr>
              <w:b/>
            </w:rPr>
            <w:t>5</w:t>
          </w:r>
          <w:r>
            <w:rPr>
              <w:b/>
            </w:rPr>
            <w:fldChar w:fldCharType="end"/>
          </w:r>
          <w:r>
            <w:rPr>
              <w:b/>
            </w:rPr>
            <w:fldChar w:fldCharType="end"/>
          </w:r>
        </w:p>
        <w:p w14:paraId="2E441906">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_Toc8948 </w:instrText>
          </w:r>
          <w:r>
            <w:rPr>
              <w:rFonts w:hint="eastAsia" w:ascii="宋体" w:hAnsi="宋体" w:eastAsia="宋体" w:cs="宋体"/>
              <w:sz w:val="24"/>
              <w:szCs w:val="24"/>
            </w:rPr>
            <w:fldChar w:fldCharType="separate"/>
          </w:r>
          <w:r>
            <w:rPr>
              <w:rFonts w:hint="default" w:ascii="宋体" w:hAnsi="宋体" w:eastAsia="宋体" w:cs="宋体"/>
              <w:sz w:val="24"/>
              <w:szCs w:val="24"/>
            </w:rPr>
            <w:t>一、</w:t>
          </w:r>
          <w:r>
            <w:rPr>
              <w:rFonts w:hint="eastAsia" w:ascii="宋体" w:hAnsi="宋体" w:eastAsia="宋体" w:cs="宋体"/>
              <w:sz w:val="24"/>
              <w:szCs w:val="24"/>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_Toc8948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09B372">
          <w:pPr>
            <w:pStyle w:val="34"/>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_Toc8623 </w:instrText>
          </w:r>
          <w:r>
            <w:rPr>
              <w:rFonts w:hint="eastAsia" w:ascii="宋体" w:hAnsi="宋体" w:eastAsia="宋体" w:cs="宋体"/>
              <w:sz w:val="24"/>
              <w:szCs w:val="24"/>
            </w:rPr>
            <w:fldChar w:fldCharType="separate"/>
          </w:r>
          <w:r>
            <w:rPr>
              <w:rFonts w:hint="default" w:ascii="宋体" w:hAnsi="宋体" w:eastAsia="宋体" w:cs="宋体"/>
              <w:sz w:val="24"/>
              <w:szCs w:val="24"/>
            </w:rPr>
            <w:t>二、</w:t>
          </w:r>
          <w:r>
            <w:rPr>
              <w:rFonts w:hint="eastAsia" w:ascii="宋体" w:hAnsi="宋体" w:eastAsia="宋体" w:cs="宋体"/>
              <w:sz w:val="24"/>
              <w:szCs w:val="24"/>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_Toc8623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BED6A2">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_Toc17182 </w:instrText>
          </w:r>
          <w:r>
            <w:rPr>
              <w:rFonts w:hint="eastAsia" w:ascii="宋体" w:hAnsi="宋体" w:eastAsia="宋体" w:cs="宋体"/>
              <w:sz w:val="24"/>
              <w:szCs w:val="24"/>
            </w:rPr>
            <w:fldChar w:fldCharType="separate"/>
          </w:r>
          <w:r>
            <w:rPr>
              <w:rFonts w:hint="default" w:ascii="宋体" w:hAnsi="宋体" w:eastAsia="宋体" w:cs="宋体"/>
              <w:sz w:val="24"/>
              <w:szCs w:val="24"/>
            </w:rPr>
            <w:t>三、</w:t>
          </w:r>
          <w:r>
            <w:rPr>
              <w:rFonts w:hint="eastAsia" w:ascii="宋体" w:hAnsi="宋体" w:eastAsia="宋体" w:cs="宋体"/>
              <w:sz w:val="24"/>
              <w:szCs w:val="24"/>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_Toc17182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17618F">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_Toc15608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_Toc15608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AB96B7">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_Toc17149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D65C28">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_Toc7697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_Toc7697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896105">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_Toc10951 </w:instrText>
          </w:r>
          <w:r>
            <w:rPr>
              <w:rFonts w:hint="eastAsia" w:ascii="宋体" w:hAnsi="宋体" w:eastAsia="宋体" w:cs="宋体"/>
              <w:sz w:val="24"/>
              <w:szCs w:val="24"/>
            </w:rPr>
            <w:fldChar w:fldCharType="separate"/>
          </w:r>
          <w:r>
            <w:rPr>
              <w:rFonts w:hint="eastAsia" w:ascii="宋体" w:hAnsi="宋体" w:eastAsia="宋体" w:cs="宋体"/>
              <w:sz w:val="24"/>
              <w:szCs w:val="24"/>
            </w:rPr>
            <w:t>七、财政拨款“三公”经费支出决算情况说明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_Toc10951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5092A7">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_Toc23876 </w:instrText>
          </w:r>
          <w:r>
            <w:rPr>
              <w:rFonts w:hint="eastAsia" w:ascii="宋体" w:hAnsi="宋体" w:eastAsia="宋体" w:cs="宋体"/>
              <w:sz w:val="24"/>
              <w:szCs w:val="24"/>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_Toc23876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21F8AAA">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_Toc28704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九、</w:t>
          </w:r>
          <w:r>
            <w:rPr>
              <w:rFonts w:hint="eastAsia" w:ascii="宋体" w:hAnsi="宋体" w:eastAsia="宋体" w:cs="宋体"/>
              <w:sz w:val="24"/>
              <w:szCs w:val="24"/>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_Toc28704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B69E42">
          <w:pPr>
            <w:pStyle w:val="34"/>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_Toc23558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十</w:t>
          </w:r>
          <w:r>
            <w:rPr>
              <w:rFonts w:hint="eastAsia" w:ascii="宋体" w:hAnsi="宋体" w:eastAsia="宋体" w:cs="宋体"/>
              <w:sz w:val="24"/>
              <w:szCs w:val="24"/>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_Toc23558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B72D0E">
          <w:pPr>
            <w:pStyle w:val="33"/>
            <w:tabs>
              <w:tab w:val="right" w:leader="dot" w:pos="8306"/>
            </w:tabs>
            <w:rPr>
              <w:b/>
            </w:rPr>
          </w:pPr>
          <w:r>
            <w:rPr>
              <w:b/>
            </w:rPr>
            <w:fldChar w:fldCharType="begin"/>
          </w:r>
          <w:r>
            <w:rPr>
              <w:b/>
            </w:rPr>
            <w:instrText xml:space="preserve"> HYPERLINK \l _Toc149 </w:instrText>
          </w:r>
          <w:r>
            <w:rPr>
              <w:b/>
            </w:rPr>
            <w:fldChar w:fldCharType="separate"/>
          </w:r>
          <w:r>
            <w:rPr>
              <w:rFonts w:hint="eastAsia" w:ascii="仿宋" w:hAnsi="仿宋" w:eastAsia="仿宋" w:cs="仿宋"/>
              <w:b w:val="0"/>
              <w:bCs/>
              <w:sz w:val="24"/>
              <w:szCs w:val="24"/>
            </w:rPr>
            <w:t>第三部分 名词解释</w:t>
          </w:r>
          <w:r>
            <w:rPr>
              <w:b/>
            </w:rPr>
            <w:tab/>
          </w:r>
          <w:r>
            <w:rPr>
              <w:b/>
            </w:rPr>
            <w:fldChar w:fldCharType="begin"/>
          </w:r>
          <w:r>
            <w:rPr>
              <w:b/>
            </w:rPr>
            <w:instrText xml:space="preserve"> PAGEREF _Toc149 \h </w:instrText>
          </w:r>
          <w:r>
            <w:rPr>
              <w:b/>
            </w:rPr>
            <w:fldChar w:fldCharType="separate"/>
          </w:r>
          <w:r>
            <w:rPr>
              <w:b/>
            </w:rPr>
            <w:t>19</w:t>
          </w:r>
          <w:r>
            <w:rPr>
              <w:b/>
            </w:rPr>
            <w:fldChar w:fldCharType="end"/>
          </w:r>
          <w:r>
            <w:rPr>
              <w:b/>
            </w:rPr>
            <w:fldChar w:fldCharType="end"/>
          </w:r>
        </w:p>
        <w:p w14:paraId="455A5B94">
          <w:pPr>
            <w:pStyle w:val="33"/>
            <w:tabs>
              <w:tab w:val="right" w:leader="dot" w:pos="8306"/>
            </w:tabs>
          </w:pPr>
          <w:r>
            <w:rPr>
              <w:b/>
            </w:rPr>
            <w:fldChar w:fldCharType="begin"/>
          </w:r>
          <w:r>
            <w:rPr>
              <w:b/>
            </w:rPr>
            <w:instrText xml:space="preserve"> HYPERLINK \l _Toc6417 </w:instrText>
          </w:r>
          <w:r>
            <w:rPr>
              <w:b/>
            </w:rPr>
            <w:fldChar w:fldCharType="separate"/>
          </w:r>
          <w:r>
            <w:rPr>
              <w:rFonts w:hint="eastAsia" w:ascii="仿宋" w:hAnsi="仿宋" w:eastAsia="仿宋" w:cs="仿宋"/>
              <w:b w:val="0"/>
              <w:bCs/>
              <w:sz w:val="24"/>
              <w:szCs w:val="24"/>
            </w:rPr>
            <w:t>第四部分 附件</w:t>
          </w:r>
          <w:r>
            <w:rPr>
              <w:b/>
            </w:rPr>
            <w:tab/>
          </w:r>
          <w:r>
            <w:rPr>
              <w:b/>
            </w:rPr>
            <w:fldChar w:fldCharType="begin"/>
          </w:r>
          <w:r>
            <w:rPr>
              <w:b/>
            </w:rPr>
            <w:instrText xml:space="preserve"> PAGEREF _Toc6417 \h </w:instrText>
          </w:r>
          <w:r>
            <w:rPr>
              <w:b/>
            </w:rPr>
            <w:fldChar w:fldCharType="separate"/>
          </w:r>
          <w:r>
            <w:rPr>
              <w:b/>
            </w:rPr>
            <w:t>26</w:t>
          </w:r>
          <w:r>
            <w:rPr>
              <w:b/>
            </w:rPr>
            <w:fldChar w:fldCharType="end"/>
          </w:r>
          <w:r>
            <w:rPr>
              <w:b/>
            </w:rPr>
            <w:fldChar w:fldCharType="end"/>
          </w:r>
        </w:p>
        <w:p w14:paraId="21750A9A">
          <w:pPr>
            <w:pStyle w:val="33"/>
            <w:tabs>
              <w:tab w:val="right" w:leader="dot" w:pos="8306"/>
            </w:tabs>
            <w:rPr>
              <w:b/>
            </w:rPr>
          </w:pPr>
          <w:r>
            <w:rPr>
              <w:b/>
            </w:rPr>
            <w:fldChar w:fldCharType="begin"/>
          </w:r>
          <w:r>
            <w:rPr>
              <w:b/>
            </w:rPr>
            <w:instrText xml:space="preserve"> HYPERLINK \l _Toc11969 </w:instrText>
          </w:r>
          <w:r>
            <w:rPr>
              <w:b/>
            </w:rPr>
            <w:fldChar w:fldCharType="separate"/>
          </w:r>
          <w:r>
            <w:rPr>
              <w:rFonts w:hint="eastAsia" w:ascii="仿宋" w:hAnsi="仿宋" w:eastAsia="仿宋" w:cs="仿宋"/>
              <w:b w:val="0"/>
              <w:bCs/>
              <w:sz w:val="24"/>
              <w:szCs w:val="24"/>
            </w:rPr>
            <w:t>第五部分 附表</w:t>
          </w:r>
          <w:r>
            <w:rPr>
              <w:b/>
            </w:rPr>
            <w:tab/>
          </w:r>
          <w:r>
            <w:rPr>
              <w:b/>
            </w:rPr>
            <w:fldChar w:fldCharType="begin"/>
          </w:r>
          <w:r>
            <w:rPr>
              <w:b/>
            </w:rPr>
            <w:instrText xml:space="preserve"> PAGEREF _Toc11969 \h </w:instrText>
          </w:r>
          <w:r>
            <w:rPr>
              <w:b/>
            </w:rPr>
            <w:fldChar w:fldCharType="separate"/>
          </w:r>
          <w:r>
            <w:rPr>
              <w:b/>
            </w:rPr>
            <w:t>27</w:t>
          </w:r>
          <w:r>
            <w:rPr>
              <w:b/>
            </w:rPr>
            <w:fldChar w:fldCharType="end"/>
          </w:r>
          <w:r>
            <w:rPr>
              <w:b/>
            </w:rPr>
            <w:fldChar w:fldCharType="end"/>
          </w:r>
        </w:p>
        <w:p w14:paraId="56323D6C">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_Toc21367 </w:instrText>
          </w:r>
          <w:r>
            <w:rPr>
              <w:rFonts w:hint="eastAsia" w:ascii="宋体" w:hAnsi="宋体" w:eastAsia="宋体" w:cs="宋体"/>
              <w:sz w:val="24"/>
              <w:szCs w:val="24"/>
            </w:rPr>
            <w:fldChar w:fldCharType="separate"/>
          </w: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_Toc21367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56AEA4">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_Toc32626 </w:instrText>
          </w:r>
          <w:r>
            <w:rPr>
              <w:rFonts w:hint="eastAsia" w:ascii="宋体" w:hAnsi="宋体" w:eastAsia="宋体" w:cs="宋体"/>
              <w:sz w:val="24"/>
              <w:szCs w:val="24"/>
            </w:rPr>
            <w:fldChar w:fldCharType="separate"/>
          </w: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_Toc32626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3C4AF5">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_Toc12129 </w:instrText>
          </w:r>
          <w:r>
            <w:rPr>
              <w:rFonts w:hint="eastAsia" w:ascii="宋体" w:hAnsi="宋体" w:eastAsia="宋体" w:cs="宋体"/>
              <w:sz w:val="24"/>
              <w:szCs w:val="24"/>
            </w:rPr>
            <w:fldChar w:fldCharType="separate"/>
          </w: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_Toc12129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123DB6">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_Toc15717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_Toc15717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8380DE">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_Toc19861 </w:instrText>
          </w:r>
          <w:r>
            <w:rPr>
              <w:rFonts w:hint="eastAsia" w:ascii="宋体" w:hAnsi="宋体" w:eastAsia="宋体" w:cs="宋体"/>
              <w:sz w:val="24"/>
              <w:szCs w:val="24"/>
            </w:rPr>
            <w:fldChar w:fldCharType="separate"/>
          </w: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_Toc19861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D367FF">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_Toc29503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_Toc29503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803E35">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_Toc12482 </w:instrText>
          </w:r>
          <w:r>
            <w:rPr>
              <w:rFonts w:hint="eastAsia" w:ascii="宋体" w:hAnsi="宋体" w:eastAsia="宋体" w:cs="宋体"/>
              <w:sz w:val="24"/>
              <w:szCs w:val="24"/>
            </w:rPr>
            <w:fldChar w:fldCharType="separate"/>
          </w: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_Toc12482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7F7777">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_Toc6438 </w:instrText>
          </w:r>
          <w:r>
            <w:rPr>
              <w:rFonts w:hint="eastAsia" w:ascii="宋体" w:hAnsi="宋体" w:eastAsia="宋体" w:cs="宋体"/>
              <w:sz w:val="24"/>
              <w:szCs w:val="24"/>
            </w:rPr>
            <w:fldChar w:fldCharType="separate"/>
          </w: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_Toc6438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2C9F74">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_Toc14302 </w:instrText>
          </w:r>
          <w:r>
            <w:rPr>
              <w:rFonts w:hint="eastAsia" w:ascii="宋体" w:hAnsi="宋体" w:eastAsia="宋体" w:cs="宋体"/>
              <w:sz w:val="24"/>
              <w:szCs w:val="24"/>
            </w:rPr>
            <w:fldChar w:fldCharType="separate"/>
          </w: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_Toc14302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1FC95D">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_Toc25597 </w:instrText>
          </w:r>
          <w:r>
            <w:rPr>
              <w:rFonts w:hint="eastAsia" w:ascii="宋体" w:hAnsi="宋体" w:eastAsia="宋体" w:cs="宋体"/>
              <w:sz w:val="24"/>
              <w:szCs w:val="24"/>
            </w:rPr>
            <w:fldChar w:fldCharType="separate"/>
          </w:r>
          <w:r>
            <w:rPr>
              <w:rFonts w:hint="eastAsia" w:ascii="宋体" w:hAnsi="宋体" w:eastAsia="宋体" w:cs="宋体"/>
              <w:sz w:val="24"/>
              <w:szCs w:val="24"/>
            </w:rPr>
            <w:t>十、政府性基金预算财政拨款收入支出决算表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_Toc25597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D07BC3">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_Toc22270 </w:instrText>
          </w:r>
          <w:r>
            <w:rPr>
              <w:rFonts w:hint="eastAsia" w:ascii="宋体" w:hAnsi="宋体" w:eastAsia="宋体" w:cs="宋体"/>
              <w:sz w:val="24"/>
              <w:szCs w:val="24"/>
            </w:rPr>
            <w:fldChar w:fldCharType="separate"/>
          </w:r>
          <w:r>
            <w:rPr>
              <w:rFonts w:hint="eastAsia" w:ascii="宋体" w:hAnsi="宋体" w:eastAsia="宋体" w:cs="宋体"/>
              <w:sz w:val="24"/>
              <w:szCs w:val="24"/>
            </w:rPr>
            <w:t>十一、国有资本经营预算财政拨款收入支出决算表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_Toc22270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899826">
          <w:pPr>
            <w:pStyle w:val="3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_Toc10067 </w:instrText>
          </w:r>
          <w:r>
            <w:rPr>
              <w:rFonts w:hint="eastAsia" w:ascii="宋体" w:hAnsi="宋体" w:eastAsia="宋体" w:cs="宋体"/>
              <w:sz w:val="24"/>
              <w:szCs w:val="24"/>
            </w:rPr>
            <w:fldChar w:fldCharType="separate"/>
          </w:r>
          <w:r>
            <w:rPr>
              <w:rFonts w:hint="eastAsia" w:ascii="宋体" w:hAnsi="宋体" w:eastAsia="宋体" w:cs="宋体"/>
              <w:sz w:val="24"/>
              <w:szCs w:val="24"/>
            </w:rPr>
            <w:t>十二、国有资本经营预算财政拨款支出决算表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_Toc10067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99EE34">
          <w:pPr>
            <w:pStyle w:val="34"/>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_Toc19450 </w:instrText>
          </w:r>
          <w:r>
            <w:rPr>
              <w:rFonts w:hint="eastAsia" w:ascii="宋体" w:hAnsi="宋体" w:eastAsia="宋体" w:cs="宋体"/>
              <w:sz w:val="24"/>
              <w:szCs w:val="24"/>
            </w:rPr>
            <w:fldChar w:fldCharType="separate"/>
          </w:r>
          <w:r>
            <w:rPr>
              <w:rFonts w:hint="eastAsia" w:ascii="宋体" w:hAnsi="宋体" w:eastAsia="宋体" w:cs="宋体"/>
              <w:sz w:val="24"/>
              <w:szCs w:val="24"/>
            </w:rPr>
            <w:t>十三、财政拨款“三公”经费支出决算表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_Toc19450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6F952A">
          <w:r>
            <w:rPr>
              <w:b/>
            </w:rPr>
            <w:fldChar w:fldCharType="end"/>
          </w:r>
        </w:p>
      </w:sdtContent>
    </w:sdt>
    <w:p w14:paraId="238D5DA6">
      <w:pPr>
        <w:widowControl/>
        <w:spacing w:line="440" w:lineRule="exact"/>
        <w:jc w:val="left"/>
        <w:rPr>
          <w:rFonts w:ascii="仿宋" w:hAnsi="仿宋" w:eastAsia="仿宋"/>
          <w:bCs/>
          <w:kern w:val="44"/>
          <w:sz w:val="24"/>
        </w:rPr>
      </w:pPr>
      <w:r>
        <w:rPr>
          <w:rFonts w:ascii="仿宋" w:hAnsi="仿宋" w:eastAsia="仿宋"/>
          <w:b/>
          <w:sz w:val="24"/>
        </w:rPr>
        <w:br w:type="page"/>
      </w:r>
    </w:p>
    <w:p w14:paraId="45E57EF3">
      <w:pPr>
        <w:pStyle w:val="3"/>
        <w:bidi w:val="0"/>
      </w:pPr>
      <w:bookmarkStart w:id="16" w:name="_Toc12612"/>
      <w:r>
        <w:rPr>
          <w:rFonts w:hint="eastAsia"/>
        </w:rPr>
        <w:t>第一部分 单位概况</w:t>
      </w:r>
      <w:bookmarkEnd w:id="14"/>
      <w:bookmarkEnd w:id="15"/>
      <w:bookmarkEnd w:id="16"/>
    </w:p>
    <w:p w14:paraId="7A3611DB">
      <w:pPr>
        <w:widowControl/>
        <w:jc w:val="left"/>
        <w:rPr>
          <w:rFonts w:ascii="黑体" w:eastAsia="黑体"/>
          <w:sz w:val="32"/>
          <w:szCs w:val="32"/>
        </w:rPr>
      </w:pPr>
    </w:p>
    <w:p w14:paraId="7FA2511D">
      <w:pPr>
        <w:pStyle w:val="4"/>
        <w:numPr>
          <w:ilvl w:val="0"/>
          <w:numId w:val="1"/>
        </w:numPr>
        <w:bidi w:val="0"/>
      </w:pPr>
      <w:bookmarkStart w:id="17" w:name="_Toc3552"/>
      <w:bookmarkStart w:id="18" w:name="_Toc15396600"/>
      <w:bookmarkStart w:id="19" w:name="_Toc15377197"/>
      <w:r>
        <w:rPr>
          <w:rFonts w:hint="eastAsia"/>
        </w:rPr>
        <w:t>主要职责</w:t>
      </w:r>
      <w:bookmarkEnd w:id="17"/>
    </w:p>
    <w:p w14:paraId="3448697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大竹县童家镇人民政府基本职能是贯彻党的路线方针政策，承担各项财政收支管理责任，监督财政性经济发展支出，加强社会管理、提供好公共服务、维护社会稳定和巩固基层政权，推动物质文明、政治文明、精神文明协调发展。执行本级党代会人代会的决议和上级党委政府的决定和命令。</w:t>
      </w:r>
    </w:p>
    <w:p w14:paraId="66356328">
      <w:pPr>
        <w:pStyle w:val="4"/>
        <w:bidi w:val="0"/>
      </w:pPr>
      <w:bookmarkStart w:id="20" w:name="_Toc4380"/>
      <w:r>
        <w:rPr>
          <w:rFonts w:hint="eastAsia"/>
        </w:rPr>
        <w:t>二、机构设置</w:t>
      </w:r>
      <w:bookmarkEnd w:id="20"/>
    </w:p>
    <w:bookmarkEnd w:id="18"/>
    <w:bookmarkEnd w:id="19"/>
    <w:p w14:paraId="2BAB562A">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大竹县童家镇人民政府属行政单位本级下属二级预算单位4个，其中行政单位0个，参照公务员法管理的事业单位0个，其他事业单位4个。</w:t>
      </w:r>
    </w:p>
    <w:p w14:paraId="0EC72385">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75EA5AA5">
      <w:pPr>
        <w:pStyle w:val="3"/>
        <w:bidi w:val="0"/>
      </w:pPr>
      <w:bookmarkStart w:id="21" w:name="_Toc9065"/>
      <w:bookmarkStart w:id="22" w:name="_Toc15396602"/>
      <w:bookmarkStart w:id="23" w:name="_Toc15377204"/>
      <w:r>
        <w:rPr>
          <w:rFonts w:hint="eastAsia"/>
        </w:rPr>
        <w:t>第二部分 2023年度单位决算情况说明</w:t>
      </w:r>
      <w:bookmarkEnd w:id="21"/>
      <w:bookmarkEnd w:id="22"/>
      <w:bookmarkEnd w:id="23"/>
    </w:p>
    <w:p w14:paraId="46AE7BB8"/>
    <w:p w14:paraId="2A18AF7D">
      <w:pPr>
        <w:pStyle w:val="4"/>
        <w:numPr>
          <w:ilvl w:val="0"/>
          <w:numId w:val="2"/>
        </w:numPr>
        <w:bidi w:val="0"/>
      </w:pPr>
      <w:bookmarkStart w:id="24" w:name="_Toc15396603"/>
      <w:bookmarkStart w:id="25" w:name="_Toc8948"/>
      <w:bookmarkStart w:id="26" w:name="_Toc15377205"/>
      <w:r>
        <w:rPr>
          <w:rFonts w:hint="eastAsia"/>
        </w:rPr>
        <w:t>收入支出决算总体情况说明</w:t>
      </w:r>
      <w:bookmarkEnd w:id="24"/>
      <w:bookmarkEnd w:id="25"/>
      <w:bookmarkEnd w:id="26"/>
    </w:p>
    <w:p w14:paraId="310CB41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大竹县童家镇人民政府2023年总收入</w:t>
      </w:r>
      <w:r>
        <w:rPr>
          <w:rFonts w:hint="eastAsia" w:ascii="仿宋" w:hAnsi="仿宋" w:eastAsia="仿宋"/>
          <w:b/>
          <w:bCs/>
          <w:sz w:val="32"/>
          <w:szCs w:val="32"/>
        </w:rPr>
        <w:t>2,378.95</w:t>
      </w:r>
      <w:r>
        <w:rPr>
          <w:rFonts w:hint="eastAsia" w:ascii="仿宋" w:hAnsi="仿宋" w:eastAsia="仿宋"/>
          <w:sz w:val="32"/>
          <w:szCs w:val="32"/>
        </w:rPr>
        <w:t xml:space="preserve"> 万元，较2022年总收入</w:t>
      </w:r>
      <w:r>
        <w:rPr>
          <w:rFonts w:hint="eastAsia" w:ascii="仿宋" w:hAnsi="仿宋" w:eastAsia="仿宋"/>
          <w:b/>
          <w:bCs/>
          <w:sz w:val="32"/>
          <w:szCs w:val="32"/>
        </w:rPr>
        <w:t>1,357.34</w:t>
      </w:r>
      <w:r>
        <w:rPr>
          <w:rFonts w:hint="eastAsia" w:ascii="仿宋" w:hAnsi="仿宋" w:eastAsia="仿宋"/>
          <w:sz w:val="32"/>
          <w:szCs w:val="32"/>
        </w:rPr>
        <w:t xml:space="preserve"> 万元增加</w:t>
      </w:r>
      <w:r>
        <w:rPr>
          <w:rFonts w:hint="eastAsia" w:ascii="仿宋" w:hAnsi="仿宋" w:eastAsia="仿宋"/>
          <w:b/>
          <w:bCs/>
          <w:sz w:val="32"/>
          <w:szCs w:val="32"/>
        </w:rPr>
        <w:t>1021.61</w:t>
      </w:r>
      <w:r>
        <w:rPr>
          <w:rFonts w:hint="eastAsia" w:ascii="仿宋" w:hAnsi="仿宋" w:eastAsia="仿宋"/>
          <w:sz w:val="32"/>
          <w:szCs w:val="32"/>
        </w:rPr>
        <w:t>万元，增幅</w:t>
      </w:r>
      <w:r>
        <w:rPr>
          <w:rFonts w:hint="eastAsia" w:ascii="仿宋" w:hAnsi="仿宋" w:eastAsia="仿宋"/>
          <w:b/>
          <w:bCs/>
          <w:sz w:val="32"/>
          <w:szCs w:val="32"/>
        </w:rPr>
        <w:t>75.27</w:t>
      </w:r>
      <w:r>
        <w:rPr>
          <w:rFonts w:hint="eastAsia" w:ascii="仿宋" w:hAnsi="仿宋" w:eastAsia="仿宋"/>
          <w:sz w:val="32"/>
          <w:szCs w:val="32"/>
        </w:rPr>
        <w:t>%。2023年总支出</w:t>
      </w:r>
      <w:r>
        <w:rPr>
          <w:rFonts w:hint="eastAsia" w:ascii="仿宋" w:hAnsi="仿宋" w:eastAsia="仿宋"/>
          <w:b/>
          <w:bCs/>
          <w:sz w:val="32"/>
          <w:szCs w:val="32"/>
        </w:rPr>
        <w:t>2,427.21</w:t>
      </w:r>
      <w:r>
        <w:rPr>
          <w:rFonts w:hint="eastAsia" w:ascii="仿宋" w:hAnsi="仿宋" w:eastAsia="仿宋"/>
          <w:sz w:val="32"/>
          <w:szCs w:val="32"/>
        </w:rPr>
        <w:t xml:space="preserve"> 万元，较2022年总支出</w:t>
      </w:r>
      <w:r>
        <w:rPr>
          <w:rFonts w:hint="eastAsia" w:ascii="仿宋" w:hAnsi="仿宋" w:eastAsia="仿宋"/>
          <w:b/>
          <w:bCs/>
          <w:sz w:val="32"/>
          <w:szCs w:val="32"/>
        </w:rPr>
        <w:t>2,236.44</w:t>
      </w:r>
      <w:r>
        <w:rPr>
          <w:rFonts w:hint="eastAsia" w:ascii="仿宋" w:hAnsi="仿宋" w:eastAsia="仿宋"/>
          <w:sz w:val="32"/>
          <w:szCs w:val="32"/>
        </w:rPr>
        <w:t xml:space="preserve"> 万元增加</w:t>
      </w:r>
      <w:r>
        <w:rPr>
          <w:rFonts w:hint="eastAsia" w:ascii="仿宋" w:hAnsi="仿宋" w:eastAsia="仿宋"/>
          <w:b/>
          <w:bCs/>
          <w:sz w:val="32"/>
          <w:szCs w:val="32"/>
        </w:rPr>
        <w:t>190.77</w:t>
      </w:r>
      <w:r>
        <w:rPr>
          <w:rFonts w:hint="eastAsia" w:ascii="仿宋" w:hAnsi="仿宋" w:eastAsia="仿宋"/>
          <w:sz w:val="32"/>
          <w:szCs w:val="32"/>
        </w:rPr>
        <w:t>万元，增幅</w:t>
      </w:r>
      <w:r>
        <w:rPr>
          <w:rFonts w:hint="eastAsia" w:ascii="仿宋" w:hAnsi="仿宋" w:eastAsia="仿宋"/>
          <w:b/>
          <w:bCs/>
          <w:sz w:val="32"/>
          <w:szCs w:val="32"/>
        </w:rPr>
        <w:t>8.53</w:t>
      </w:r>
      <w:r>
        <w:rPr>
          <w:rFonts w:hint="eastAsia" w:ascii="仿宋" w:hAnsi="仿宋" w:eastAsia="仿宋"/>
          <w:sz w:val="32"/>
          <w:szCs w:val="32"/>
        </w:rPr>
        <w:t>%。</w:t>
      </w:r>
    </w:p>
    <w:p w14:paraId="169EA27D">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变动的主要原因是基本支出，项目支出增加。</w:t>
      </w:r>
    </w:p>
    <w:p w14:paraId="428D8B30">
      <w:pPr>
        <w:spacing w:line="600" w:lineRule="exact"/>
        <w:ind w:firstLine="640" w:firstLineChars="200"/>
        <w:jc w:val="center"/>
        <w:rPr>
          <w:rFonts w:ascii="仿宋" w:hAnsi="仿宋" w:eastAsia="仿宋"/>
          <w:sz w:val="32"/>
          <w:szCs w:val="32"/>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325120</wp:posOffset>
            </wp:positionH>
            <wp:positionV relativeFrom="paragraph">
              <wp:posOffset>42545</wp:posOffset>
            </wp:positionV>
            <wp:extent cx="4819650" cy="2609850"/>
            <wp:effectExtent l="4445" t="4445" r="14605" b="14605"/>
            <wp:wrapTight wrapText="bothSides">
              <wp:wrapPolygon>
                <wp:start x="-20" y="-37"/>
                <wp:lineTo x="-20" y="21563"/>
                <wp:lineTo x="21580" y="21563"/>
                <wp:lineTo x="21580" y="-37"/>
                <wp:lineTo x="-20" y="-37"/>
              </wp:wrapPolygon>
            </wp:wrapTight>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highlight w:val="yellow"/>
        </w:rPr>
        <w:t>图</w:t>
      </w:r>
      <w:r>
        <w:rPr>
          <w:rFonts w:ascii="仿宋" w:hAnsi="仿宋" w:eastAsia="仿宋"/>
          <w:sz w:val="32"/>
          <w:szCs w:val="32"/>
          <w:highlight w:val="yellow"/>
        </w:rPr>
        <w:t>1</w:t>
      </w:r>
      <w:r>
        <w:rPr>
          <w:rFonts w:hint="eastAsia" w:ascii="仿宋" w:hAnsi="仿宋" w:eastAsia="仿宋"/>
          <w:sz w:val="32"/>
          <w:szCs w:val="32"/>
          <w:highlight w:val="yellow"/>
        </w:rPr>
        <w:t>：收、支决算总计变动情况图</w:t>
      </w:r>
    </w:p>
    <w:p w14:paraId="511A7958">
      <w:pPr>
        <w:spacing w:line="600" w:lineRule="exact"/>
        <w:ind w:firstLine="640" w:firstLineChars="200"/>
        <w:jc w:val="left"/>
        <w:rPr>
          <w:rFonts w:ascii="仿宋_GB2312" w:eastAsia="仿宋_GB2312"/>
          <w:sz w:val="32"/>
          <w:szCs w:val="32"/>
        </w:rPr>
      </w:pPr>
    </w:p>
    <w:p w14:paraId="63BFA714">
      <w:pPr>
        <w:pStyle w:val="4"/>
        <w:numPr>
          <w:ilvl w:val="0"/>
          <w:numId w:val="2"/>
        </w:numPr>
        <w:bidi w:val="0"/>
      </w:pPr>
      <w:bookmarkStart w:id="27" w:name="_Toc15377206"/>
      <w:bookmarkStart w:id="28" w:name="_Toc15396604"/>
      <w:bookmarkStart w:id="29" w:name="_Toc8623"/>
      <w:r>
        <w:rPr>
          <w:rFonts w:hint="eastAsia"/>
        </w:rPr>
        <w:t>收入决算情况说明</w:t>
      </w:r>
      <w:bookmarkEnd w:id="27"/>
      <w:bookmarkEnd w:id="28"/>
      <w:bookmarkEnd w:id="29"/>
    </w:p>
    <w:p w14:paraId="48E015D8">
      <w:pPr>
        <w:spacing w:line="600" w:lineRule="exact"/>
        <w:ind w:firstLine="640" w:firstLineChars="200"/>
        <w:outlineLvl w:val="1"/>
        <w:rPr>
          <w:rFonts w:ascii="仿宋" w:hAnsi="仿宋" w:eastAsia="仿宋"/>
          <w:b/>
          <w:sz w:val="32"/>
          <w:szCs w:val="32"/>
        </w:rPr>
      </w:pPr>
      <w:bookmarkStart w:id="30" w:name="_Toc2898"/>
      <w:r>
        <w:rPr>
          <w:rFonts w:hint="eastAsia" w:ascii="仿宋" w:hAnsi="仿宋" w:eastAsia="仿宋"/>
          <w:sz w:val="32"/>
          <w:szCs w:val="32"/>
        </w:rPr>
        <w:t>2023年度本年收入合计</w:t>
      </w:r>
      <w:r>
        <w:rPr>
          <w:rFonts w:hint="eastAsia" w:ascii="仿宋" w:hAnsi="仿宋" w:eastAsia="仿宋" w:cs="Times New Roman"/>
          <w:b/>
          <w:sz w:val="32"/>
          <w:szCs w:val="32"/>
        </w:rPr>
        <w:t>2,378.95</w:t>
      </w:r>
      <w:r>
        <w:rPr>
          <w:rFonts w:hint="eastAsia" w:ascii="仿宋" w:hAnsi="仿宋" w:eastAsia="仿宋"/>
          <w:sz w:val="32"/>
          <w:szCs w:val="32"/>
        </w:rPr>
        <w:t>万元，其中：一般公共预算财政拨款收入</w:t>
      </w:r>
      <w:r>
        <w:rPr>
          <w:rFonts w:hint="eastAsia" w:ascii="仿宋" w:hAnsi="仿宋" w:eastAsia="仿宋" w:cs="Times New Roman"/>
          <w:b/>
          <w:sz w:val="32"/>
          <w:szCs w:val="32"/>
        </w:rPr>
        <w:t>1957.57</w:t>
      </w:r>
      <w:r>
        <w:rPr>
          <w:rFonts w:hint="eastAsia" w:ascii="仿宋" w:hAnsi="仿宋" w:eastAsia="仿宋"/>
          <w:sz w:val="32"/>
          <w:szCs w:val="32"/>
        </w:rPr>
        <w:t>万元，占</w:t>
      </w:r>
      <w:r>
        <w:rPr>
          <w:rFonts w:hint="eastAsia" w:ascii="仿宋" w:hAnsi="仿宋" w:eastAsia="仿宋" w:cs="Times New Roman"/>
          <w:b/>
          <w:sz w:val="32"/>
          <w:szCs w:val="32"/>
        </w:rPr>
        <w:t>82.29</w:t>
      </w:r>
      <w:r>
        <w:rPr>
          <w:rFonts w:hint="eastAsia" w:ascii="仿宋" w:hAnsi="仿宋" w:eastAsia="仿宋"/>
          <w:sz w:val="32"/>
          <w:szCs w:val="32"/>
        </w:rPr>
        <w:t>%；政府性基金预算财政拨款收入</w:t>
      </w:r>
      <w:r>
        <w:rPr>
          <w:rFonts w:hint="eastAsia" w:ascii="仿宋" w:hAnsi="仿宋" w:eastAsia="仿宋" w:cs="Times New Roman"/>
          <w:b/>
          <w:sz w:val="32"/>
          <w:szCs w:val="32"/>
        </w:rPr>
        <w:t>421.38</w:t>
      </w:r>
      <w:r>
        <w:rPr>
          <w:rFonts w:hint="eastAsia" w:ascii="仿宋" w:hAnsi="仿宋" w:eastAsia="仿宋"/>
          <w:sz w:val="32"/>
          <w:szCs w:val="32"/>
        </w:rPr>
        <w:t>万元，占</w:t>
      </w:r>
      <w:r>
        <w:rPr>
          <w:rFonts w:hint="eastAsia" w:ascii="仿宋" w:hAnsi="仿宋" w:eastAsia="仿宋" w:cs="Times New Roman"/>
          <w:b/>
          <w:sz w:val="32"/>
          <w:szCs w:val="32"/>
        </w:rPr>
        <w:t>17.71</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s="仿宋"/>
          <w:sz w:val="32"/>
          <w:szCs w:val="32"/>
        </w:rPr>
        <w:drawing>
          <wp:anchor distT="0" distB="0" distL="114300" distR="114300" simplePos="0" relativeHeight="251660288" behindDoc="1" locked="0" layoutInCell="1" allowOverlap="1">
            <wp:simplePos x="0" y="0"/>
            <wp:positionH relativeFrom="column">
              <wp:posOffset>382270</wp:posOffset>
            </wp:positionH>
            <wp:positionV relativeFrom="paragraph">
              <wp:posOffset>614045</wp:posOffset>
            </wp:positionV>
            <wp:extent cx="4819650" cy="2590800"/>
            <wp:effectExtent l="4445" t="4445" r="14605" b="14605"/>
            <wp:wrapTight wrapText="bothSides">
              <wp:wrapPolygon>
                <wp:start x="-20" y="-37"/>
                <wp:lineTo x="-20" y="21563"/>
                <wp:lineTo x="21580" y="21563"/>
                <wp:lineTo x="21580" y="-37"/>
                <wp:lineTo x="-20" y="-37"/>
              </wp:wrapPolygon>
            </wp:wrapTight>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End w:id="30"/>
    </w:p>
    <w:p w14:paraId="3D1D821B">
      <w:pPr>
        <w:spacing w:line="600" w:lineRule="exact"/>
        <w:outlineLvl w:val="9"/>
        <w:rPr>
          <w:rFonts w:ascii="仿宋" w:hAnsi="仿宋" w:eastAsia="仿宋"/>
          <w:sz w:val="32"/>
          <w:szCs w:val="32"/>
        </w:rPr>
      </w:pPr>
    </w:p>
    <w:p w14:paraId="6AEC2E88">
      <w:pPr>
        <w:spacing w:line="600" w:lineRule="exact"/>
        <w:ind w:firstLine="640" w:firstLineChars="200"/>
        <w:jc w:val="center"/>
        <w:rPr>
          <w:rFonts w:hint="eastAsia" w:ascii="仿宋" w:hAnsi="仿宋" w:eastAsia="仿宋"/>
          <w:sz w:val="32"/>
          <w:szCs w:val="32"/>
          <w:highlight w:val="yellow"/>
        </w:rPr>
      </w:pPr>
      <w:r>
        <w:rPr>
          <w:rFonts w:hint="eastAsia" w:ascii="仿宋" w:hAnsi="仿宋" w:eastAsia="仿宋"/>
          <w:sz w:val="32"/>
          <w:szCs w:val="32"/>
          <w:highlight w:val="yellow"/>
        </w:rPr>
        <w:t>图2：收入决算结构图</w:t>
      </w:r>
    </w:p>
    <w:p w14:paraId="5D3B3D18">
      <w:pPr>
        <w:pStyle w:val="2"/>
        <w:outlineLvl w:val="9"/>
      </w:pPr>
    </w:p>
    <w:p w14:paraId="4F15C441">
      <w:pPr>
        <w:pStyle w:val="4"/>
        <w:numPr>
          <w:ilvl w:val="0"/>
          <w:numId w:val="2"/>
        </w:numPr>
        <w:bidi w:val="0"/>
      </w:pPr>
      <w:bookmarkStart w:id="31" w:name="_Toc15377207"/>
      <w:bookmarkStart w:id="32" w:name="_Toc15396605"/>
      <w:bookmarkStart w:id="33" w:name="_Toc17182"/>
      <w:r>
        <w:rPr>
          <w:rFonts w:hint="eastAsia"/>
        </w:rPr>
        <w:t>支出决算情况说明</w:t>
      </w:r>
      <w:bookmarkEnd w:id="31"/>
      <w:bookmarkEnd w:id="32"/>
      <w:bookmarkEnd w:id="33"/>
    </w:p>
    <w:p w14:paraId="0846F019">
      <w:pPr>
        <w:spacing w:line="600" w:lineRule="exact"/>
        <w:ind w:firstLine="640" w:firstLineChars="200"/>
        <w:outlineLvl w:val="1"/>
        <w:rPr>
          <w:rFonts w:ascii="仿宋" w:hAnsi="仿宋" w:eastAsia="仿宋"/>
          <w:b/>
          <w:sz w:val="32"/>
          <w:szCs w:val="32"/>
        </w:rPr>
      </w:pPr>
      <w:bookmarkStart w:id="34" w:name="_Toc2830"/>
      <w:r>
        <w:rPr>
          <w:rFonts w:hint="eastAsia" w:ascii="仿宋" w:hAnsi="仿宋" w:eastAsia="仿宋"/>
          <w:sz w:val="32"/>
          <w:szCs w:val="32"/>
        </w:rPr>
        <w:t>2023年度本年支出合计</w:t>
      </w:r>
      <w:r>
        <w:rPr>
          <w:rFonts w:hint="eastAsia" w:ascii="仿宋" w:hAnsi="仿宋" w:eastAsia="仿宋" w:cs="仿宋"/>
          <w:b/>
          <w:bCs/>
          <w:sz w:val="32"/>
          <w:szCs w:val="32"/>
        </w:rPr>
        <w:t>2,427.21</w:t>
      </w:r>
      <w:r>
        <w:rPr>
          <w:rFonts w:hint="eastAsia" w:ascii="仿宋" w:hAnsi="仿宋" w:eastAsia="仿宋"/>
          <w:sz w:val="32"/>
          <w:szCs w:val="32"/>
        </w:rPr>
        <w:t>万元，其中：基本支出</w:t>
      </w:r>
      <w:r>
        <w:rPr>
          <w:rFonts w:hint="eastAsia" w:ascii="仿宋" w:hAnsi="仿宋" w:eastAsia="仿宋"/>
          <w:b/>
          <w:sz w:val="32"/>
          <w:szCs w:val="32"/>
          <w:lang w:val="en-US" w:eastAsia="zh-CN"/>
        </w:rPr>
        <w:t>846.77</w:t>
      </w:r>
      <w:r>
        <w:rPr>
          <w:rFonts w:hint="eastAsia" w:ascii="仿宋" w:hAnsi="仿宋" w:eastAsia="仿宋"/>
          <w:sz w:val="32"/>
          <w:szCs w:val="32"/>
        </w:rPr>
        <w:t>万元，占</w:t>
      </w:r>
      <w:r>
        <w:rPr>
          <w:rFonts w:hint="eastAsia" w:ascii="仿宋" w:hAnsi="仿宋" w:eastAsia="仿宋"/>
          <w:b/>
          <w:sz w:val="32"/>
          <w:szCs w:val="32"/>
          <w:lang w:val="en-US" w:eastAsia="zh-CN"/>
        </w:rPr>
        <w:t>34.89</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cs="仿宋"/>
          <w:b/>
          <w:bCs/>
          <w:sz w:val="32"/>
          <w:szCs w:val="32"/>
        </w:rPr>
        <w:t>1,580.44</w:t>
      </w:r>
      <w:r>
        <w:rPr>
          <w:rFonts w:hint="eastAsia" w:ascii="仿宋" w:hAnsi="仿宋" w:eastAsia="仿宋"/>
          <w:sz w:val="32"/>
          <w:szCs w:val="32"/>
        </w:rPr>
        <w:t>万元，占</w:t>
      </w:r>
      <w:r>
        <w:rPr>
          <w:rFonts w:hint="eastAsia" w:ascii="仿宋" w:hAnsi="仿宋" w:eastAsia="仿宋"/>
          <w:b/>
          <w:sz w:val="32"/>
          <w:szCs w:val="32"/>
          <w:lang w:val="en-US" w:eastAsia="zh-CN"/>
        </w:rPr>
        <w:t>65.11</w:t>
      </w:r>
      <w:r>
        <w:rPr>
          <w:rFonts w:ascii="仿宋" w:hAnsi="仿宋" w:eastAsia="仿宋"/>
          <w:sz w:val="32"/>
          <w:szCs w:val="32"/>
        </w:rPr>
        <w:t>%</w:t>
      </w:r>
      <w:r>
        <w:rPr>
          <w:rFonts w:hint="eastAsia" w:ascii="仿宋" w:hAnsi="仿宋" w:eastAsia="仿宋"/>
          <w:sz w:val="32"/>
          <w:szCs w:val="32"/>
        </w:rPr>
        <w:t>。</w:t>
      </w:r>
      <w:bookmarkEnd w:id="34"/>
    </w:p>
    <w:p w14:paraId="43029FFE">
      <w:pPr>
        <w:spacing w:line="600" w:lineRule="exact"/>
        <w:rPr>
          <w:rFonts w:ascii="仿宋" w:hAnsi="仿宋" w:eastAsia="仿宋"/>
          <w:sz w:val="32"/>
          <w:szCs w:val="32"/>
          <w:shd w:val="pct10" w:color="auto" w:fill="FFFFFF"/>
        </w:rPr>
      </w:pPr>
      <w:r>
        <w:rPr>
          <w:rFonts w:hint="eastAsia" w:ascii="仿宋_GB2312" w:eastAsia="仿宋_GB2312"/>
          <w:color w:val="auto"/>
          <w:sz w:val="32"/>
          <w:szCs w:val="32"/>
          <w:highlight w:val="none"/>
          <w:lang w:eastAsia="zh-CN"/>
        </w:rPr>
        <w:drawing>
          <wp:anchor distT="0" distB="0" distL="114300" distR="114300" simplePos="0" relativeHeight="251661312" behindDoc="1" locked="0" layoutInCell="1" allowOverlap="1">
            <wp:simplePos x="0" y="0"/>
            <wp:positionH relativeFrom="column">
              <wp:posOffset>382270</wp:posOffset>
            </wp:positionH>
            <wp:positionV relativeFrom="paragraph">
              <wp:posOffset>22225</wp:posOffset>
            </wp:positionV>
            <wp:extent cx="4730115" cy="2116455"/>
            <wp:effectExtent l="4445" t="5080" r="8890" b="69215"/>
            <wp:wrapTight wrapText="bothSides">
              <wp:wrapPolygon>
                <wp:start x="-20" y="-52"/>
                <wp:lineTo x="-20" y="21529"/>
                <wp:lineTo x="21554" y="21529"/>
                <wp:lineTo x="21554" y="-52"/>
                <wp:lineTo x="-20" y="-52"/>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B969C69">
      <w:pPr>
        <w:spacing w:line="600" w:lineRule="exact"/>
        <w:ind w:firstLine="640" w:firstLineChars="200"/>
        <w:jc w:val="center"/>
        <w:rPr>
          <w:rFonts w:ascii="仿宋_GB2312" w:eastAsia="仿宋_GB2312"/>
          <w:sz w:val="32"/>
          <w:szCs w:val="32"/>
          <w:highlight w:val="yellow"/>
        </w:rPr>
      </w:pPr>
      <w:r>
        <w:rPr>
          <w:rFonts w:hint="eastAsia" w:ascii="仿宋" w:hAnsi="仿宋" w:eastAsia="仿宋"/>
          <w:sz w:val="32"/>
          <w:szCs w:val="32"/>
          <w:highlight w:val="yellow"/>
        </w:rPr>
        <w:t>图3：支出决算结构图</w:t>
      </w:r>
    </w:p>
    <w:p w14:paraId="297CA89A">
      <w:pPr>
        <w:spacing w:line="600" w:lineRule="exact"/>
        <w:ind w:firstLine="640" w:firstLineChars="200"/>
        <w:outlineLvl w:val="1"/>
        <w:rPr>
          <w:rStyle w:val="28"/>
          <w:rFonts w:ascii="黑体" w:hAnsi="黑体" w:eastAsia="黑体"/>
          <w:b w:val="0"/>
        </w:rPr>
      </w:pPr>
      <w:bookmarkStart w:id="35" w:name="_Toc15377208"/>
      <w:bookmarkStart w:id="36" w:name="_Toc15608"/>
      <w:bookmarkStart w:id="37" w:name="_Toc15396606"/>
      <w:r>
        <w:rPr>
          <w:rFonts w:hint="eastAsia" w:ascii="黑体" w:hAnsi="黑体" w:eastAsia="黑体"/>
          <w:sz w:val="32"/>
          <w:szCs w:val="32"/>
        </w:rPr>
        <w:t>四、</w:t>
      </w:r>
      <w:r>
        <w:rPr>
          <w:rStyle w:val="28"/>
          <w:rFonts w:hint="eastAsia"/>
        </w:rPr>
        <w:t>财政拨款收入支出决算总体情况说明</w:t>
      </w:r>
      <w:bookmarkEnd w:id="35"/>
      <w:bookmarkEnd w:id="36"/>
      <w:bookmarkEnd w:id="37"/>
    </w:p>
    <w:p w14:paraId="43746D77">
      <w:pPr>
        <w:spacing w:line="600" w:lineRule="exact"/>
        <w:ind w:firstLine="640"/>
        <w:rPr>
          <w:rFonts w:hint="eastAsia" w:ascii="仿宋" w:hAnsi="仿宋" w:eastAsia="仿宋"/>
          <w:sz w:val="32"/>
          <w:szCs w:val="32"/>
        </w:rPr>
      </w:pPr>
      <w:r>
        <w:rPr>
          <w:rFonts w:hint="eastAsia" w:ascii="仿宋" w:hAnsi="仿宋" w:eastAsia="仿宋"/>
          <w:sz w:val="32"/>
          <w:szCs w:val="32"/>
        </w:rPr>
        <w:t>2023年财政拨款收入总决算数</w:t>
      </w:r>
      <w:r>
        <w:rPr>
          <w:rFonts w:hint="eastAsia" w:ascii="仿宋" w:hAnsi="仿宋" w:eastAsia="仿宋"/>
          <w:b/>
          <w:bCs/>
          <w:sz w:val="32"/>
          <w:szCs w:val="32"/>
        </w:rPr>
        <w:t xml:space="preserve">2,378.95 </w:t>
      </w:r>
      <w:r>
        <w:rPr>
          <w:rFonts w:hint="eastAsia" w:ascii="仿宋" w:hAnsi="仿宋" w:eastAsia="仿宋"/>
          <w:sz w:val="32"/>
          <w:szCs w:val="32"/>
        </w:rPr>
        <w:t>万元，与2022年</w:t>
      </w:r>
      <w:r>
        <w:rPr>
          <w:rFonts w:hint="eastAsia" w:ascii="仿宋" w:hAnsi="仿宋" w:eastAsia="仿宋"/>
          <w:b/>
          <w:bCs/>
          <w:sz w:val="32"/>
          <w:szCs w:val="32"/>
        </w:rPr>
        <w:t xml:space="preserve">1,357.34 </w:t>
      </w:r>
      <w:r>
        <w:rPr>
          <w:rFonts w:hint="eastAsia" w:ascii="仿宋" w:hAnsi="仿宋" w:eastAsia="仿宋"/>
          <w:sz w:val="32"/>
          <w:szCs w:val="32"/>
        </w:rPr>
        <w:t>万元相比增加</w:t>
      </w:r>
      <w:r>
        <w:rPr>
          <w:rFonts w:hint="eastAsia" w:ascii="仿宋" w:hAnsi="仿宋" w:eastAsia="仿宋"/>
          <w:b/>
          <w:bCs/>
          <w:sz w:val="32"/>
          <w:szCs w:val="32"/>
        </w:rPr>
        <w:t>1021.61</w:t>
      </w:r>
      <w:r>
        <w:rPr>
          <w:rFonts w:hint="eastAsia" w:ascii="仿宋" w:hAnsi="仿宋" w:eastAsia="仿宋"/>
          <w:sz w:val="32"/>
          <w:szCs w:val="32"/>
        </w:rPr>
        <w:t>万元，增幅</w:t>
      </w:r>
      <w:r>
        <w:rPr>
          <w:rFonts w:hint="eastAsia" w:ascii="仿宋" w:hAnsi="仿宋" w:eastAsia="仿宋"/>
          <w:b/>
          <w:bCs/>
          <w:sz w:val="32"/>
          <w:szCs w:val="32"/>
        </w:rPr>
        <w:t>75.27</w:t>
      </w:r>
      <w:r>
        <w:rPr>
          <w:rFonts w:hint="eastAsia" w:ascii="仿宋" w:hAnsi="仿宋" w:eastAsia="仿宋"/>
          <w:sz w:val="32"/>
          <w:szCs w:val="32"/>
        </w:rPr>
        <w:t>%，主要原因是基本支出，项目支出增加。</w:t>
      </w:r>
    </w:p>
    <w:p w14:paraId="5000F518">
      <w:pPr>
        <w:spacing w:line="600" w:lineRule="exact"/>
        <w:ind w:firstLine="640"/>
        <w:rPr>
          <w:rFonts w:ascii="仿宋" w:hAnsi="仿宋" w:eastAsia="仿宋"/>
          <w:sz w:val="32"/>
          <w:szCs w:val="32"/>
        </w:rPr>
      </w:pPr>
      <w:r>
        <w:rPr>
          <w:rFonts w:hint="eastAsia" w:ascii="仿宋" w:hAnsi="仿宋" w:eastAsia="仿宋"/>
          <w:sz w:val="32"/>
          <w:szCs w:val="32"/>
        </w:rPr>
        <w:t>2023年财政拨款支出总决算数</w:t>
      </w:r>
      <w:r>
        <w:rPr>
          <w:rFonts w:hint="eastAsia" w:ascii="仿宋" w:hAnsi="仿宋" w:eastAsia="仿宋"/>
          <w:b/>
          <w:bCs/>
          <w:sz w:val="32"/>
          <w:szCs w:val="32"/>
        </w:rPr>
        <w:t xml:space="preserve">2,427.21 </w:t>
      </w:r>
      <w:r>
        <w:rPr>
          <w:rFonts w:hint="eastAsia" w:ascii="仿宋" w:hAnsi="仿宋" w:eastAsia="仿宋"/>
          <w:sz w:val="32"/>
          <w:szCs w:val="32"/>
        </w:rPr>
        <w:t>万元，与2022年</w:t>
      </w:r>
      <w:r>
        <w:rPr>
          <w:rFonts w:hint="eastAsia" w:ascii="仿宋" w:hAnsi="仿宋" w:eastAsia="仿宋"/>
          <w:b/>
          <w:bCs/>
          <w:sz w:val="32"/>
          <w:szCs w:val="32"/>
        </w:rPr>
        <w:t xml:space="preserve">2,236.44 </w:t>
      </w:r>
      <w:r>
        <w:rPr>
          <w:rFonts w:hint="eastAsia" w:ascii="仿宋" w:hAnsi="仿宋" w:eastAsia="仿宋"/>
          <w:sz w:val="32"/>
          <w:szCs w:val="32"/>
        </w:rPr>
        <w:t>万元相比增加</w:t>
      </w:r>
      <w:r>
        <w:rPr>
          <w:rFonts w:hint="eastAsia" w:ascii="仿宋" w:hAnsi="仿宋" w:eastAsia="仿宋"/>
          <w:b/>
          <w:bCs/>
          <w:sz w:val="32"/>
          <w:szCs w:val="32"/>
        </w:rPr>
        <w:t>190.77</w:t>
      </w:r>
      <w:r>
        <w:rPr>
          <w:rFonts w:hint="eastAsia" w:ascii="仿宋" w:hAnsi="仿宋" w:eastAsia="仿宋"/>
          <w:sz w:val="32"/>
          <w:szCs w:val="32"/>
        </w:rPr>
        <w:t>万元，增幅</w:t>
      </w:r>
      <w:r>
        <w:rPr>
          <w:rFonts w:hint="eastAsia" w:ascii="仿宋" w:hAnsi="仿宋" w:eastAsia="仿宋"/>
          <w:b/>
          <w:bCs/>
          <w:sz w:val="32"/>
          <w:szCs w:val="32"/>
        </w:rPr>
        <w:t>8.53</w:t>
      </w:r>
      <w:r>
        <w:rPr>
          <w:rFonts w:hint="eastAsia" w:ascii="仿宋" w:hAnsi="仿宋" w:eastAsia="仿宋"/>
          <w:sz w:val="32"/>
          <w:szCs w:val="32"/>
        </w:rPr>
        <w:t>%，主要原因是基本支出，项目支出增加。</w:t>
      </w:r>
    </w:p>
    <w:p w14:paraId="0D28D7F1">
      <w:pPr>
        <w:spacing w:line="600" w:lineRule="exact"/>
        <w:ind w:firstLine="640" w:firstLineChars="200"/>
        <w:jc w:val="center"/>
        <w:rPr>
          <w:rFonts w:ascii="仿宋" w:hAnsi="仿宋" w:eastAsia="仿宋"/>
          <w:sz w:val="32"/>
          <w:szCs w:val="32"/>
        </w:rPr>
      </w:pPr>
      <w:r>
        <w:rPr>
          <w:rFonts w:hint="eastAsia" w:ascii="仿宋" w:hAnsi="仿宋" w:eastAsia="仿宋"/>
          <w:color w:val="auto"/>
          <w:sz w:val="32"/>
          <w:szCs w:val="32"/>
          <w:highlight w:val="none"/>
          <w:lang w:eastAsia="zh-CN"/>
        </w:rPr>
        <w:drawing>
          <wp:anchor distT="0" distB="0" distL="114300" distR="114300" simplePos="0" relativeHeight="251662336" behindDoc="1" locked="0" layoutInCell="1" allowOverlap="1">
            <wp:simplePos x="0" y="0"/>
            <wp:positionH relativeFrom="column">
              <wp:posOffset>414020</wp:posOffset>
            </wp:positionH>
            <wp:positionV relativeFrom="paragraph">
              <wp:posOffset>4445</wp:posOffset>
            </wp:positionV>
            <wp:extent cx="4827270" cy="2489200"/>
            <wp:effectExtent l="4445" t="4445" r="64135" b="20955"/>
            <wp:wrapTight wrapText="bothSides">
              <wp:wrapPolygon>
                <wp:start x="-20" y="-39"/>
                <wp:lineTo x="-20" y="21451"/>
                <wp:lineTo x="21546" y="21451"/>
                <wp:lineTo x="21546" y="-39"/>
                <wp:lineTo x="-20" y="-39"/>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highlight w:val="yellow"/>
        </w:rPr>
        <w:t>图4：财政拨款收、支决算总计变动情况</w:t>
      </w:r>
    </w:p>
    <w:p w14:paraId="55B83FF3">
      <w:pPr>
        <w:spacing w:line="600" w:lineRule="exact"/>
        <w:ind w:firstLine="640"/>
        <w:rPr>
          <w:rFonts w:ascii="仿宋" w:hAnsi="仿宋" w:eastAsia="仿宋"/>
          <w:b/>
          <w:sz w:val="32"/>
          <w:szCs w:val="32"/>
        </w:rPr>
      </w:pPr>
    </w:p>
    <w:p w14:paraId="0BD974FC">
      <w:pPr>
        <w:spacing w:line="600" w:lineRule="exact"/>
        <w:ind w:firstLine="640" w:firstLineChars="200"/>
        <w:outlineLvl w:val="1"/>
        <w:rPr>
          <w:rStyle w:val="28"/>
          <w:rFonts w:ascii="黑体" w:hAnsi="黑体" w:eastAsia="黑体"/>
          <w:b w:val="0"/>
        </w:rPr>
      </w:pPr>
      <w:bookmarkStart w:id="38" w:name="_Toc15396607"/>
      <w:bookmarkStart w:id="39" w:name="_Toc17149"/>
      <w:bookmarkStart w:id="40" w:name="_Toc15377209"/>
      <w:r>
        <w:rPr>
          <w:rFonts w:hint="eastAsia" w:ascii="黑体" w:hAnsi="黑体" w:eastAsia="黑体"/>
          <w:sz w:val="32"/>
          <w:szCs w:val="32"/>
        </w:rPr>
        <w:t>五、</w:t>
      </w:r>
      <w:r>
        <w:rPr>
          <w:rStyle w:val="28"/>
          <w:rFonts w:hint="eastAsia"/>
        </w:rPr>
        <w:t>一般公共预算财政拨款支出决算情况说明</w:t>
      </w:r>
      <w:bookmarkEnd w:id="38"/>
      <w:bookmarkEnd w:id="39"/>
      <w:bookmarkEnd w:id="40"/>
    </w:p>
    <w:p w14:paraId="674752A4">
      <w:pPr>
        <w:spacing w:line="600" w:lineRule="exact"/>
        <w:ind w:firstLine="643" w:firstLineChars="200"/>
        <w:outlineLvl w:val="2"/>
        <w:rPr>
          <w:rFonts w:hint="eastAsia"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14:paraId="3659A4FD">
      <w:pPr>
        <w:spacing w:line="600" w:lineRule="exact"/>
        <w:ind w:firstLine="640" w:firstLineChars="200"/>
        <w:outlineLvl w:val="2"/>
        <w:rPr>
          <w:rFonts w:hint="eastAsia" w:ascii="仿宋" w:hAnsi="仿宋" w:eastAsia="仿宋"/>
          <w:sz w:val="32"/>
          <w:szCs w:val="32"/>
          <w:highlight w:val="yellow"/>
          <w:lang w:eastAsia="zh-CN"/>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2005.83</w:t>
      </w:r>
      <w:r>
        <w:rPr>
          <w:rFonts w:hint="eastAsia" w:ascii="仿宋" w:hAnsi="仿宋" w:eastAsia="仿宋"/>
          <w:sz w:val="32"/>
          <w:szCs w:val="32"/>
        </w:rPr>
        <w:t>万元，占本年支出合计的</w:t>
      </w:r>
      <w:r>
        <w:rPr>
          <w:rFonts w:hint="eastAsia" w:ascii="仿宋" w:hAnsi="仿宋" w:eastAsia="仿宋"/>
          <w:b/>
          <w:sz w:val="32"/>
          <w:szCs w:val="32"/>
          <w:lang w:val="en-US" w:eastAsia="zh-CN"/>
        </w:rPr>
        <w:t>82.64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yellow"/>
        </w:rPr>
        <w:t>与2022年度相比，一般公共预算财政拨款支出减少</w:t>
      </w:r>
      <w:r>
        <w:rPr>
          <w:rFonts w:hint="eastAsia" w:ascii="仿宋" w:hAnsi="仿宋" w:eastAsia="仿宋"/>
          <w:b/>
          <w:bCs/>
          <w:sz w:val="32"/>
          <w:szCs w:val="32"/>
          <w:lang w:val="en-US" w:eastAsia="zh-CN"/>
        </w:rPr>
        <w:t>88.91</w:t>
      </w:r>
      <w:r>
        <w:rPr>
          <w:rFonts w:hint="eastAsia" w:ascii="仿宋" w:hAnsi="仿宋" w:eastAsia="仿宋"/>
          <w:sz w:val="32"/>
          <w:szCs w:val="32"/>
          <w:highlight w:val="yellow"/>
        </w:rPr>
        <w:t>万元，下降</w:t>
      </w:r>
      <w:r>
        <w:rPr>
          <w:rFonts w:hint="eastAsia" w:ascii="仿宋" w:hAnsi="仿宋" w:eastAsia="仿宋"/>
          <w:b/>
          <w:bCs/>
          <w:sz w:val="32"/>
          <w:szCs w:val="32"/>
          <w:lang w:val="en-US" w:eastAsia="zh-CN"/>
        </w:rPr>
        <w:t>4.24</w:t>
      </w:r>
      <w:r>
        <w:rPr>
          <w:rFonts w:ascii="仿宋" w:hAnsi="仿宋" w:eastAsia="仿宋"/>
          <w:sz w:val="32"/>
          <w:szCs w:val="32"/>
          <w:highlight w:val="yellow"/>
        </w:rPr>
        <w:t>%</w:t>
      </w:r>
      <w:r>
        <w:rPr>
          <w:rFonts w:hint="eastAsia" w:ascii="仿宋" w:hAnsi="仿宋" w:eastAsia="仿宋"/>
          <w:sz w:val="32"/>
          <w:szCs w:val="32"/>
          <w:highlight w:val="yellow"/>
        </w:rPr>
        <w:t>。主要变动原因是</w:t>
      </w:r>
      <w:r>
        <w:rPr>
          <w:rFonts w:hint="eastAsia" w:ascii="仿宋" w:hAnsi="仿宋" w:eastAsia="仿宋"/>
          <w:sz w:val="32"/>
          <w:szCs w:val="32"/>
          <w:highlight w:val="yellow"/>
          <w:lang w:eastAsia="zh-CN"/>
        </w:rPr>
        <w:t>基本支出减少。</w:t>
      </w:r>
    </w:p>
    <w:p w14:paraId="7E72A4DC">
      <w:pPr>
        <w:spacing w:line="600" w:lineRule="exact"/>
        <w:ind w:firstLine="640" w:firstLineChars="200"/>
        <w:rPr>
          <w:rFonts w:ascii="仿宋" w:hAnsi="仿宋" w:eastAsia="仿宋"/>
          <w:sz w:val="32"/>
          <w:szCs w:val="32"/>
        </w:rPr>
      </w:pPr>
      <w:r>
        <w:rPr>
          <w:rFonts w:hint="eastAsia" w:ascii="仿宋" w:hAnsi="仿宋" w:eastAsia="仿宋"/>
          <w:color w:val="auto"/>
          <w:sz w:val="32"/>
          <w:szCs w:val="32"/>
          <w:highlight w:val="none"/>
          <w:lang w:eastAsia="zh-CN"/>
        </w:rPr>
        <w:drawing>
          <wp:anchor distT="0" distB="0" distL="114300" distR="114300" simplePos="0" relativeHeight="251663360" behindDoc="1" locked="0" layoutInCell="1" allowOverlap="1">
            <wp:simplePos x="0" y="0"/>
            <wp:positionH relativeFrom="column">
              <wp:posOffset>433070</wp:posOffset>
            </wp:positionH>
            <wp:positionV relativeFrom="paragraph">
              <wp:posOffset>281940</wp:posOffset>
            </wp:positionV>
            <wp:extent cx="4827270" cy="2489200"/>
            <wp:effectExtent l="4445" t="4445" r="6985" b="20955"/>
            <wp:wrapTight wrapText="bothSides">
              <wp:wrapPolygon>
                <wp:start x="-20" y="-39"/>
                <wp:lineTo x="-20" y="21451"/>
                <wp:lineTo x="21546" y="21451"/>
                <wp:lineTo x="21546" y="-39"/>
                <wp:lineTo x="-20" y="-39"/>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B4EBDD0">
      <w:pPr>
        <w:spacing w:line="600" w:lineRule="exact"/>
        <w:ind w:firstLine="640" w:firstLineChars="200"/>
        <w:jc w:val="center"/>
        <w:rPr>
          <w:rFonts w:ascii="仿宋" w:hAnsi="仿宋" w:eastAsia="仿宋"/>
          <w:sz w:val="32"/>
          <w:szCs w:val="32"/>
          <w:highlight w:val="yellow"/>
        </w:rPr>
      </w:pPr>
      <w:r>
        <w:rPr>
          <w:rFonts w:hint="eastAsia" w:ascii="仿宋" w:hAnsi="仿宋" w:eastAsia="仿宋"/>
          <w:sz w:val="32"/>
          <w:szCs w:val="32"/>
          <w:highlight w:val="yellow"/>
        </w:rPr>
        <w:t>图5：一般公共预算财政拨款支出决算变动情况</w:t>
      </w:r>
    </w:p>
    <w:p w14:paraId="25CBE8BA">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14:paraId="41C6B0DB">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b/>
          <w:bCs/>
          <w:sz w:val="32"/>
          <w:szCs w:val="32"/>
        </w:rPr>
        <w:t>2005.83</w:t>
      </w:r>
      <w:r>
        <w:rPr>
          <w:rFonts w:hint="eastAsia" w:ascii="仿宋" w:hAnsi="仿宋" w:eastAsia="仿宋"/>
          <w:sz w:val="32"/>
          <w:szCs w:val="32"/>
        </w:rPr>
        <w:t>万元，主要用于以下方面：</w:t>
      </w:r>
      <w:r>
        <w:rPr>
          <w:rFonts w:hint="eastAsia" w:ascii="仿宋" w:hAnsi="仿宋" w:eastAsia="仿宋" w:cs="Times New Roman"/>
          <w:b/>
          <w:sz w:val="32"/>
          <w:szCs w:val="32"/>
        </w:rPr>
        <w:t>一般公共服务支出350.37</w:t>
      </w:r>
      <w:r>
        <w:rPr>
          <w:rFonts w:hint="eastAsia" w:ascii="仿宋" w:hAnsi="仿宋" w:eastAsia="仿宋"/>
          <w:sz w:val="32"/>
          <w:szCs w:val="32"/>
        </w:rPr>
        <w:t>万元，占比</w:t>
      </w:r>
      <w:r>
        <w:rPr>
          <w:rFonts w:hint="eastAsia" w:ascii="仿宋" w:hAnsi="仿宋" w:eastAsia="仿宋"/>
          <w:b/>
          <w:bCs/>
          <w:sz w:val="32"/>
          <w:szCs w:val="32"/>
          <w:lang w:val="en-US" w:eastAsia="zh-CN"/>
        </w:rPr>
        <w:t>17.47</w:t>
      </w:r>
      <w:r>
        <w:rPr>
          <w:rFonts w:hint="eastAsia" w:ascii="仿宋" w:hAnsi="仿宋" w:eastAsia="仿宋"/>
          <w:sz w:val="32"/>
          <w:szCs w:val="32"/>
        </w:rPr>
        <w:t>%。</w:t>
      </w:r>
      <w:r>
        <w:rPr>
          <w:rFonts w:hint="eastAsia" w:ascii="仿宋" w:hAnsi="仿宋" w:eastAsia="仿宋" w:cs="Times New Roman"/>
          <w:b/>
          <w:sz w:val="32"/>
          <w:szCs w:val="32"/>
        </w:rPr>
        <w:t>公共安全支出7</w:t>
      </w:r>
      <w:r>
        <w:rPr>
          <w:rFonts w:hint="eastAsia" w:ascii="仿宋" w:hAnsi="仿宋" w:eastAsia="仿宋"/>
          <w:sz w:val="32"/>
          <w:szCs w:val="32"/>
        </w:rPr>
        <w:t>万元，占比</w:t>
      </w:r>
      <w:r>
        <w:rPr>
          <w:rFonts w:hint="eastAsia" w:ascii="仿宋" w:hAnsi="仿宋" w:eastAsia="仿宋" w:cs="Times New Roman"/>
          <w:b/>
          <w:sz w:val="32"/>
          <w:szCs w:val="32"/>
        </w:rPr>
        <w:t>0.</w:t>
      </w:r>
      <w:r>
        <w:rPr>
          <w:rFonts w:hint="eastAsia" w:ascii="仿宋" w:hAnsi="仿宋" w:eastAsia="仿宋" w:cs="Times New Roman"/>
          <w:b/>
          <w:sz w:val="32"/>
          <w:szCs w:val="32"/>
          <w:lang w:val="en-US" w:eastAsia="zh-CN"/>
        </w:rPr>
        <w:t>35</w:t>
      </w:r>
      <w:r>
        <w:rPr>
          <w:rFonts w:hint="eastAsia" w:ascii="仿宋" w:hAnsi="仿宋" w:eastAsia="仿宋"/>
          <w:sz w:val="32"/>
          <w:szCs w:val="32"/>
        </w:rPr>
        <w:t>%。</w:t>
      </w:r>
      <w:r>
        <w:rPr>
          <w:rFonts w:hint="eastAsia" w:ascii="仿宋" w:hAnsi="仿宋" w:eastAsia="仿宋" w:cs="Times New Roman"/>
          <w:b/>
          <w:sz w:val="32"/>
          <w:szCs w:val="32"/>
        </w:rPr>
        <w:t>文化旅游体育与传媒支出13.97</w:t>
      </w:r>
      <w:r>
        <w:rPr>
          <w:rFonts w:hint="eastAsia" w:ascii="仿宋" w:hAnsi="仿宋" w:eastAsia="仿宋"/>
          <w:sz w:val="32"/>
          <w:szCs w:val="32"/>
        </w:rPr>
        <w:t>万元，占比</w:t>
      </w:r>
      <w:r>
        <w:rPr>
          <w:rFonts w:hint="eastAsia" w:ascii="仿宋" w:hAnsi="仿宋" w:eastAsia="仿宋" w:cs="Times New Roman"/>
          <w:b/>
          <w:sz w:val="32"/>
          <w:szCs w:val="32"/>
        </w:rPr>
        <w:t>0.</w:t>
      </w:r>
      <w:r>
        <w:rPr>
          <w:rFonts w:hint="eastAsia" w:ascii="仿宋" w:hAnsi="仿宋" w:eastAsia="仿宋" w:cs="Times New Roman"/>
          <w:b/>
          <w:sz w:val="32"/>
          <w:szCs w:val="32"/>
          <w:lang w:val="en-US" w:eastAsia="zh-CN"/>
        </w:rPr>
        <w:t>69</w:t>
      </w:r>
      <w:r>
        <w:rPr>
          <w:rFonts w:hint="eastAsia" w:ascii="仿宋" w:hAnsi="仿宋" w:eastAsia="仿宋"/>
          <w:sz w:val="32"/>
          <w:szCs w:val="32"/>
        </w:rPr>
        <w:t>%。</w:t>
      </w:r>
      <w:r>
        <w:rPr>
          <w:rFonts w:hint="eastAsia" w:ascii="仿宋" w:hAnsi="仿宋" w:eastAsia="仿宋" w:cs="Times New Roman"/>
          <w:b/>
          <w:sz w:val="32"/>
          <w:szCs w:val="32"/>
        </w:rPr>
        <w:t>社会保障和就业支出88.16</w:t>
      </w:r>
      <w:r>
        <w:rPr>
          <w:rFonts w:hint="eastAsia" w:ascii="仿宋" w:hAnsi="仿宋" w:eastAsia="仿宋"/>
          <w:sz w:val="32"/>
          <w:szCs w:val="32"/>
        </w:rPr>
        <w:t>万元，占比</w:t>
      </w:r>
      <w:r>
        <w:rPr>
          <w:rFonts w:hint="eastAsia" w:ascii="仿宋" w:hAnsi="仿宋" w:eastAsia="仿宋" w:cs="Times New Roman"/>
          <w:b/>
          <w:sz w:val="32"/>
          <w:szCs w:val="32"/>
          <w:lang w:val="en-US" w:eastAsia="zh-CN"/>
        </w:rPr>
        <w:t>4.40</w:t>
      </w:r>
      <w:r>
        <w:rPr>
          <w:rFonts w:hint="eastAsia" w:ascii="仿宋" w:hAnsi="仿宋" w:eastAsia="仿宋"/>
          <w:sz w:val="32"/>
          <w:szCs w:val="32"/>
        </w:rPr>
        <w:t>%。</w:t>
      </w:r>
      <w:r>
        <w:rPr>
          <w:rFonts w:hint="eastAsia" w:ascii="仿宋" w:hAnsi="仿宋" w:eastAsia="仿宋" w:cs="Times New Roman"/>
          <w:b/>
          <w:sz w:val="32"/>
          <w:szCs w:val="32"/>
        </w:rPr>
        <w:t>卫生健康支出24.83</w:t>
      </w:r>
      <w:r>
        <w:rPr>
          <w:rFonts w:hint="eastAsia" w:ascii="仿宋" w:hAnsi="仿宋" w:eastAsia="仿宋"/>
          <w:sz w:val="32"/>
          <w:szCs w:val="32"/>
        </w:rPr>
        <w:t>万元，占比</w:t>
      </w:r>
      <w:r>
        <w:rPr>
          <w:rFonts w:hint="eastAsia" w:ascii="仿宋" w:hAnsi="仿宋" w:eastAsia="仿宋" w:cs="Times New Roman"/>
          <w:b/>
          <w:sz w:val="32"/>
          <w:szCs w:val="32"/>
        </w:rPr>
        <w:t>1.</w:t>
      </w:r>
      <w:r>
        <w:rPr>
          <w:rFonts w:hint="eastAsia" w:ascii="仿宋" w:hAnsi="仿宋" w:eastAsia="仿宋" w:cs="Times New Roman"/>
          <w:b/>
          <w:sz w:val="32"/>
          <w:szCs w:val="32"/>
          <w:lang w:val="en-US" w:eastAsia="zh-CN"/>
        </w:rPr>
        <w:t>24</w:t>
      </w:r>
      <w:r>
        <w:rPr>
          <w:rFonts w:hint="eastAsia" w:ascii="仿宋" w:hAnsi="仿宋" w:eastAsia="仿宋"/>
          <w:sz w:val="32"/>
          <w:szCs w:val="32"/>
        </w:rPr>
        <w:t>%。</w:t>
      </w:r>
      <w:r>
        <w:rPr>
          <w:rFonts w:hint="eastAsia" w:ascii="仿宋" w:hAnsi="仿宋" w:eastAsia="仿宋" w:cs="Times New Roman"/>
          <w:b/>
          <w:sz w:val="32"/>
          <w:szCs w:val="32"/>
        </w:rPr>
        <w:t>城乡社区支出</w:t>
      </w:r>
      <w:r>
        <w:rPr>
          <w:rFonts w:hint="eastAsia" w:ascii="仿宋" w:hAnsi="仿宋" w:eastAsia="仿宋" w:cs="Times New Roman"/>
          <w:b/>
          <w:sz w:val="32"/>
          <w:szCs w:val="32"/>
          <w:lang w:val="en-US" w:eastAsia="zh-CN"/>
        </w:rPr>
        <w:t>46.65</w:t>
      </w:r>
      <w:r>
        <w:rPr>
          <w:rFonts w:hint="eastAsia" w:ascii="仿宋" w:hAnsi="仿宋" w:eastAsia="仿宋"/>
          <w:sz w:val="32"/>
          <w:szCs w:val="32"/>
        </w:rPr>
        <w:t>万元，占比</w:t>
      </w:r>
      <w:r>
        <w:rPr>
          <w:rFonts w:hint="eastAsia" w:ascii="仿宋" w:hAnsi="仿宋" w:eastAsia="仿宋" w:cs="Times New Roman"/>
          <w:b/>
          <w:sz w:val="32"/>
          <w:szCs w:val="32"/>
          <w:lang w:val="en-US" w:eastAsia="zh-CN"/>
        </w:rPr>
        <w:t>2.32</w:t>
      </w:r>
      <w:r>
        <w:rPr>
          <w:rFonts w:hint="eastAsia" w:ascii="仿宋" w:hAnsi="仿宋" w:eastAsia="仿宋"/>
          <w:sz w:val="32"/>
          <w:szCs w:val="32"/>
        </w:rPr>
        <w:t>%。</w:t>
      </w:r>
      <w:r>
        <w:rPr>
          <w:rFonts w:hint="eastAsia" w:ascii="仿宋" w:hAnsi="仿宋" w:eastAsia="仿宋" w:cs="Times New Roman"/>
          <w:b/>
          <w:sz w:val="32"/>
          <w:szCs w:val="32"/>
        </w:rPr>
        <w:t>农林水支出1041.25</w:t>
      </w:r>
      <w:r>
        <w:rPr>
          <w:rFonts w:hint="eastAsia" w:ascii="仿宋" w:hAnsi="仿宋" w:eastAsia="仿宋"/>
          <w:sz w:val="32"/>
          <w:szCs w:val="32"/>
        </w:rPr>
        <w:t>万元，占比</w:t>
      </w:r>
      <w:r>
        <w:rPr>
          <w:rFonts w:hint="eastAsia" w:ascii="仿宋" w:hAnsi="仿宋" w:eastAsia="仿宋" w:cs="Times New Roman"/>
          <w:b/>
          <w:sz w:val="32"/>
          <w:szCs w:val="32"/>
          <w:lang w:val="en-US" w:eastAsia="zh-CN"/>
        </w:rPr>
        <w:t>51.91</w:t>
      </w:r>
      <w:r>
        <w:rPr>
          <w:rFonts w:hint="eastAsia" w:ascii="仿宋" w:hAnsi="仿宋" w:eastAsia="仿宋"/>
          <w:sz w:val="32"/>
          <w:szCs w:val="32"/>
        </w:rPr>
        <w:t>%。</w:t>
      </w:r>
      <w:r>
        <w:rPr>
          <w:rFonts w:hint="eastAsia" w:ascii="仿宋" w:hAnsi="仿宋" w:eastAsia="仿宋" w:cs="Times New Roman"/>
          <w:b/>
          <w:sz w:val="32"/>
          <w:szCs w:val="32"/>
        </w:rPr>
        <w:t>交通运输支出225.76</w:t>
      </w:r>
      <w:r>
        <w:rPr>
          <w:rFonts w:hint="eastAsia" w:ascii="仿宋" w:hAnsi="仿宋" w:eastAsia="仿宋"/>
          <w:sz w:val="32"/>
          <w:szCs w:val="32"/>
        </w:rPr>
        <w:t>万元，占比</w:t>
      </w:r>
      <w:r>
        <w:rPr>
          <w:rFonts w:hint="eastAsia" w:ascii="仿宋" w:hAnsi="仿宋" w:eastAsia="仿宋" w:cs="Times New Roman"/>
          <w:b/>
          <w:sz w:val="32"/>
          <w:szCs w:val="32"/>
          <w:lang w:val="en-US" w:eastAsia="zh-CN"/>
        </w:rPr>
        <w:t>11.25</w:t>
      </w:r>
      <w:r>
        <w:rPr>
          <w:rFonts w:hint="eastAsia" w:ascii="仿宋" w:hAnsi="仿宋" w:eastAsia="仿宋"/>
          <w:sz w:val="32"/>
          <w:szCs w:val="32"/>
        </w:rPr>
        <w:t>%。</w:t>
      </w:r>
      <w:r>
        <w:rPr>
          <w:rFonts w:hint="eastAsia" w:ascii="仿宋" w:hAnsi="仿宋" w:eastAsia="仿宋" w:cs="Times New Roman"/>
          <w:b/>
          <w:sz w:val="32"/>
          <w:szCs w:val="32"/>
        </w:rPr>
        <w:t>住房保障支出41.86</w:t>
      </w:r>
      <w:r>
        <w:rPr>
          <w:rFonts w:hint="eastAsia" w:ascii="仿宋" w:hAnsi="仿宋" w:eastAsia="仿宋"/>
          <w:sz w:val="32"/>
          <w:szCs w:val="32"/>
        </w:rPr>
        <w:t>万元，占比</w:t>
      </w:r>
      <w:r>
        <w:rPr>
          <w:rFonts w:hint="eastAsia" w:ascii="仿宋" w:hAnsi="仿宋" w:eastAsia="仿宋" w:cs="Times New Roman"/>
          <w:b/>
          <w:sz w:val="32"/>
          <w:szCs w:val="32"/>
          <w:lang w:val="en-US" w:eastAsia="zh-CN"/>
        </w:rPr>
        <w:t>2.09</w:t>
      </w:r>
      <w:r>
        <w:rPr>
          <w:rFonts w:hint="eastAsia" w:ascii="仿宋" w:hAnsi="仿宋" w:eastAsia="仿宋"/>
          <w:sz w:val="32"/>
          <w:szCs w:val="32"/>
        </w:rPr>
        <w:t>%。</w:t>
      </w:r>
      <w:r>
        <w:rPr>
          <w:rFonts w:hint="eastAsia" w:ascii="仿宋" w:hAnsi="仿宋" w:eastAsia="仿宋" w:cs="Times New Roman"/>
          <w:b/>
          <w:sz w:val="32"/>
          <w:szCs w:val="32"/>
        </w:rPr>
        <w:t>粮油物资储备支出100</w:t>
      </w:r>
      <w:r>
        <w:rPr>
          <w:rFonts w:hint="eastAsia" w:ascii="仿宋" w:hAnsi="仿宋" w:eastAsia="仿宋"/>
          <w:sz w:val="32"/>
          <w:szCs w:val="32"/>
        </w:rPr>
        <w:t>万元，占比</w:t>
      </w:r>
      <w:r>
        <w:rPr>
          <w:rFonts w:hint="eastAsia" w:ascii="仿宋" w:hAnsi="仿宋" w:eastAsia="仿宋" w:cs="Times New Roman"/>
          <w:b/>
          <w:sz w:val="32"/>
          <w:szCs w:val="32"/>
          <w:lang w:val="en-US" w:eastAsia="zh-CN"/>
        </w:rPr>
        <w:t>4.99</w:t>
      </w:r>
      <w:r>
        <w:rPr>
          <w:rFonts w:hint="eastAsia" w:ascii="仿宋" w:hAnsi="仿宋" w:eastAsia="仿宋"/>
          <w:sz w:val="32"/>
          <w:szCs w:val="32"/>
        </w:rPr>
        <w:t>%。</w:t>
      </w:r>
      <w:r>
        <w:rPr>
          <w:rFonts w:hint="eastAsia" w:ascii="仿宋" w:hAnsi="仿宋" w:eastAsia="仿宋" w:cs="Times New Roman"/>
          <w:b/>
          <w:sz w:val="32"/>
          <w:szCs w:val="32"/>
        </w:rPr>
        <w:t>灾害防治及应急管理支出5.98</w:t>
      </w:r>
      <w:r>
        <w:rPr>
          <w:rFonts w:hint="eastAsia" w:ascii="仿宋" w:hAnsi="仿宋" w:eastAsia="仿宋"/>
          <w:sz w:val="32"/>
          <w:szCs w:val="32"/>
        </w:rPr>
        <w:t>万元，占比</w:t>
      </w:r>
      <w:r>
        <w:rPr>
          <w:rFonts w:hint="eastAsia" w:ascii="仿宋" w:hAnsi="仿宋" w:eastAsia="仿宋" w:cs="Times New Roman"/>
          <w:b/>
          <w:sz w:val="32"/>
          <w:szCs w:val="32"/>
        </w:rPr>
        <w:t>0.</w:t>
      </w:r>
      <w:r>
        <w:rPr>
          <w:rFonts w:hint="eastAsia" w:ascii="仿宋" w:hAnsi="仿宋" w:eastAsia="仿宋" w:cs="Times New Roman"/>
          <w:b/>
          <w:sz w:val="32"/>
          <w:szCs w:val="32"/>
          <w:lang w:val="en-US" w:eastAsia="zh-CN"/>
        </w:rPr>
        <w:t>30</w:t>
      </w:r>
      <w:r>
        <w:rPr>
          <w:rFonts w:hint="eastAsia" w:ascii="仿宋" w:hAnsi="仿宋" w:eastAsia="仿宋"/>
          <w:sz w:val="32"/>
          <w:szCs w:val="32"/>
        </w:rPr>
        <w:t>%。</w:t>
      </w:r>
      <w:r>
        <w:rPr>
          <w:rFonts w:hint="eastAsia" w:ascii="仿宋" w:hAnsi="仿宋" w:eastAsia="仿宋" w:cs="Times New Roman"/>
          <w:b/>
          <w:sz w:val="32"/>
          <w:szCs w:val="32"/>
        </w:rPr>
        <w:t>其他支出</w:t>
      </w:r>
      <w:r>
        <w:rPr>
          <w:rFonts w:hint="eastAsia" w:ascii="仿宋" w:hAnsi="仿宋" w:eastAsia="仿宋" w:cs="Times New Roman"/>
          <w:b/>
          <w:sz w:val="32"/>
          <w:szCs w:val="32"/>
          <w:lang w:val="en-US" w:eastAsia="zh-CN"/>
        </w:rPr>
        <w:t>60</w:t>
      </w:r>
      <w:r>
        <w:rPr>
          <w:rFonts w:hint="eastAsia" w:ascii="仿宋" w:hAnsi="仿宋" w:eastAsia="仿宋"/>
          <w:sz w:val="32"/>
          <w:szCs w:val="32"/>
        </w:rPr>
        <w:t>万元，占比</w:t>
      </w:r>
      <w:r>
        <w:rPr>
          <w:rFonts w:hint="eastAsia" w:ascii="仿宋" w:hAnsi="仿宋" w:eastAsia="仿宋" w:cs="Times New Roman"/>
          <w:b/>
          <w:sz w:val="32"/>
          <w:szCs w:val="32"/>
          <w:lang w:val="en-US" w:eastAsia="zh-CN"/>
        </w:rPr>
        <w:t>2.99</w:t>
      </w:r>
      <w:r>
        <w:rPr>
          <w:rFonts w:hint="eastAsia" w:ascii="仿宋" w:hAnsi="仿宋" w:eastAsia="仿宋"/>
          <w:sz w:val="32"/>
          <w:szCs w:val="32"/>
        </w:rPr>
        <w:t>%。</w:t>
      </w:r>
    </w:p>
    <w:p w14:paraId="70753AEB">
      <w:pPr>
        <w:spacing w:line="600" w:lineRule="exact"/>
        <w:ind w:firstLine="640"/>
        <w:rPr>
          <w:rFonts w:ascii="仿宋" w:hAnsi="仿宋" w:eastAsia="仿宋"/>
          <w:sz w:val="32"/>
          <w:szCs w:val="32"/>
        </w:rPr>
      </w:pPr>
    </w:p>
    <w:p w14:paraId="30822E6E">
      <w:pPr>
        <w:pStyle w:val="2"/>
        <w:outlineLvl w:val="9"/>
      </w:pPr>
      <w:r>
        <w:drawing>
          <wp:anchor distT="0" distB="0" distL="114300" distR="114300" simplePos="0" relativeHeight="251664384" behindDoc="0" locked="0" layoutInCell="1" allowOverlap="1">
            <wp:simplePos x="0" y="0"/>
            <wp:positionH relativeFrom="column">
              <wp:posOffset>356870</wp:posOffset>
            </wp:positionH>
            <wp:positionV relativeFrom="paragraph">
              <wp:posOffset>233045</wp:posOffset>
            </wp:positionV>
            <wp:extent cx="4886325" cy="3038475"/>
            <wp:effectExtent l="4445" t="4445" r="5080" b="5080"/>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1AAF609">
      <w:pPr>
        <w:spacing w:line="600" w:lineRule="exact"/>
        <w:ind w:firstLine="640" w:firstLineChars="200"/>
        <w:jc w:val="center"/>
        <w:rPr>
          <w:rFonts w:hint="eastAsia" w:ascii="仿宋" w:hAnsi="仿宋" w:eastAsia="仿宋"/>
          <w:sz w:val="32"/>
          <w:szCs w:val="32"/>
          <w:highlight w:val="yellow"/>
        </w:rPr>
      </w:pPr>
    </w:p>
    <w:p w14:paraId="09C17C55">
      <w:pPr>
        <w:spacing w:line="600" w:lineRule="exact"/>
        <w:ind w:firstLine="640" w:firstLineChars="200"/>
        <w:jc w:val="center"/>
        <w:rPr>
          <w:rFonts w:hint="eastAsia" w:ascii="仿宋" w:hAnsi="仿宋" w:eastAsia="仿宋"/>
          <w:sz w:val="32"/>
          <w:szCs w:val="32"/>
          <w:highlight w:val="yellow"/>
        </w:rPr>
      </w:pPr>
    </w:p>
    <w:p w14:paraId="6E7B30B4">
      <w:pPr>
        <w:pStyle w:val="2"/>
        <w:outlineLvl w:val="9"/>
        <w:rPr>
          <w:rFonts w:hint="eastAsia" w:ascii="仿宋" w:hAnsi="仿宋" w:eastAsia="仿宋"/>
          <w:sz w:val="32"/>
          <w:szCs w:val="32"/>
          <w:highlight w:val="yellow"/>
        </w:rPr>
      </w:pPr>
    </w:p>
    <w:p w14:paraId="06D4FC8D">
      <w:pPr>
        <w:rPr>
          <w:rFonts w:hint="eastAsia" w:ascii="仿宋" w:hAnsi="仿宋" w:eastAsia="仿宋"/>
          <w:sz w:val="32"/>
          <w:szCs w:val="32"/>
          <w:highlight w:val="yellow"/>
        </w:rPr>
      </w:pPr>
    </w:p>
    <w:p w14:paraId="12490A2D">
      <w:pPr>
        <w:pStyle w:val="2"/>
        <w:outlineLvl w:val="9"/>
        <w:rPr>
          <w:rFonts w:hint="eastAsia" w:ascii="仿宋" w:hAnsi="仿宋" w:eastAsia="仿宋"/>
          <w:sz w:val="32"/>
          <w:szCs w:val="32"/>
          <w:highlight w:val="yellow"/>
        </w:rPr>
      </w:pPr>
    </w:p>
    <w:p w14:paraId="4DF6CD3F">
      <w:pPr>
        <w:spacing w:line="600" w:lineRule="exact"/>
        <w:jc w:val="center"/>
        <w:rPr>
          <w:rFonts w:hint="eastAsia" w:ascii="仿宋" w:hAnsi="仿宋" w:eastAsia="仿宋"/>
          <w:sz w:val="32"/>
          <w:szCs w:val="32"/>
          <w:highlight w:val="yellow"/>
        </w:rPr>
      </w:pPr>
    </w:p>
    <w:p w14:paraId="3851E7EE">
      <w:pPr>
        <w:spacing w:line="600" w:lineRule="exact"/>
        <w:jc w:val="center"/>
        <w:rPr>
          <w:rFonts w:ascii="仿宋" w:hAnsi="仿宋" w:eastAsia="仿宋"/>
          <w:sz w:val="32"/>
          <w:szCs w:val="32"/>
          <w:highlight w:val="yellow"/>
        </w:rPr>
      </w:pPr>
      <w:r>
        <w:rPr>
          <w:rFonts w:hint="eastAsia" w:ascii="仿宋" w:hAnsi="仿宋" w:eastAsia="仿宋"/>
          <w:sz w:val="32"/>
          <w:szCs w:val="32"/>
          <w:highlight w:val="yellow"/>
        </w:rPr>
        <w:t>图6：一般公共预算财政拨款支出决算结构</w:t>
      </w:r>
    </w:p>
    <w:p w14:paraId="0876504D">
      <w:pPr>
        <w:spacing w:line="600" w:lineRule="exact"/>
        <w:ind w:firstLine="640" w:firstLineChars="200"/>
        <w:rPr>
          <w:rFonts w:ascii="仿宋" w:hAnsi="仿宋" w:eastAsia="仿宋"/>
          <w:sz w:val="32"/>
          <w:szCs w:val="32"/>
        </w:rPr>
      </w:pPr>
    </w:p>
    <w:p w14:paraId="1B84F3C0">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14:paraId="19AEAB5C">
      <w:pPr>
        <w:spacing w:line="600" w:lineRule="exact"/>
        <w:ind w:firstLine="643" w:firstLineChars="200"/>
        <w:outlineLvl w:val="1"/>
        <w:rPr>
          <w:rFonts w:ascii="仿宋" w:hAnsi="仿宋" w:eastAsia="仿宋"/>
          <w:sz w:val="32"/>
          <w:szCs w:val="32"/>
          <w:highlight w:val="yellow"/>
        </w:rPr>
      </w:pPr>
      <w:bookmarkStart w:id="44" w:name="_Toc15377213"/>
      <w:bookmarkStart w:id="45" w:name="_Toc15377444"/>
      <w:bookmarkStart w:id="46" w:name="_Toc15378460"/>
      <w:bookmarkStart w:id="47" w:name="_Toc29395"/>
      <w:r>
        <w:rPr>
          <w:rFonts w:hint="eastAsia" w:ascii="仿宋" w:hAnsi="仿宋" w:eastAsia="仿宋"/>
          <w:b/>
          <w:sz w:val="32"/>
          <w:szCs w:val="32"/>
          <w:highlight w:val="yellow"/>
        </w:rPr>
        <w:t>2023年度一般公共预算支出决算数为</w:t>
      </w:r>
      <w:r>
        <w:rPr>
          <w:rFonts w:hint="eastAsia" w:ascii="仿宋" w:hAnsi="仿宋" w:eastAsia="仿宋"/>
          <w:b/>
          <w:sz w:val="32"/>
          <w:szCs w:val="32"/>
          <w:highlight w:val="yellow"/>
          <w:lang w:val="en-US" w:eastAsia="zh-CN"/>
        </w:rPr>
        <w:t>2005.83</w:t>
      </w:r>
      <w:r>
        <w:rPr>
          <w:rFonts w:hint="eastAsia" w:ascii="仿宋" w:hAnsi="仿宋" w:eastAsia="仿宋"/>
          <w:sz w:val="32"/>
          <w:szCs w:val="32"/>
          <w:highlight w:val="yellow"/>
        </w:rPr>
        <w:t>，</w:t>
      </w:r>
      <w:r>
        <w:rPr>
          <w:rStyle w:val="17"/>
          <w:rFonts w:hint="eastAsia" w:ascii="仿宋" w:hAnsi="仿宋" w:eastAsia="仿宋"/>
          <w:bCs/>
          <w:sz w:val="32"/>
          <w:szCs w:val="32"/>
          <w:highlight w:val="yellow"/>
        </w:rPr>
        <w:t>完成预算</w:t>
      </w:r>
      <w:r>
        <w:rPr>
          <w:rStyle w:val="17"/>
          <w:rFonts w:hint="eastAsia" w:ascii="仿宋" w:hAnsi="仿宋" w:eastAsia="仿宋"/>
          <w:bCs/>
          <w:sz w:val="32"/>
          <w:szCs w:val="32"/>
          <w:highlight w:val="yellow"/>
          <w:lang w:val="en-US" w:eastAsia="zh-CN"/>
        </w:rPr>
        <w:t>100</w:t>
      </w:r>
      <w:r>
        <w:rPr>
          <w:rStyle w:val="17"/>
          <w:rFonts w:ascii="仿宋" w:hAnsi="仿宋" w:eastAsia="仿宋"/>
          <w:bCs/>
          <w:sz w:val="32"/>
          <w:szCs w:val="32"/>
          <w:highlight w:val="yellow"/>
        </w:rPr>
        <w:t>%</w:t>
      </w:r>
      <w:r>
        <w:rPr>
          <w:rStyle w:val="17"/>
          <w:rFonts w:hint="eastAsia" w:ascii="仿宋" w:hAnsi="仿宋" w:eastAsia="仿宋"/>
          <w:bCs/>
          <w:sz w:val="32"/>
          <w:szCs w:val="32"/>
          <w:highlight w:val="yellow"/>
        </w:rPr>
        <w:t>。其中：</w:t>
      </w:r>
      <w:bookmarkEnd w:id="44"/>
      <w:bookmarkEnd w:id="45"/>
      <w:bookmarkEnd w:id="46"/>
      <w:bookmarkEnd w:id="47"/>
    </w:p>
    <w:p w14:paraId="42349905">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FF0000"/>
          <w:sz w:val="32"/>
          <w:szCs w:val="32"/>
        </w:rPr>
      </w:pPr>
      <w:r>
        <w:rPr>
          <w:rFonts w:hint="default" w:ascii="仿宋" w:hAnsi="仿宋" w:eastAsia="仿宋"/>
          <w:b/>
          <w:bCs/>
          <w:sz w:val="32"/>
          <w:szCs w:val="32"/>
          <w:lang w:eastAsia="zh-CN"/>
        </w:rPr>
        <w:t>一般公共服务（类）人大事务（款）其他人大事务支出（项）</w:t>
      </w:r>
      <w:r>
        <w:rPr>
          <w:rFonts w:hint="default" w:ascii="Times New Roman" w:hAnsi="Times New Roman" w:eastAsia="楷体" w:cs="Times New Roman"/>
          <w:b w:val="0"/>
          <w:bCs/>
          <w:color w:val="000000"/>
          <w:sz w:val="32"/>
          <w:szCs w:val="32"/>
          <w:lang w:eastAsia="zh-CN"/>
        </w:rPr>
        <w:t>:</w:t>
      </w:r>
      <w:r>
        <w:rPr>
          <w:rFonts w:hint="default" w:ascii="Times New Roman" w:hAnsi="Times New Roman" w:eastAsia="楷体" w:cs="Times New Roman"/>
          <w:b/>
          <w:color w:val="000000"/>
          <w:sz w:val="32"/>
          <w:szCs w:val="32"/>
          <w:lang w:eastAsia="zh-CN"/>
        </w:rPr>
        <w:t xml:space="preserve"> </w:t>
      </w:r>
      <w:r>
        <w:rPr>
          <w:rStyle w:val="17"/>
          <w:rFonts w:hint="default" w:ascii="Times New Roman" w:hAnsi="Times New Roman" w:eastAsia="仿宋" w:cs="Times New Roman"/>
          <w:b w:val="0"/>
          <w:bCs/>
          <w:color w:val="000000"/>
          <w:sz w:val="32"/>
          <w:szCs w:val="32"/>
        </w:rPr>
        <w:t>支出决算</w:t>
      </w:r>
      <w:r>
        <w:rPr>
          <w:rStyle w:val="17"/>
          <w:rFonts w:hint="default" w:ascii="Times New Roman" w:hAnsi="Times New Roman" w:eastAsia="仿宋" w:cs="Times New Roman"/>
          <w:b w:val="0"/>
          <w:bCs/>
          <w:color w:val="auto"/>
          <w:sz w:val="32"/>
          <w:szCs w:val="32"/>
        </w:rPr>
        <w:t>为</w:t>
      </w:r>
      <w:r>
        <w:rPr>
          <w:rFonts w:hint="eastAsia" w:ascii="仿宋" w:hAnsi="仿宋" w:eastAsia="仿宋"/>
          <w:b/>
          <w:bCs/>
          <w:sz w:val="32"/>
          <w:szCs w:val="32"/>
          <w:lang w:val="en-US" w:eastAsia="zh-CN"/>
        </w:rPr>
        <w:t>4.24</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default" w:ascii="Times New Roman" w:hAnsi="Times New Roman" w:eastAsia="仿宋" w:cs="Times New Roman"/>
          <w:b w:val="0"/>
          <w:bCs/>
          <w:color w:val="000000"/>
          <w:sz w:val="32"/>
          <w:szCs w:val="32"/>
        </w:rPr>
        <w:t>。</w:t>
      </w:r>
    </w:p>
    <w:p w14:paraId="50C35A0F">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rPr>
      </w:pPr>
      <w:r>
        <w:rPr>
          <w:rFonts w:hint="default" w:ascii="仿宋" w:hAnsi="仿宋" w:eastAsia="仿宋"/>
          <w:b/>
          <w:bCs/>
          <w:sz w:val="32"/>
          <w:szCs w:val="32"/>
          <w:lang w:eastAsia="zh-CN"/>
        </w:rPr>
        <w:t>一般公共服务（类）政府办公厅（室）及相关机构事务（款）行政运行（项）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299.89</w:t>
      </w:r>
      <w:r>
        <w:rPr>
          <w:rStyle w:val="17"/>
          <w:rFonts w:hint="default" w:ascii="Times New Roman" w:hAnsi="Times New Roman" w:eastAsia="仿宋" w:cs="Times New Roman"/>
          <w:b w:val="0"/>
          <w:bCs/>
          <w:color w:val="000000"/>
          <w:sz w:val="32"/>
          <w:szCs w:val="32"/>
        </w:rPr>
        <w:t>万元，完成预算</w:t>
      </w:r>
      <w:r>
        <w:rPr>
          <w:rStyle w:val="17"/>
          <w:rFonts w:hint="default" w:ascii="Times New Roman" w:hAnsi="Times New Roman"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default" w:ascii="Times New Roman" w:hAnsi="Times New Roman" w:eastAsia="仿宋" w:cs="Times New Roman"/>
          <w:b w:val="0"/>
          <w:bCs/>
          <w:color w:val="000000"/>
          <w:sz w:val="32"/>
          <w:szCs w:val="32"/>
        </w:rPr>
        <w:t>。</w:t>
      </w:r>
    </w:p>
    <w:p w14:paraId="24AB9BB0">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rPr>
      </w:pPr>
      <w:r>
        <w:rPr>
          <w:rFonts w:hint="default" w:ascii="仿宋" w:hAnsi="仿宋" w:eastAsia="仿宋"/>
          <w:b/>
          <w:bCs/>
          <w:sz w:val="32"/>
          <w:szCs w:val="32"/>
          <w:lang w:eastAsia="zh-CN"/>
        </w:rPr>
        <w:t>一般公共服务（类）人大事务（款）</w:t>
      </w:r>
      <w:r>
        <w:rPr>
          <w:rFonts w:hint="eastAsia" w:ascii="仿宋" w:hAnsi="仿宋" w:eastAsia="仿宋"/>
          <w:b/>
          <w:bCs/>
          <w:sz w:val="32"/>
          <w:szCs w:val="32"/>
          <w:lang w:val="en-US" w:eastAsia="zh-CN"/>
        </w:rPr>
        <w:t>一般行政管理事务</w:t>
      </w:r>
      <w:r>
        <w:rPr>
          <w:rFonts w:hint="default" w:ascii="仿宋" w:hAnsi="仿宋" w:eastAsia="仿宋"/>
          <w:b/>
          <w:bCs/>
          <w:sz w:val="32"/>
          <w:szCs w:val="32"/>
          <w:lang w:eastAsia="zh-CN"/>
        </w:rPr>
        <w:t>（项）</w:t>
      </w:r>
      <w:r>
        <w:rPr>
          <w:rFonts w:hint="default" w:ascii="Times New Roman" w:hAnsi="Times New Roman" w:eastAsia="楷体" w:cs="Times New Roman"/>
          <w:b w:val="0"/>
          <w:bCs/>
          <w:color w:val="000000"/>
          <w:sz w:val="32"/>
          <w:szCs w:val="32"/>
          <w:lang w:eastAsia="zh-CN"/>
        </w:rPr>
        <w:t>:</w:t>
      </w:r>
      <w:r>
        <w:rPr>
          <w:rFonts w:hint="default" w:ascii="Times New Roman" w:hAnsi="Times New Roman" w:eastAsia="楷体" w:cs="Times New Roman"/>
          <w:b/>
          <w:color w:val="000000"/>
          <w:sz w:val="32"/>
          <w:szCs w:val="32"/>
          <w:lang w:eastAsia="zh-CN"/>
        </w:rPr>
        <w:t xml:space="preserve"> </w:t>
      </w:r>
      <w:r>
        <w:rPr>
          <w:rStyle w:val="17"/>
          <w:rFonts w:hint="default" w:ascii="Times New Roman" w:hAnsi="Times New Roman" w:eastAsia="仿宋" w:cs="Times New Roman"/>
          <w:b w:val="0"/>
          <w:bCs/>
          <w:color w:val="000000"/>
          <w:sz w:val="32"/>
          <w:szCs w:val="32"/>
        </w:rPr>
        <w:t>支出决算</w:t>
      </w:r>
      <w:r>
        <w:rPr>
          <w:rStyle w:val="17"/>
          <w:rFonts w:hint="default" w:ascii="Times New Roman" w:hAnsi="Times New Roman" w:eastAsia="仿宋" w:cs="Times New Roman"/>
          <w:b w:val="0"/>
          <w:bCs/>
          <w:color w:val="auto"/>
          <w:sz w:val="32"/>
          <w:szCs w:val="32"/>
        </w:rPr>
        <w:t>为</w:t>
      </w:r>
      <w:r>
        <w:rPr>
          <w:rFonts w:hint="eastAsia" w:ascii="仿宋" w:hAnsi="仿宋" w:eastAsia="仿宋"/>
          <w:b/>
          <w:bCs/>
          <w:sz w:val="32"/>
          <w:szCs w:val="32"/>
          <w:lang w:val="en-US" w:eastAsia="zh-CN"/>
        </w:rPr>
        <w:t>0.36</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default" w:ascii="Times New Roman" w:hAnsi="Times New Roman" w:eastAsia="仿宋" w:cs="Times New Roman"/>
          <w:b w:val="0"/>
          <w:bCs/>
          <w:color w:val="000000"/>
          <w:sz w:val="32"/>
          <w:szCs w:val="32"/>
        </w:rPr>
        <w:t>。</w:t>
      </w:r>
    </w:p>
    <w:p w14:paraId="2ABFCDD9">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FF0000"/>
          <w:sz w:val="32"/>
          <w:szCs w:val="32"/>
          <w:lang w:eastAsia="zh-CN"/>
        </w:rPr>
      </w:pPr>
      <w:r>
        <w:rPr>
          <w:rFonts w:hint="default" w:ascii="仿宋" w:hAnsi="仿宋" w:eastAsia="仿宋"/>
          <w:b/>
          <w:bCs/>
          <w:sz w:val="32"/>
          <w:szCs w:val="32"/>
          <w:lang w:eastAsia="zh-CN"/>
        </w:rPr>
        <w:t>一般公共服务（类）政府办公厅（室）及相关机构事务（款）信访事务（项）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7</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w:t>
      </w:r>
      <w:r>
        <w:rPr>
          <w:rStyle w:val="17"/>
          <w:rFonts w:hint="default" w:ascii="Times New Roman" w:hAnsi="Times New Roman" w:eastAsia="仿宋" w:cs="Times New Roman"/>
          <w:b w:val="0"/>
          <w:bCs/>
          <w:color w:val="000000"/>
          <w:sz w:val="32"/>
          <w:szCs w:val="32"/>
        </w:rPr>
        <w:t>预算数</w:t>
      </w:r>
      <w:r>
        <w:rPr>
          <w:rStyle w:val="17"/>
          <w:rFonts w:hint="default" w:ascii="Times New Roman" w:hAnsi="Times New Roman" w:eastAsia="仿宋" w:cs="Times New Roman"/>
          <w:b w:val="0"/>
          <w:bCs/>
          <w:color w:val="000000"/>
          <w:sz w:val="32"/>
          <w:szCs w:val="32"/>
          <w:lang w:eastAsia="zh-CN"/>
        </w:rPr>
        <w:t>持平。</w:t>
      </w:r>
    </w:p>
    <w:p w14:paraId="21932671">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eastAsia="仿宋" w:cs="Times New Roman"/>
          <w:b w:val="0"/>
          <w:bCs/>
          <w:color w:val="auto"/>
          <w:kern w:val="2"/>
          <w:sz w:val="28"/>
          <w:szCs w:val="28"/>
          <w:lang w:val="en-US" w:eastAsia="zh-CN" w:bidi="ar-SA"/>
        </w:rPr>
      </w:pPr>
      <w:r>
        <w:rPr>
          <w:rFonts w:hint="default" w:ascii="仿宋" w:hAnsi="仿宋" w:eastAsia="仿宋"/>
          <w:b/>
          <w:bCs/>
          <w:sz w:val="32"/>
          <w:szCs w:val="32"/>
          <w:lang w:eastAsia="zh-CN"/>
        </w:rPr>
        <w:t>一般公共服务（类）政府办公厅（室）及相关机构事务（款）其他政府办公厅（室）及相关机构事务支出（项）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26.87</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auto"/>
          <w:sz w:val="32"/>
          <w:szCs w:val="32"/>
        </w:rPr>
        <w:t>%，</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w:t>
      </w:r>
      <w:r>
        <w:rPr>
          <w:rStyle w:val="17"/>
          <w:rFonts w:hint="default" w:ascii="Times New Roman" w:hAnsi="Times New Roman" w:eastAsia="仿宋" w:cs="Times New Roman"/>
          <w:b w:val="0"/>
          <w:bCs/>
          <w:color w:val="000000"/>
          <w:sz w:val="32"/>
          <w:szCs w:val="32"/>
        </w:rPr>
        <w:t>预算数</w:t>
      </w:r>
      <w:r>
        <w:rPr>
          <w:rStyle w:val="17"/>
          <w:rFonts w:hint="default" w:ascii="Times New Roman" w:hAnsi="Times New Roman" w:eastAsia="仿宋" w:cs="Times New Roman"/>
          <w:b w:val="0"/>
          <w:bCs/>
          <w:color w:val="000000"/>
          <w:sz w:val="32"/>
          <w:szCs w:val="32"/>
          <w:lang w:eastAsia="zh-CN"/>
        </w:rPr>
        <w:t>持平。</w:t>
      </w:r>
    </w:p>
    <w:p w14:paraId="2D26D4D6">
      <w:pPr>
        <w:numPr>
          <w:ilvl w:val="0"/>
          <w:numId w:val="3"/>
        </w:numPr>
        <w:spacing w:line="600" w:lineRule="exact"/>
        <w:ind w:left="0" w:leftChars="0" w:firstLine="400" w:firstLineChars="0"/>
        <w:rPr>
          <w:rFonts w:hint="default" w:ascii="Times New Roman" w:hAnsi="Times New Roman" w:cs="Times New Roman"/>
        </w:rPr>
      </w:pPr>
      <w:r>
        <w:rPr>
          <w:rStyle w:val="17"/>
          <w:rFonts w:hint="eastAsia" w:ascii="仿宋" w:hAnsi="仿宋" w:eastAsia="仿宋"/>
          <w:bCs/>
          <w:color w:val="auto"/>
          <w:sz w:val="32"/>
          <w:szCs w:val="32"/>
          <w:highlight w:val="none"/>
        </w:rPr>
        <w:t>一般公共服务（类）</w:t>
      </w:r>
      <w:r>
        <w:rPr>
          <w:rStyle w:val="17"/>
          <w:rFonts w:hint="eastAsia" w:ascii="仿宋" w:hAnsi="仿宋" w:eastAsia="仿宋"/>
          <w:bCs/>
          <w:color w:val="auto"/>
          <w:sz w:val="32"/>
          <w:szCs w:val="32"/>
          <w:highlight w:val="none"/>
          <w:lang w:val="en-US" w:eastAsia="zh-CN"/>
        </w:rPr>
        <w:t>纪检监察事务</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其他纪检监察事务支出</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Fonts w:hint="eastAsia" w:ascii="仿宋" w:hAnsi="仿宋" w:eastAsia="仿宋"/>
          <w:b/>
          <w:bCs/>
          <w:sz w:val="32"/>
          <w:szCs w:val="32"/>
          <w:lang w:val="en-US" w:eastAsia="zh-CN"/>
        </w:rPr>
        <w:t>10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14:paraId="12AF06D5">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rPr>
      </w:pPr>
      <w:r>
        <w:rPr>
          <w:rFonts w:hint="default" w:ascii="仿宋" w:hAnsi="仿宋" w:eastAsia="仿宋"/>
          <w:b/>
          <w:bCs/>
          <w:sz w:val="32"/>
          <w:szCs w:val="32"/>
          <w:lang w:eastAsia="zh-CN"/>
        </w:rPr>
        <w:t>一般公共服务（类）群众团体事务（款）其他群众团体事务（项）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0.5</w:t>
      </w:r>
      <w:r>
        <w:rPr>
          <w:rStyle w:val="17"/>
          <w:rFonts w:hint="default" w:ascii="Times New Roman" w:hAnsi="Times New Roman" w:eastAsia="仿宋" w:cs="Times New Roman"/>
          <w:b w:val="0"/>
          <w:bCs/>
          <w:color w:val="000000"/>
          <w:sz w:val="32"/>
          <w:szCs w:val="32"/>
        </w:rPr>
        <w:t>万元，完成预算</w:t>
      </w:r>
      <w:r>
        <w:rPr>
          <w:rStyle w:val="17"/>
          <w:rFonts w:hint="default" w:ascii="Times New Roman" w:hAnsi="Times New Roman"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41D64F53">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eastAsia="zh-CN"/>
        </w:rPr>
        <w:t>一般公共服务（类）组织事务（款）其他组织事务</w:t>
      </w:r>
      <w:r>
        <w:rPr>
          <w:rFonts w:hint="eastAsia" w:ascii="仿宋" w:hAnsi="仿宋" w:eastAsia="仿宋"/>
          <w:b/>
          <w:bCs/>
          <w:sz w:val="32"/>
          <w:szCs w:val="32"/>
          <w:lang w:val="en-US" w:eastAsia="zh-CN"/>
        </w:rPr>
        <w:t>支出</w:t>
      </w:r>
      <w:r>
        <w:rPr>
          <w:rFonts w:hint="default" w:ascii="仿宋" w:hAnsi="仿宋" w:eastAsia="仿宋"/>
          <w:b/>
          <w:bCs/>
          <w:sz w:val="32"/>
          <w:szCs w:val="32"/>
          <w:lang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w:t>
      </w:r>
      <w:r>
        <w:rPr>
          <w:rStyle w:val="17"/>
          <w:rFonts w:hint="default" w:ascii="Times New Roman" w:hAnsi="Times New Roman" w:eastAsia="仿宋" w:cs="Times New Roman"/>
          <w:b w:val="0"/>
          <w:bCs/>
          <w:color w:val="auto"/>
          <w:sz w:val="32"/>
          <w:szCs w:val="32"/>
        </w:rPr>
        <w:t>为</w:t>
      </w:r>
      <w:r>
        <w:rPr>
          <w:rFonts w:hint="eastAsia" w:ascii="仿宋" w:hAnsi="仿宋" w:eastAsia="仿宋"/>
          <w:b/>
          <w:bCs/>
          <w:sz w:val="32"/>
          <w:szCs w:val="32"/>
          <w:lang w:val="en-US" w:eastAsia="zh-CN"/>
        </w:rPr>
        <w:t>1.51</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0230E0BC">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rPr>
      </w:pPr>
      <w:r>
        <w:rPr>
          <w:rFonts w:hint="eastAsia" w:ascii="仿宋" w:hAnsi="仿宋" w:eastAsia="仿宋"/>
          <w:b/>
          <w:bCs/>
          <w:sz w:val="32"/>
          <w:szCs w:val="32"/>
          <w:lang w:eastAsia="zh-CN"/>
        </w:rPr>
        <w:t>公共安全支出</w:t>
      </w:r>
      <w:r>
        <w:rPr>
          <w:rFonts w:hint="default" w:ascii="仿宋" w:hAnsi="仿宋" w:eastAsia="仿宋"/>
          <w:b/>
          <w:bCs/>
          <w:sz w:val="32"/>
          <w:szCs w:val="32"/>
          <w:lang w:eastAsia="zh-CN"/>
        </w:rPr>
        <w:t>（类）</w:t>
      </w:r>
      <w:r>
        <w:rPr>
          <w:rFonts w:hint="eastAsia" w:ascii="仿宋" w:hAnsi="仿宋" w:eastAsia="仿宋"/>
          <w:b/>
          <w:bCs/>
          <w:sz w:val="32"/>
          <w:szCs w:val="32"/>
          <w:lang w:eastAsia="zh-CN"/>
        </w:rPr>
        <w:t>公安</w:t>
      </w:r>
      <w:r>
        <w:rPr>
          <w:rFonts w:hint="default" w:ascii="仿宋" w:hAnsi="仿宋" w:eastAsia="仿宋"/>
          <w:b/>
          <w:bCs/>
          <w:sz w:val="32"/>
          <w:szCs w:val="32"/>
          <w:lang w:eastAsia="zh-CN"/>
        </w:rPr>
        <w:t>（款）</w:t>
      </w:r>
      <w:r>
        <w:rPr>
          <w:rFonts w:hint="eastAsia" w:ascii="仿宋" w:hAnsi="仿宋" w:eastAsia="仿宋"/>
          <w:b/>
          <w:bCs/>
          <w:sz w:val="32"/>
          <w:szCs w:val="32"/>
          <w:lang w:eastAsia="zh-CN"/>
        </w:rPr>
        <w:t>其他公安支出</w:t>
      </w:r>
      <w:r>
        <w:rPr>
          <w:rFonts w:hint="default" w:ascii="仿宋" w:hAnsi="仿宋" w:eastAsia="仿宋"/>
          <w:b/>
          <w:bCs/>
          <w:sz w:val="32"/>
          <w:szCs w:val="32"/>
          <w:lang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w:t>
      </w:r>
      <w:r>
        <w:rPr>
          <w:rStyle w:val="17"/>
          <w:rFonts w:hint="default" w:ascii="Times New Roman" w:hAnsi="Times New Roman" w:eastAsia="仿宋" w:cs="Times New Roman"/>
          <w:b w:val="0"/>
          <w:bCs/>
          <w:color w:val="auto"/>
          <w:sz w:val="32"/>
          <w:szCs w:val="32"/>
        </w:rPr>
        <w:t>为</w:t>
      </w:r>
      <w:r>
        <w:rPr>
          <w:rFonts w:hint="eastAsia" w:ascii="仿宋" w:hAnsi="仿宋" w:eastAsia="仿宋"/>
          <w:b/>
          <w:bCs/>
          <w:sz w:val="32"/>
          <w:szCs w:val="32"/>
          <w:lang w:val="en-US" w:eastAsia="zh-CN"/>
        </w:rPr>
        <w:t>7</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02631920">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eastAsia="zh-CN"/>
        </w:rPr>
        <w:t>文化旅游体育与传媒支出（类）文化</w:t>
      </w:r>
      <w:r>
        <w:rPr>
          <w:rFonts w:hint="eastAsia" w:ascii="仿宋" w:hAnsi="仿宋" w:eastAsia="仿宋"/>
          <w:b/>
          <w:bCs/>
          <w:sz w:val="32"/>
          <w:szCs w:val="32"/>
          <w:lang w:val="en-US" w:eastAsia="zh-CN"/>
        </w:rPr>
        <w:t>和</w:t>
      </w:r>
      <w:r>
        <w:rPr>
          <w:rFonts w:hint="default" w:ascii="仿宋" w:hAnsi="仿宋" w:eastAsia="仿宋"/>
          <w:b/>
          <w:bCs/>
          <w:sz w:val="32"/>
          <w:szCs w:val="32"/>
          <w:lang w:eastAsia="zh-CN"/>
        </w:rPr>
        <w:t>旅游（款）其他文化</w:t>
      </w:r>
      <w:r>
        <w:rPr>
          <w:rFonts w:hint="eastAsia" w:ascii="仿宋" w:hAnsi="仿宋" w:eastAsia="仿宋"/>
          <w:b/>
          <w:bCs/>
          <w:sz w:val="32"/>
          <w:szCs w:val="32"/>
          <w:lang w:eastAsia="zh-CN"/>
        </w:rPr>
        <w:t>和</w:t>
      </w:r>
      <w:r>
        <w:rPr>
          <w:rFonts w:hint="default" w:ascii="仿宋" w:hAnsi="仿宋" w:eastAsia="仿宋"/>
          <w:b/>
          <w:bCs/>
          <w:sz w:val="32"/>
          <w:szCs w:val="32"/>
          <w:lang w:eastAsia="zh-CN"/>
        </w:rPr>
        <w:t>旅游</w:t>
      </w:r>
      <w:r>
        <w:rPr>
          <w:rFonts w:hint="eastAsia" w:ascii="仿宋" w:hAnsi="仿宋" w:eastAsia="仿宋"/>
          <w:b/>
          <w:bCs/>
          <w:sz w:val="32"/>
          <w:szCs w:val="32"/>
          <w:lang w:eastAsia="zh-CN"/>
        </w:rPr>
        <w:t>支出</w:t>
      </w:r>
      <w:r>
        <w:rPr>
          <w:rFonts w:hint="default" w:ascii="仿宋" w:hAnsi="仿宋" w:eastAsia="仿宋"/>
          <w:b/>
          <w:bCs/>
          <w:sz w:val="32"/>
          <w:szCs w:val="32"/>
          <w:lang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0.05</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582C2C34">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eastAsia="zh-CN"/>
        </w:rPr>
        <w:t>文化旅游体育与传媒支出（类）其他文化旅游体育与传媒（款）其他文化旅游体育与传媒（项）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13.92</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12EC718F">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eastAsia="仿宋" w:cs="Times New Roman"/>
          <w:b w:val="0"/>
          <w:bCs/>
          <w:color w:val="auto"/>
          <w:kern w:val="2"/>
          <w:sz w:val="28"/>
          <w:szCs w:val="28"/>
          <w:lang w:val="en-US" w:eastAsia="zh-CN" w:bidi="ar-SA"/>
        </w:rPr>
      </w:pPr>
      <w:r>
        <w:rPr>
          <w:rFonts w:hint="default" w:ascii="仿宋" w:hAnsi="仿宋" w:eastAsia="仿宋"/>
          <w:b/>
          <w:bCs/>
          <w:sz w:val="32"/>
          <w:szCs w:val="32"/>
          <w:lang w:eastAsia="zh-CN"/>
        </w:rPr>
        <w:t>社会保障和就业支出（类）行政事业单位养老（款）</w:t>
      </w:r>
      <w:r>
        <w:rPr>
          <w:rFonts w:hint="eastAsia" w:ascii="仿宋" w:hAnsi="仿宋" w:eastAsia="仿宋"/>
          <w:b/>
          <w:bCs/>
          <w:sz w:val="32"/>
          <w:szCs w:val="32"/>
          <w:lang w:val="en-US" w:eastAsia="zh-CN"/>
        </w:rPr>
        <w:t>行政单位离退休</w:t>
      </w:r>
      <w:r>
        <w:rPr>
          <w:rFonts w:hint="default" w:ascii="仿宋" w:hAnsi="仿宋" w:eastAsia="仿宋"/>
          <w:b/>
          <w:bCs/>
          <w:sz w:val="32"/>
          <w:szCs w:val="32"/>
          <w:lang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4.27</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29E88569">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eastAsia="zh-CN"/>
        </w:rPr>
        <w:t>社会保障和就业支出（类）行政事业单位养老（款）机关事业单位基本养老保险缴费（项）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25.08</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67A10B8C">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rPr>
      </w:pPr>
      <w:r>
        <w:rPr>
          <w:rFonts w:hint="default" w:ascii="仿宋" w:hAnsi="仿宋" w:eastAsia="仿宋"/>
          <w:b/>
          <w:bCs/>
          <w:sz w:val="32"/>
          <w:szCs w:val="32"/>
          <w:lang w:val="en-US" w:eastAsia="zh-CN"/>
        </w:rPr>
        <w:t>社会保障和就业支出（类）行政事业单位养老（款）机关事业单位职业年金缴费（项）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9.57</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7011896E">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社会保障和就业支出（类）就业补助（款）公益性岗位补助（项）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w:t>
      </w:r>
      <w:r>
        <w:rPr>
          <w:rStyle w:val="17"/>
          <w:rFonts w:hint="default" w:ascii="Times New Roman" w:hAnsi="Times New Roman" w:eastAsia="仿宋" w:cs="Times New Roman"/>
          <w:b w:val="0"/>
          <w:bCs/>
          <w:color w:val="auto"/>
          <w:sz w:val="32"/>
          <w:szCs w:val="32"/>
        </w:rPr>
        <w:t>为</w:t>
      </w:r>
      <w:r>
        <w:rPr>
          <w:rFonts w:hint="eastAsia" w:ascii="仿宋" w:hAnsi="仿宋" w:eastAsia="仿宋"/>
          <w:b/>
          <w:bCs/>
          <w:sz w:val="32"/>
          <w:szCs w:val="32"/>
          <w:lang w:val="en-US" w:eastAsia="zh-CN"/>
        </w:rPr>
        <w:t>21.62</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3592277A">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社会保障和就业支出（类）抚恤（款）死亡抚恤（项）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24.70</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77FE729C">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社会保障和就业支出（类）</w:t>
      </w:r>
      <w:r>
        <w:rPr>
          <w:rFonts w:hint="eastAsia" w:ascii="仿宋" w:hAnsi="仿宋" w:eastAsia="仿宋"/>
          <w:b/>
          <w:bCs/>
          <w:sz w:val="32"/>
          <w:szCs w:val="32"/>
          <w:lang w:val="en-US" w:eastAsia="zh-CN"/>
        </w:rPr>
        <w:t>其他社会保障和就业支出</w:t>
      </w:r>
      <w:r>
        <w:rPr>
          <w:rFonts w:hint="default" w:ascii="仿宋" w:hAnsi="仿宋" w:eastAsia="仿宋"/>
          <w:b/>
          <w:bCs/>
          <w:sz w:val="32"/>
          <w:szCs w:val="32"/>
          <w:lang w:val="en-US" w:eastAsia="zh-CN"/>
        </w:rPr>
        <w:t>（款）</w:t>
      </w:r>
      <w:r>
        <w:rPr>
          <w:rFonts w:hint="eastAsia" w:ascii="仿宋" w:hAnsi="仿宋" w:eastAsia="仿宋"/>
          <w:b/>
          <w:bCs/>
          <w:sz w:val="32"/>
          <w:szCs w:val="32"/>
          <w:lang w:val="en-US" w:eastAsia="zh-CN"/>
        </w:rPr>
        <w:t>其他社会保障和就业支出</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2.92</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18E8616D">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b w:val="0"/>
          <w:bCs/>
        </w:rPr>
      </w:pPr>
      <w:r>
        <w:rPr>
          <w:rFonts w:hint="default" w:ascii="仿宋" w:hAnsi="仿宋" w:eastAsia="仿宋"/>
          <w:b/>
          <w:bCs/>
          <w:sz w:val="32"/>
          <w:szCs w:val="32"/>
          <w:lang w:val="en-US" w:eastAsia="zh-CN"/>
        </w:rPr>
        <w:t>卫生健康支出（类）行政事业单位医疗（款）行政单位医疗（项）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12.77</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72DC647A">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卫生健康支出（类）行政事业单位医疗（款）事业单位医疗（项）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7.39</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58F797C7">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lang w:val="en-US" w:eastAsia="zh-CN"/>
        </w:rPr>
      </w:pPr>
      <w:r>
        <w:rPr>
          <w:rFonts w:hint="default" w:ascii="仿宋" w:hAnsi="仿宋" w:eastAsia="仿宋"/>
          <w:b/>
          <w:bCs/>
          <w:sz w:val="32"/>
          <w:szCs w:val="32"/>
          <w:lang w:val="en-US" w:eastAsia="zh-CN"/>
        </w:rPr>
        <w:t>卫生健康支出（类）行政事业单位医疗（款）公务员医疗补助（项）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4.67</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75D937D9">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城乡社区支出（类）城乡社区</w:t>
      </w:r>
      <w:r>
        <w:rPr>
          <w:rFonts w:hint="eastAsia" w:ascii="仿宋" w:hAnsi="仿宋" w:eastAsia="仿宋"/>
          <w:b/>
          <w:bCs/>
          <w:sz w:val="32"/>
          <w:szCs w:val="32"/>
          <w:lang w:val="en-US" w:eastAsia="zh-CN"/>
        </w:rPr>
        <w:t>环境卫生</w:t>
      </w:r>
      <w:r>
        <w:rPr>
          <w:rFonts w:hint="default" w:ascii="仿宋" w:hAnsi="仿宋" w:eastAsia="仿宋"/>
          <w:b/>
          <w:bCs/>
          <w:sz w:val="32"/>
          <w:szCs w:val="32"/>
          <w:lang w:val="en-US" w:eastAsia="zh-CN"/>
        </w:rPr>
        <w:t>（款）城乡社区</w:t>
      </w:r>
      <w:r>
        <w:rPr>
          <w:rFonts w:hint="eastAsia" w:ascii="仿宋" w:hAnsi="仿宋" w:eastAsia="仿宋"/>
          <w:b/>
          <w:bCs/>
          <w:sz w:val="32"/>
          <w:szCs w:val="32"/>
          <w:lang w:val="en-US" w:eastAsia="zh-CN"/>
        </w:rPr>
        <w:t>环境卫生</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40.65</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预算数与决算数持平</w:t>
      </w:r>
      <w:r>
        <w:rPr>
          <w:rStyle w:val="17"/>
          <w:rFonts w:hint="default" w:ascii="Times New Roman" w:hAnsi="Times New Roman" w:eastAsia="仿宋" w:cs="Times New Roman"/>
          <w:b w:val="0"/>
          <w:bCs/>
          <w:color w:val="000000"/>
          <w:sz w:val="32"/>
          <w:szCs w:val="32"/>
        </w:rPr>
        <w:t>。</w:t>
      </w:r>
    </w:p>
    <w:p w14:paraId="0FEE4D5B">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城乡社区支出（类）</w:t>
      </w:r>
      <w:r>
        <w:rPr>
          <w:rFonts w:hint="eastAsia" w:ascii="仿宋" w:hAnsi="仿宋" w:eastAsia="仿宋"/>
          <w:b/>
          <w:bCs/>
          <w:sz w:val="32"/>
          <w:szCs w:val="32"/>
          <w:lang w:val="en-US" w:eastAsia="zh-CN"/>
        </w:rPr>
        <w:t>其他</w:t>
      </w:r>
      <w:r>
        <w:rPr>
          <w:rFonts w:hint="default" w:ascii="仿宋" w:hAnsi="仿宋" w:eastAsia="仿宋"/>
          <w:b/>
          <w:bCs/>
          <w:sz w:val="32"/>
          <w:szCs w:val="32"/>
          <w:lang w:val="en-US" w:eastAsia="zh-CN"/>
        </w:rPr>
        <w:t>城乡社区</w:t>
      </w:r>
      <w:r>
        <w:rPr>
          <w:rFonts w:hint="eastAsia" w:ascii="仿宋" w:hAnsi="仿宋" w:eastAsia="仿宋"/>
          <w:b/>
          <w:bCs/>
          <w:sz w:val="32"/>
          <w:szCs w:val="32"/>
          <w:lang w:val="en-US" w:eastAsia="zh-CN"/>
        </w:rPr>
        <w:t>支出</w:t>
      </w:r>
      <w:r>
        <w:rPr>
          <w:rFonts w:hint="default" w:ascii="仿宋" w:hAnsi="仿宋" w:eastAsia="仿宋"/>
          <w:b/>
          <w:bCs/>
          <w:sz w:val="32"/>
          <w:szCs w:val="32"/>
          <w:lang w:val="en-US" w:eastAsia="zh-CN"/>
        </w:rPr>
        <w:t>（款）</w:t>
      </w:r>
      <w:r>
        <w:rPr>
          <w:rFonts w:hint="eastAsia" w:ascii="仿宋" w:hAnsi="仿宋" w:eastAsia="仿宋"/>
          <w:b/>
          <w:bCs/>
          <w:sz w:val="32"/>
          <w:szCs w:val="32"/>
          <w:lang w:val="en-US" w:eastAsia="zh-CN"/>
        </w:rPr>
        <w:t>其他</w:t>
      </w:r>
      <w:r>
        <w:rPr>
          <w:rFonts w:hint="default" w:ascii="仿宋" w:hAnsi="仿宋" w:eastAsia="仿宋"/>
          <w:b/>
          <w:bCs/>
          <w:sz w:val="32"/>
          <w:szCs w:val="32"/>
          <w:lang w:val="en-US" w:eastAsia="zh-CN"/>
        </w:rPr>
        <w:t>城乡社区</w:t>
      </w:r>
      <w:r>
        <w:rPr>
          <w:rFonts w:hint="eastAsia" w:ascii="仿宋" w:hAnsi="仿宋" w:eastAsia="仿宋"/>
          <w:b/>
          <w:bCs/>
          <w:sz w:val="32"/>
          <w:szCs w:val="32"/>
          <w:lang w:val="en-US" w:eastAsia="zh-CN"/>
        </w:rPr>
        <w:t>支出</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6</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预算数与决算数持平</w:t>
      </w:r>
      <w:r>
        <w:rPr>
          <w:rStyle w:val="17"/>
          <w:rFonts w:hint="default" w:ascii="Times New Roman" w:hAnsi="Times New Roman" w:eastAsia="仿宋" w:cs="Times New Roman"/>
          <w:b w:val="0"/>
          <w:bCs/>
          <w:color w:val="000000"/>
          <w:sz w:val="32"/>
          <w:szCs w:val="32"/>
        </w:rPr>
        <w:t>。</w:t>
      </w:r>
    </w:p>
    <w:p w14:paraId="4A75065F">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农林水支出（类）农业农村（款）事业运行（项）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146.11</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lang w:val="en-US" w:eastAsia="zh-CN"/>
        </w:rPr>
        <w:t>%</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default" w:ascii="Times New Roman" w:hAnsi="Times New Roman" w:eastAsia="仿宋" w:cs="Times New Roman"/>
          <w:b w:val="0"/>
          <w:bCs/>
          <w:color w:val="000000"/>
          <w:sz w:val="32"/>
          <w:szCs w:val="32"/>
        </w:rPr>
        <w:t>。</w:t>
      </w:r>
    </w:p>
    <w:p w14:paraId="7644A47A">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农林水支出（类）农业农村(款）病虫害控制（项）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default" w:ascii="仿宋" w:hAnsi="仿宋" w:eastAsia="仿宋"/>
          <w:b/>
          <w:bCs/>
          <w:sz w:val="32"/>
          <w:szCs w:val="32"/>
          <w:lang w:val="en-US" w:eastAsia="zh-CN"/>
        </w:rPr>
        <w:t>0.5</w:t>
      </w:r>
      <w:r>
        <w:rPr>
          <w:rFonts w:hint="eastAsia" w:ascii="仿宋" w:hAnsi="仿宋" w:eastAsia="仿宋"/>
          <w:b/>
          <w:bCs/>
          <w:sz w:val="32"/>
          <w:szCs w:val="32"/>
          <w:lang w:val="en-US" w:eastAsia="zh-CN"/>
        </w:rPr>
        <w:t>5</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4DB88450">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农林水支出（类）农业农村(款）农业生产发展（项）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9</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187CEFAA">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农林水支出（类）农业农村(款）农村道路建设（项）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0.48</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2A41F7A3">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农林水支出（类）农业农村(款）其他农业农村支出（项）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77</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3F7D980C">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w:t>
      </w:r>
      <w:r>
        <w:rPr>
          <w:rFonts w:hint="eastAsia" w:ascii="仿宋" w:hAnsi="仿宋" w:eastAsia="仿宋"/>
          <w:b/>
          <w:bCs/>
          <w:sz w:val="32"/>
          <w:szCs w:val="32"/>
          <w:lang w:val="en-US" w:eastAsia="zh-CN"/>
        </w:rPr>
        <w:t>林叶和草原</w:t>
      </w:r>
      <w:r>
        <w:rPr>
          <w:rFonts w:hint="default" w:ascii="仿宋" w:hAnsi="仿宋" w:eastAsia="仿宋"/>
          <w:b/>
          <w:bCs/>
          <w:sz w:val="32"/>
          <w:szCs w:val="32"/>
          <w:lang w:val="en-US" w:eastAsia="zh-CN"/>
        </w:rPr>
        <w:t>（款）</w:t>
      </w:r>
      <w:r>
        <w:rPr>
          <w:rFonts w:hint="eastAsia" w:ascii="仿宋" w:hAnsi="仿宋" w:eastAsia="仿宋"/>
          <w:b/>
          <w:bCs/>
          <w:sz w:val="32"/>
          <w:szCs w:val="32"/>
          <w:lang w:val="en-US" w:eastAsia="zh-CN"/>
        </w:rPr>
        <w:t>其他林叶和草原支出</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0.6</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lang w:val="en-US" w:eastAsia="zh-CN"/>
        </w:rPr>
        <w:t>%</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default" w:ascii="Times New Roman" w:hAnsi="Times New Roman" w:eastAsia="仿宋" w:cs="Times New Roman"/>
          <w:b w:val="0"/>
          <w:bCs/>
          <w:color w:val="000000"/>
          <w:sz w:val="32"/>
          <w:szCs w:val="32"/>
        </w:rPr>
        <w:t>。</w:t>
      </w:r>
    </w:p>
    <w:p w14:paraId="32D43CE7">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rPr>
      </w:pPr>
      <w:r>
        <w:rPr>
          <w:rFonts w:hint="default" w:ascii="仿宋" w:hAnsi="仿宋" w:eastAsia="仿宋"/>
          <w:b/>
          <w:bCs/>
          <w:sz w:val="32"/>
          <w:szCs w:val="32"/>
          <w:lang w:val="en-US" w:eastAsia="zh-CN"/>
        </w:rPr>
        <w:t>农林水支出（类）</w:t>
      </w:r>
      <w:r>
        <w:rPr>
          <w:rFonts w:hint="eastAsia" w:ascii="仿宋" w:hAnsi="仿宋" w:eastAsia="仿宋"/>
          <w:b/>
          <w:bCs/>
          <w:sz w:val="32"/>
          <w:szCs w:val="32"/>
          <w:lang w:val="en-US" w:eastAsia="zh-CN"/>
        </w:rPr>
        <w:t>巩固脱贫衔接乡村振兴</w:t>
      </w:r>
      <w:r>
        <w:rPr>
          <w:rFonts w:hint="default" w:ascii="仿宋" w:hAnsi="仿宋" w:eastAsia="仿宋"/>
          <w:b/>
          <w:bCs/>
          <w:sz w:val="32"/>
          <w:szCs w:val="32"/>
          <w:lang w:val="en-US" w:eastAsia="zh-CN"/>
        </w:rPr>
        <w:t>(款）</w:t>
      </w:r>
      <w:r>
        <w:rPr>
          <w:rFonts w:hint="eastAsia" w:ascii="仿宋" w:hAnsi="仿宋" w:eastAsia="仿宋"/>
          <w:b/>
          <w:bCs/>
          <w:sz w:val="32"/>
          <w:szCs w:val="32"/>
          <w:lang w:val="en-US" w:eastAsia="zh-CN"/>
        </w:rPr>
        <w:t>农村基础设施建设</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344.22</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0AA3C46C">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rPr>
      </w:pPr>
      <w:r>
        <w:rPr>
          <w:rFonts w:hint="default" w:ascii="仿宋" w:hAnsi="仿宋" w:eastAsia="仿宋"/>
          <w:b/>
          <w:bCs/>
          <w:sz w:val="32"/>
          <w:szCs w:val="32"/>
          <w:lang w:val="en-US" w:eastAsia="zh-CN"/>
        </w:rPr>
        <w:t>农林水支出（类）</w:t>
      </w:r>
      <w:r>
        <w:rPr>
          <w:rFonts w:hint="eastAsia" w:ascii="仿宋" w:hAnsi="仿宋" w:eastAsia="仿宋"/>
          <w:b/>
          <w:bCs/>
          <w:sz w:val="32"/>
          <w:szCs w:val="32"/>
          <w:lang w:val="en-US" w:eastAsia="zh-CN"/>
        </w:rPr>
        <w:t>巩固脱贫衔接乡村振兴</w:t>
      </w:r>
      <w:r>
        <w:rPr>
          <w:rFonts w:hint="default" w:ascii="仿宋" w:hAnsi="仿宋" w:eastAsia="仿宋"/>
          <w:b/>
          <w:bCs/>
          <w:sz w:val="32"/>
          <w:szCs w:val="32"/>
          <w:lang w:val="en-US" w:eastAsia="zh-CN"/>
        </w:rPr>
        <w:t>(款）</w:t>
      </w:r>
      <w:r>
        <w:rPr>
          <w:rFonts w:hint="eastAsia" w:ascii="仿宋" w:hAnsi="仿宋" w:eastAsia="仿宋"/>
          <w:b/>
          <w:bCs/>
          <w:sz w:val="32"/>
          <w:szCs w:val="32"/>
          <w:lang w:val="en-US" w:eastAsia="zh-CN"/>
        </w:rPr>
        <w:t>生产发展</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19</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0771F27E">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rPr>
      </w:pPr>
      <w:r>
        <w:rPr>
          <w:rFonts w:hint="default" w:ascii="仿宋" w:hAnsi="仿宋" w:eastAsia="仿宋"/>
          <w:b/>
          <w:bCs/>
          <w:sz w:val="32"/>
          <w:szCs w:val="32"/>
          <w:lang w:val="en-US" w:eastAsia="zh-CN"/>
        </w:rPr>
        <w:t>农林水支出（类）</w:t>
      </w:r>
      <w:r>
        <w:rPr>
          <w:rFonts w:hint="eastAsia" w:ascii="仿宋" w:hAnsi="仿宋" w:eastAsia="仿宋"/>
          <w:b/>
          <w:bCs/>
          <w:sz w:val="32"/>
          <w:szCs w:val="32"/>
          <w:lang w:val="en-US" w:eastAsia="zh-CN"/>
        </w:rPr>
        <w:t>巩固脱贫衔接乡村振兴</w:t>
      </w:r>
      <w:r>
        <w:rPr>
          <w:rFonts w:hint="default" w:ascii="仿宋" w:hAnsi="仿宋" w:eastAsia="仿宋"/>
          <w:b/>
          <w:bCs/>
          <w:sz w:val="32"/>
          <w:szCs w:val="32"/>
          <w:lang w:val="en-US" w:eastAsia="zh-CN"/>
        </w:rPr>
        <w:t>(款）</w:t>
      </w:r>
      <w:r>
        <w:rPr>
          <w:rFonts w:hint="eastAsia" w:ascii="仿宋" w:hAnsi="仿宋" w:eastAsia="仿宋"/>
          <w:b/>
          <w:bCs/>
          <w:sz w:val="32"/>
          <w:szCs w:val="32"/>
          <w:lang w:val="en-US" w:eastAsia="zh-CN"/>
        </w:rPr>
        <w:t>其他巩固脱贫衔接乡村振兴支出</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49</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03772676">
      <w:pPr>
        <w:pageBreakBefore w:val="0"/>
        <w:numPr>
          <w:ilvl w:val="0"/>
          <w:numId w:val="3"/>
        </w:numPr>
        <w:tabs>
          <w:tab w:val="left" w:pos="0"/>
        </w:tabs>
        <w:kinsoku/>
        <w:overflowPunct/>
        <w:topLinePunct w:val="0"/>
        <w:bidi w:val="0"/>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农林水支出（类）农村综合改革（款）对村级公益事业建设的补助（项）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125</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default" w:ascii="Times New Roman" w:hAnsi="Times New Roman" w:eastAsia="仿宋" w:cs="Times New Roman"/>
          <w:b w:val="0"/>
          <w:bCs/>
          <w:color w:val="000000"/>
          <w:sz w:val="32"/>
          <w:szCs w:val="32"/>
          <w:lang w:eastAsia="zh-CN"/>
        </w:rPr>
        <w:t>决算数与预算数持平</w:t>
      </w:r>
      <w:r>
        <w:rPr>
          <w:rStyle w:val="17"/>
          <w:rFonts w:hint="default" w:ascii="Times New Roman" w:hAnsi="Times New Roman" w:eastAsia="仿宋" w:cs="Times New Roman"/>
          <w:b w:val="0"/>
          <w:bCs/>
          <w:color w:val="000000"/>
          <w:sz w:val="32"/>
          <w:szCs w:val="32"/>
        </w:rPr>
        <w:t>。</w:t>
      </w:r>
    </w:p>
    <w:p w14:paraId="64638FDC">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农林水支出（类）农村综合改革（款）对村民委员会和</w:t>
      </w:r>
      <w:r>
        <w:rPr>
          <w:rFonts w:hint="eastAsia" w:ascii="仿宋" w:hAnsi="仿宋" w:eastAsia="仿宋"/>
          <w:b/>
          <w:bCs/>
          <w:sz w:val="32"/>
          <w:szCs w:val="32"/>
          <w:lang w:val="en-US" w:eastAsia="zh-CN"/>
        </w:rPr>
        <w:t>村</w:t>
      </w:r>
      <w:r>
        <w:rPr>
          <w:rFonts w:hint="default" w:ascii="仿宋" w:hAnsi="仿宋" w:eastAsia="仿宋"/>
          <w:b/>
          <w:bCs/>
          <w:sz w:val="32"/>
          <w:szCs w:val="32"/>
          <w:lang w:val="en-US" w:eastAsia="zh-CN"/>
        </w:rPr>
        <w:t>党支部的补助（项）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252.86</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206F12F6">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农林水支出（类）农村综合改革（款）农村综合改革示范试点补助（项）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10.5</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10C6E3EF">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农林水支出（类）其他农林水支出（款）其他农林水支出（项）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6.93</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04CC757F">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交通运输支出（类）公路水路运输（款）</w:t>
      </w:r>
      <w:r>
        <w:rPr>
          <w:rFonts w:hint="eastAsia" w:ascii="仿宋" w:hAnsi="仿宋" w:eastAsia="仿宋"/>
          <w:b/>
          <w:bCs/>
          <w:sz w:val="32"/>
          <w:szCs w:val="32"/>
          <w:lang w:val="en-US" w:eastAsia="zh-CN"/>
        </w:rPr>
        <w:t>公路建设</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196</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42D58FEB">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交通运输支出（类）公路水路运输（款）</w:t>
      </w:r>
      <w:r>
        <w:rPr>
          <w:rFonts w:hint="eastAsia" w:ascii="仿宋" w:hAnsi="仿宋" w:eastAsia="仿宋"/>
          <w:b/>
          <w:bCs/>
          <w:sz w:val="32"/>
          <w:szCs w:val="32"/>
          <w:lang w:val="en-US" w:eastAsia="zh-CN"/>
        </w:rPr>
        <w:t>公路养护</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16.76</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3F21B8B7">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left="0" w:leftChars="0" w:firstLine="400" w:firstLineChars="0"/>
        <w:textAlignment w:val="auto"/>
        <w:rPr>
          <w:rStyle w:val="17"/>
          <w:rFonts w:hint="default" w:ascii="Times New Roman" w:hAnsi="Times New Roman" w:eastAsia="仿宋" w:cs="Times New Roman"/>
          <w:b w:val="0"/>
          <w:bCs/>
          <w:color w:val="000000"/>
          <w:sz w:val="32"/>
          <w:szCs w:val="32"/>
        </w:rPr>
      </w:pPr>
      <w:r>
        <w:rPr>
          <w:rFonts w:hint="default" w:ascii="仿宋" w:hAnsi="仿宋" w:eastAsia="仿宋"/>
          <w:b/>
          <w:bCs/>
          <w:sz w:val="32"/>
          <w:szCs w:val="32"/>
          <w:lang w:val="en-US" w:eastAsia="zh-CN"/>
        </w:rPr>
        <w:t>交通运输支出（类）公路水路运输（款）其他公路水路运输支出（项）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13</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w:t>
      </w:r>
      <w:r>
        <w:rPr>
          <w:rStyle w:val="17"/>
          <w:rFonts w:hint="default" w:ascii="Times New Roman" w:hAnsi="Times New Roman" w:eastAsia="仿宋" w:cs="Times New Roman"/>
          <w:b w:val="0"/>
          <w:bCs/>
          <w:color w:val="000000"/>
          <w:sz w:val="32"/>
          <w:szCs w:val="32"/>
          <w:lang w:eastAsia="zh-CN"/>
        </w:rPr>
        <w:t>与预算数持平</w:t>
      </w:r>
      <w:r>
        <w:rPr>
          <w:rStyle w:val="17"/>
          <w:rFonts w:hint="default" w:ascii="Times New Roman" w:hAnsi="Times New Roman" w:eastAsia="仿宋" w:cs="Times New Roman"/>
          <w:b w:val="0"/>
          <w:bCs/>
          <w:color w:val="000000"/>
          <w:sz w:val="32"/>
          <w:szCs w:val="32"/>
        </w:rPr>
        <w:t>。</w:t>
      </w:r>
    </w:p>
    <w:p w14:paraId="66BE92ED">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b w:val="0"/>
          <w:bCs/>
        </w:rPr>
      </w:pPr>
      <w:r>
        <w:rPr>
          <w:rFonts w:hint="default" w:ascii="仿宋" w:hAnsi="仿宋" w:eastAsia="仿宋"/>
          <w:b/>
          <w:bCs/>
          <w:sz w:val="32"/>
          <w:szCs w:val="32"/>
          <w:lang w:val="en-US" w:eastAsia="zh-CN"/>
        </w:rPr>
        <w:t>住房保障（类）住房改革支出（款）住房公积金（项）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41.86</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552E5A03">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b w:val="0"/>
          <w:bCs/>
        </w:rPr>
      </w:pPr>
      <w:r>
        <w:rPr>
          <w:rFonts w:hint="eastAsia" w:ascii="仿宋" w:hAnsi="仿宋" w:eastAsia="仿宋"/>
          <w:b/>
          <w:bCs/>
          <w:sz w:val="32"/>
          <w:szCs w:val="32"/>
          <w:lang w:val="en-US" w:eastAsia="zh-CN"/>
        </w:rPr>
        <w:t>粮油物资储备支出</w:t>
      </w:r>
      <w:r>
        <w:rPr>
          <w:rFonts w:hint="default" w:ascii="仿宋" w:hAnsi="仿宋" w:eastAsia="仿宋"/>
          <w:b/>
          <w:bCs/>
          <w:sz w:val="32"/>
          <w:szCs w:val="32"/>
          <w:lang w:val="en-US" w:eastAsia="zh-CN"/>
        </w:rPr>
        <w:t>（类）</w:t>
      </w:r>
      <w:r>
        <w:rPr>
          <w:rFonts w:hint="eastAsia" w:ascii="仿宋" w:hAnsi="仿宋" w:eastAsia="仿宋"/>
          <w:b/>
          <w:bCs/>
          <w:sz w:val="32"/>
          <w:szCs w:val="32"/>
          <w:lang w:val="en-US" w:eastAsia="zh-CN"/>
        </w:rPr>
        <w:t>粮油物资事务</w:t>
      </w:r>
      <w:r>
        <w:rPr>
          <w:rFonts w:hint="default" w:ascii="仿宋" w:hAnsi="仿宋" w:eastAsia="仿宋"/>
          <w:b/>
          <w:bCs/>
          <w:sz w:val="32"/>
          <w:szCs w:val="32"/>
          <w:lang w:val="en-US" w:eastAsia="zh-CN"/>
        </w:rPr>
        <w:t>（款）</w:t>
      </w:r>
      <w:r>
        <w:rPr>
          <w:rFonts w:hint="eastAsia" w:ascii="仿宋" w:hAnsi="仿宋" w:eastAsia="仿宋"/>
          <w:b/>
          <w:bCs/>
          <w:sz w:val="32"/>
          <w:szCs w:val="32"/>
          <w:lang w:val="en-US" w:eastAsia="zh-CN"/>
        </w:rPr>
        <w:t>其他粮油物资事务支出</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2CC13F3F">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b w:val="0"/>
          <w:bCs/>
        </w:rPr>
      </w:pPr>
      <w:r>
        <w:rPr>
          <w:rFonts w:hint="default" w:ascii="仿宋" w:hAnsi="仿宋" w:eastAsia="仿宋"/>
          <w:b/>
          <w:bCs/>
          <w:sz w:val="32"/>
          <w:szCs w:val="32"/>
          <w:lang w:val="en-US" w:eastAsia="zh-CN"/>
        </w:rPr>
        <w:t>灾害防治及应急管理支出（类）其他灾害防治及应急管理支出（款）其他灾害防治及应急管理支出（项）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5.98</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3EBFD7F0">
      <w:pPr>
        <w:pageBreakBefore w:val="0"/>
        <w:numPr>
          <w:ilvl w:val="0"/>
          <w:numId w:val="3"/>
        </w:numPr>
        <w:tabs>
          <w:tab w:val="left" w:pos="0"/>
        </w:tabs>
        <w:kinsoku/>
        <w:overflowPunct/>
        <w:topLinePunct w:val="0"/>
        <w:bidi w:val="0"/>
        <w:spacing w:line="578" w:lineRule="exact"/>
        <w:ind w:left="0" w:leftChars="0" w:firstLine="400" w:firstLineChars="0"/>
        <w:textAlignment w:val="auto"/>
        <w:rPr>
          <w:rFonts w:hint="default" w:ascii="Times New Roman" w:hAnsi="Times New Roman" w:cs="Times New Roman"/>
          <w:b w:val="0"/>
          <w:bCs/>
        </w:rPr>
      </w:pPr>
      <w:r>
        <w:rPr>
          <w:rFonts w:hint="eastAsia" w:ascii="仿宋" w:hAnsi="仿宋" w:eastAsia="仿宋"/>
          <w:b/>
          <w:bCs/>
          <w:sz w:val="32"/>
          <w:szCs w:val="32"/>
          <w:lang w:val="en-US" w:eastAsia="zh-CN"/>
        </w:rPr>
        <w:t>其他支出</w:t>
      </w:r>
      <w:r>
        <w:rPr>
          <w:rFonts w:hint="default" w:ascii="仿宋" w:hAnsi="仿宋" w:eastAsia="仿宋"/>
          <w:b/>
          <w:bCs/>
          <w:sz w:val="32"/>
          <w:szCs w:val="32"/>
          <w:lang w:val="en-US" w:eastAsia="zh-CN"/>
        </w:rPr>
        <w:t>（类）</w:t>
      </w:r>
      <w:r>
        <w:rPr>
          <w:rFonts w:hint="eastAsia" w:ascii="仿宋" w:hAnsi="仿宋" w:eastAsia="仿宋"/>
          <w:b/>
          <w:bCs/>
          <w:sz w:val="32"/>
          <w:szCs w:val="32"/>
          <w:lang w:val="en-US" w:eastAsia="zh-CN"/>
        </w:rPr>
        <w:t>其他支出</w:t>
      </w:r>
      <w:r>
        <w:rPr>
          <w:rFonts w:hint="default" w:ascii="仿宋" w:hAnsi="仿宋" w:eastAsia="仿宋"/>
          <w:b/>
          <w:bCs/>
          <w:sz w:val="32"/>
          <w:szCs w:val="32"/>
          <w:lang w:val="en-US" w:eastAsia="zh-CN"/>
        </w:rPr>
        <w:t>（款）</w:t>
      </w:r>
      <w:r>
        <w:rPr>
          <w:rFonts w:hint="eastAsia" w:ascii="仿宋" w:hAnsi="仿宋" w:eastAsia="仿宋"/>
          <w:b/>
          <w:bCs/>
          <w:sz w:val="32"/>
          <w:szCs w:val="32"/>
          <w:lang w:val="en-US" w:eastAsia="zh-CN"/>
        </w:rPr>
        <w:t>其他支出</w:t>
      </w:r>
      <w:r>
        <w:rPr>
          <w:rFonts w:hint="default" w:ascii="仿宋" w:hAnsi="仿宋" w:eastAsia="仿宋"/>
          <w:b/>
          <w:bCs/>
          <w:sz w:val="32"/>
          <w:szCs w:val="32"/>
          <w:lang w:val="en-US" w:eastAsia="zh-CN"/>
        </w:rPr>
        <w:t>（项）</w:t>
      </w:r>
      <w:r>
        <w:rPr>
          <w:rFonts w:hint="default" w:ascii="Times New Roman" w:hAnsi="Times New Roman" w:eastAsia="楷体" w:cs="Times New Roman"/>
          <w:b w:val="0"/>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Fonts w:hint="eastAsia" w:ascii="仿宋" w:hAnsi="仿宋" w:eastAsia="仿宋"/>
          <w:b/>
          <w:bCs/>
          <w:sz w:val="32"/>
          <w:szCs w:val="32"/>
          <w:lang w:val="en-US" w:eastAsia="zh-CN"/>
        </w:rPr>
        <w:t>60</w:t>
      </w:r>
      <w:r>
        <w:rPr>
          <w:rStyle w:val="17"/>
          <w:rFonts w:hint="default" w:ascii="Times New Roman" w:hAnsi="Times New Roman" w:eastAsia="仿宋" w:cs="Times New Roman"/>
          <w:b w:val="0"/>
          <w:bCs/>
          <w:color w:val="000000"/>
          <w:sz w:val="32"/>
          <w:szCs w:val="32"/>
        </w:rPr>
        <w:t>万元，完成预算</w:t>
      </w:r>
      <w:r>
        <w:rPr>
          <w:rFonts w:hint="default" w:ascii="仿宋" w:hAnsi="仿宋" w:eastAsia="仿宋"/>
          <w:b/>
          <w:bCs/>
          <w:sz w:val="32"/>
          <w:szCs w:val="32"/>
          <w:lang w:val="en-US" w:eastAsia="zh-CN"/>
        </w:rPr>
        <w:t>100</w:t>
      </w:r>
      <w:r>
        <w:rPr>
          <w:rStyle w:val="17"/>
          <w:rFonts w:hint="default" w:ascii="Times New Roman" w:hAnsi="Times New Roman" w:eastAsia="仿宋" w:cs="Times New Roman"/>
          <w:b w:val="0"/>
          <w:bCs/>
          <w:color w:val="000000"/>
          <w:sz w:val="32"/>
          <w:szCs w:val="32"/>
        </w:rPr>
        <w:t>%，决算数与预算数持平。</w:t>
      </w:r>
    </w:p>
    <w:p w14:paraId="0D35DA42">
      <w:pPr>
        <w:spacing w:line="600" w:lineRule="exact"/>
        <w:ind w:firstLine="640"/>
        <w:rPr>
          <w:rFonts w:ascii="仿宋" w:hAnsi="仿宋" w:eastAsia="仿宋"/>
          <w:b/>
          <w:sz w:val="32"/>
          <w:szCs w:val="32"/>
        </w:rPr>
      </w:pPr>
    </w:p>
    <w:p w14:paraId="5AF5E3E8">
      <w:pPr>
        <w:tabs>
          <w:tab w:val="right" w:pos="8306"/>
        </w:tabs>
        <w:spacing w:line="600" w:lineRule="exact"/>
        <w:ind w:firstLine="640"/>
        <w:outlineLvl w:val="1"/>
        <w:rPr>
          <w:rStyle w:val="28"/>
        </w:rPr>
      </w:pPr>
      <w:bookmarkStart w:id="48" w:name="_Toc15396608"/>
      <w:bookmarkStart w:id="49" w:name="_Toc15377214"/>
      <w:bookmarkStart w:id="50" w:name="_Toc7697"/>
      <w:r>
        <w:rPr>
          <w:rFonts w:hint="eastAsia" w:ascii="黑体" w:eastAsia="黑体"/>
          <w:sz w:val="32"/>
          <w:szCs w:val="32"/>
        </w:rPr>
        <w:t>六</w:t>
      </w:r>
      <w:r>
        <w:rPr>
          <w:rFonts w:hint="eastAsia" w:ascii="黑体" w:eastAsia="黑体"/>
          <w:b/>
          <w:sz w:val="32"/>
          <w:szCs w:val="32"/>
        </w:rPr>
        <w:t>、</w:t>
      </w:r>
      <w:r>
        <w:rPr>
          <w:rStyle w:val="28"/>
          <w:rFonts w:hint="eastAsia"/>
        </w:rPr>
        <w:t>一般公共预算财政拨款基本支出决算情况说明</w:t>
      </w:r>
      <w:bookmarkEnd w:id="48"/>
      <w:bookmarkEnd w:id="49"/>
      <w:bookmarkEnd w:id="50"/>
      <w:r>
        <w:rPr>
          <w:rStyle w:val="28"/>
          <w:rFonts w:ascii="黑体" w:hAnsi="黑体" w:eastAsia="黑体"/>
          <w:b w:val="0"/>
        </w:rPr>
        <w:tab/>
      </w:r>
    </w:p>
    <w:p w14:paraId="756B4096">
      <w:pPr>
        <w:spacing w:line="600" w:lineRule="exact"/>
        <w:ind w:firstLine="645"/>
        <w:rPr>
          <w:rFonts w:hint="eastAsia"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bCs/>
          <w:sz w:val="32"/>
          <w:szCs w:val="32"/>
          <w:lang w:val="en-US" w:eastAsia="zh-CN"/>
        </w:rPr>
        <w:t>846.77</w:t>
      </w:r>
      <w:r>
        <w:rPr>
          <w:rFonts w:hint="eastAsia" w:ascii="仿宋" w:hAnsi="仿宋" w:eastAsia="仿宋"/>
          <w:sz w:val="32"/>
          <w:szCs w:val="32"/>
        </w:rPr>
        <w:t xml:space="preserve"> 万元，其中：</w:t>
      </w:r>
    </w:p>
    <w:p w14:paraId="1A5D0146">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b/>
          <w:bCs/>
          <w:sz w:val="32"/>
          <w:szCs w:val="32"/>
          <w:lang w:val="en-US" w:eastAsia="zh-CN"/>
        </w:rPr>
        <w:t>745.04</w:t>
      </w:r>
      <w:r>
        <w:rPr>
          <w:rFonts w:hint="eastAsia" w:ascii="仿宋" w:hAnsi="仿宋" w:eastAsia="仿宋"/>
          <w:sz w:val="32"/>
          <w:szCs w:val="32"/>
        </w:rPr>
        <w:t xml:space="preserve"> 万元，主要包括</w:t>
      </w:r>
      <w:r>
        <w:rPr>
          <w:rFonts w:hint="eastAsia" w:ascii="仿宋" w:hAnsi="仿宋" w:eastAsia="仿宋"/>
          <w:sz w:val="32"/>
          <w:szCs w:val="32"/>
          <w:lang w:eastAsia="zh-CN"/>
        </w:rPr>
        <w:t>：</w:t>
      </w:r>
      <w:r>
        <w:rPr>
          <w:rFonts w:hint="eastAsia" w:ascii="仿宋" w:hAnsi="仿宋" w:eastAsia="仿宋"/>
          <w:sz w:val="32"/>
          <w:szCs w:val="32"/>
        </w:rPr>
        <w:t>在职人员和离休人员基本工资、奖金、绩效工资、机关事业单位基本养老保险缴费、职业年金缴费、其他社会保障缴费、其他工资福利支出、住房公积金、其他对个人和家庭的补助支出。</w:t>
      </w:r>
    </w:p>
    <w:p w14:paraId="65FF1BE0">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b/>
          <w:bCs/>
          <w:sz w:val="32"/>
          <w:szCs w:val="32"/>
          <w:lang w:val="en-US" w:eastAsia="zh-CN"/>
        </w:rPr>
        <w:t xml:space="preserve">101.73 </w:t>
      </w:r>
      <w:r>
        <w:rPr>
          <w:rFonts w:hint="eastAsia" w:ascii="仿宋" w:hAnsi="仿宋" w:eastAsia="仿宋"/>
          <w:sz w:val="32"/>
          <w:szCs w:val="32"/>
        </w:rPr>
        <w:t>万元，主要包括：办公费及其他商品服务支出。</w:t>
      </w:r>
    </w:p>
    <w:p w14:paraId="1C51A6F8">
      <w:pPr>
        <w:spacing w:line="600" w:lineRule="exact"/>
        <w:ind w:firstLine="640"/>
        <w:rPr>
          <w:rFonts w:ascii="仿宋" w:hAnsi="仿宋" w:eastAsia="仿宋"/>
          <w:b/>
          <w:sz w:val="32"/>
          <w:szCs w:val="32"/>
        </w:rPr>
      </w:pPr>
    </w:p>
    <w:p w14:paraId="652F4F73">
      <w:pPr>
        <w:spacing w:line="600" w:lineRule="exact"/>
        <w:ind w:firstLine="640"/>
        <w:outlineLvl w:val="1"/>
        <w:rPr>
          <w:rStyle w:val="28"/>
          <w:rFonts w:ascii="黑体" w:hAnsi="黑体" w:eastAsia="黑体"/>
          <w:b w:val="0"/>
        </w:rPr>
      </w:pPr>
      <w:bookmarkStart w:id="51" w:name="_Toc15396609"/>
      <w:bookmarkStart w:id="52" w:name="_Toc15377215"/>
      <w:bookmarkStart w:id="53" w:name="_Toc10951"/>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14:paraId="400885D5">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14:paraId="5171ECE4">
      <w:pPr>
        <w:spacing w:line="600" w:lineRule="exact"/>
        <w:ind w:firstLine="640"/>
        <w:rPr>
          <w:rFonts w:hint="eastAsia"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ascii="仿宋" w:hAnsi="仿宋" w:eastAsia="仿宋"/>
          <w:b/>
          <w:bCs/>
          <w:sz w:val="32"/>
          <w:szCs w:val="32"/>
          <w:lang w:val="en-US" w:eastAsia="zh-CN"/>
        </w:rPr>
        <w:t>5.24</w:t>
      </w:r>
      <w:r>
        <w:rPr>
          <w:rFonts w:hint="eastAsia" w:ascii="仿宋" w:hAnsi="仿宋" w:eastAsia="仿宋"/>
          <w:sz w:val="32"/>
          <w:szCs w:val="32"/>
        </w:rPr>
        <w:t>万元，完成预算</w:t>
      </w:r>
      <w:r>
        <w:rPr>
          <w:rFonts w:hint="eastAsia" w:ascii="仿宋" w:hAnsi="仿宋" w:eastAsia="仿宋"/>
          <w:b/>
          <w:bCs/>
          <w:sz w:val="32"/>
          <w:szCs w:val="32"/>
          <w:lang w:val="en-US" w:eastAsia="zh-CN"/>
        </w:rPr>
        <w:t>58.22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yellow"/>
        </w:rPr>
        <w:t>较上年度减少</w:t>
      </w:r>
      <w:r>
        <w:rPr>
          <w:rFonts w:hint="eastAsia" w:ascii="仿宋" w:hAnsi="仿宋" w:eastAsia="仿宋"/>
          <w:b/>
          <w:bCs/>
          <w:sz w:val="32"/>
          <w:szCs w:val="32"/>
          <w:lang w:val="en-US" w:eastAsia="zh-CN"/>
        </w:rPr>
        <w:t>3.76</w:t>
      </w:r>
      <w:r>
        <w:rPr>
          <w:rFonts w:hint="eastAsia" w:ascii="仿宋" w:hAnsi="仿宋" w:eastAsia="仿宋"/>
          <w:sz w:val="32"/>
          <w:szCs w:val="32"/>
          <w:highlight w:val="yellow"/>
        </w:rPr>
        <w:t>万元，下降</w:t>
      </w:r>
      <w:r>
        <w:rPr>
          <w:rFonts w:hint="eastAsia" w:ascii="仿宋" w:hAnsi="仿宋" w:eastAsia="仿宋"/>
          <w:b/>
          <w:bCs/>
          <w:sz w:val="32"/>
          <w:szCs w:val="32"/>
          <w:lang w:val="en-US" w:eastAsia="zh-CN"/>
        </w:rPr>
        <w:t>41.78</w:t>
      </w:r>
      <w:r>
        <w:rPr>
          <w:rFonts w:hint="eastAsia" w:ascii="仿宋" w:hAnsi="仿宋" w:eastAsia="仿宋"/>
          <w:sz w:val="32"/>
          <w:szCs w:val="32"/>
          <w:highlight w:val="yellow"/>
        </w:rPr>
        <w:t>%。决算数小于预算数的主要原因是厉行节约，开支减少。</w:t>
      </w:r>
    </w:p>
    <w:p w14:paraId="61C09047">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14:paraId="5008EAE4">
      <w:pPr>
        <w:spacing w:line="600" w:lineRule="exact"/>
        <w:ind w:firstLine="640"/>
        <w:rPr>
          <w:rFonts w:ascii="仿宋" w:hAnsi="仿宋" w:eastAsia="仿宋"/>
          <w:sz w:val="32"/>
          <w:szCs w:val="32"/>
          <w:highlight w:val="yellow"/>
        </w:rPr>
      </w:pPr>
      <w:r>
        <w:rPr>
          <w:rFonts w:hint="eastAsia" w:eastAsia="仿宋"/>
          <w:lang w:eastAsia="zh-CN"/>
        </w:rPr>
        <w:drawing>
          <wp:anchor distT="0" distB="0" distL="114300" distR="114300" simplePos="0" relativeHeight="251665408" behindDoc="1" locked="0" layoutInCell="1" allowOverlap="1">
            <wp:simplePos x="0" y="0"/>
            <wp:positionH relativeFrom="column">
              <wp:posOffset>-52070</wp:posOffset>
            </wp:positionH>
            <wp:positionV relativeFrom="paragraph">
              <wp:posOffset>1511300</wp:posOffset>
            </wp:positionV>
            <wp:extent cx="5114290" cy="1617980"/>
            <wp:effectExtent l="5080" t="4445" r="5080" b="53975"/>
            <wp:wrapTight wrapText="bothSides">
              <wp:wrapPolygon>
                <wp:start x="-21" y="-59"/>
                <wp:lineTo x="-21" y="21303"/>
                <wp:lineTo x="21541" y="21303"/>
                <wp:lineTo x="21541" y="-59"/>
                <wp:lineTo x="-21" y="-59"/>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2023年度“三公”经费财政拨款支出决算中</w:t>
      </w:r>
      <w:r>
        <w:rPr>
          <w:rFonts w:hint="eastAsia" w:ascii="仿宋" w:hAnsi="仿宋" w:eastAsia="仿宋"/>
          <w:sz w:val="32"/>
          <w:szCs w:val="32"/>
          <w:highlight w:val="yellow"/>
        </w:rPr>
        <w:t>，因公出国（境）费支出决算</w:t>
      </w:r>
      <w:r>
        <w:rPr>
          <w:rFonts w:ascii="仿宋" w:hAnsi="仿宋" w:eastAsia="仿宋"/>
          <w:b/>
          <w:sz w:val="32"/>
          <w:szCs w:val="32"/>
          <w:highlight w:val="yellow"/>
        </w:rPr>
        <w:t>0</w:t>
      </w:r>
      <w:r>
        <w:rPr>
          <w:rFonts w:hint="eastAsia" w:ascii="仿宋" w:hAnsi="仿宋" w:eastAsia="仿宋"/>
          <w:sz w:val="32"/>
          <w:szCs w:val="32"/>
          <w:highlight w:val="yellow"/>
        </w:rPr>
        <w:t>万元，占</w:t>
      </w:r>
      <w:r>
        <w:rPr>
          <w:rFonts w:ascii="仿宋" w:hAnsi="仿宋" w:eastAsia="仿宋"/>
          <w:b/>
          <w:sz w:val="32"/>
          <w:szCs w:val="32"/>
          <w:highlight w:val="yellow"/>
        </w:rPr>
        <w:t>0</w:t>
      </w:r>
      <w:r>
        <w:rPr>
          <w:rFonts w:ascii="仿宋" w:hAnsi="仿宋" w:eastAsia="仿宋"/>
          <w:sz w:val="32"/>
          <w:szCs w:val="32"/>
          <w:highlight w:val="yellow"/>
        </w:rPr>
        <w:t>%</w:t>
      </w:r>
      <w:r>
        <w:rPr>
          <w:rFonts w:hint="eastAsia" w:ascii="仿宋" w:hAnsi="仿宋" w:eastAsia="仿宋"/>
          <w:sz w:val="32"/>
          <w:szCs w:val="32"/>
          <w:highlight w:val="yellow"/>
        </w:rPr>
        <w:t>；公务用车购置及运行维护费支出决算</w:t>
      </w:r>
      <w:r>
        <w:rPr>
          <w:rFonts w:ascii="仿宋" w:hAnsi="仿宋" w:eastAsia="仿宋"/>
          <w:b/>
          <w:sz w:val="32"/>
          <w:szCs w:val="32"/>
          <w:highlight w:val="yellow"/>
        </w:rPr>
        <w:t>0</w:t>
      </w:r>
      <w:r>
        <w:rPr>
          <w:rFonts w:hint="eastAsia" w:ascii="仿宋" w:hAnsi="仿宋" w:eastAsia="仿宋"/>
          <w:sz w:val="32"/>
          <w:szCs w:val="32"/>
          <w:highlight w:val="yellow"/>
        </w:rPr>
        <w:t>万元，占</w:t>
      </w:r>
      <w:r>
        <w:rPr>
          <w:rFonts w:ascii="仿宋" w:hAnsi="仿宋" w:eastAsia="仿宋"/>
          <w:b/>
          <w:sz w:val="32"/>
          <w:szCs w:val="32"/>
          <w:highlight w:val="yellow"/>
        </w:rPr>
        <w:t>0</w:t>
      </w:r>
      <w:r>
        <w:rPr>
          <w:rFonts w:ascii="仿宋" w:hAnsi="仿宋" w:eastAsia="仿宋"/>
          <w:sz w:val="32"/>
          <w:szCs w:val="32"/>
          <w:highlight w:val="yellow"/>
        </w:rPr>
        <w:t>%</w:t>
      </w:r>
      <w:r>
        <w:rPr>
          <w:rFonts w:hint="eastAsia" w:ascii="仿宋" w:hAnsi="仿宋" w:eastAsia="仿宋"/>
          <w:sz w:val="32"/>
          <w:szCs w:val="32"/>
          <w:highlight w:val="yellow"/>
        </w:rPr>
        <w:t>；公务接待费支出决算</w:t>
      </w:r>
      <w:r>
        <w:rPr>
          <w:rFonts w:hint="eastAsia" w:ascii="仿宋" w:hAnsi="仿宋" w:eastAsia="仿宋"/>
          <w:b/>
          <w:sz w:val="32"/>
          <w:szCs w:val="32"/>
          <w:highlight w:val="yellow"/>
          <w:lang w:val="en-US" w:eastAsia="zh-CN"/>
        </w:rPr>
        <w:t>5.24</w:t>
      </w:r>
      <w:r>
        <w:rPr>
          <w:rFonts w:hint="eastAsia" w:ascii="仿宋" w:hAnsi="仿宋" w:eastAsia="仿宋"/>
          <w:sz w:val="32"/>
          <w:szCs w:val="32"/>
          <w:highlight w:val="yellow"/>
        </w:rPr>
        <w:t>万元，占</w:t>
      </w:r>
      <w:r>
        <w:rPr>
          <w:rFonts w:hint="eastAsia" w:ascii="仿宋" w:hAnsi="仿宋" w:eastAsia="仿宋"/>
          <w:b/>
          <w:sz w:val="32"/>
          <w:szCs w:val="32"/>
          <w:highlight w:val="yellow"/>
          <w:lang w:val="en-US" w:eastAsia="zh-CN"/>
        </w:rPr>
        <w:t>100</w:t>
      </w:r>
      <w:r>
        <w:rPr>
          <w:rFonts w:ascii="仿宋" w:hAnsi="仿宋" w:eastAsia="仿宋"/>
          <w:sz w:val="32"/>
          <w:szCs w:val="32"/>
          <w:highlight w:val="yellow"/>
        </w:rPr>
        <w:t>%</w:t>
      </w:r>
      <w:r>
        <w:rPr>
          <w:rFonts w:hint="eastAsia" w:ascii="仿宋" w:hAnsi="仿宋" w:eastAsia="仿宋"/>
          <w:sz w:val="32"/>
          <w:szCs w:val="32"/>
          <w:highlight w:val="yellow"/>
        </w:rPr>
        <w:t>。具体情况如下：</w:t>
      </w:r>
    </w:p>
    <w:p w14:paraId="2E25E911">
      <w:pPr>
        <w:spacing w:line="600" w:lineRule="exact"/>
        <w:ind w:firstLine="640"/>
        <w:jc w:val="center"/>
        <w:rPr>
          <w:rFonts w:hint="eastAsia" w:ascii="仿宋" w:hAnsi="仿宋" w:eastAsia="仿宋"/>
          <w:sz w:val="32"/>
          <w:szCs w:val="32"/>
          <w:highlight w:val="yellow"/>
        </w:rPr>
      </w:pPr>
      <w:r>
        <w:rPr>
          <w:rFonts w:hint="eastAsia" w:ascii="仿宋" w:hAnsi="仿宋" w:eastAsia="仿宋"/>
          <w:sz w:val="32"/>
          <w:szCs w:val="32"/>
          <w:highlight w:val="yellow"/>
        </w:rPr>
        <w:t>图7：“三公”经费财政拨款支出结构</w:t>
      </w:r>
      <w:bookmarkStart w:id="56" w:name="_Toc15377218"/>
      <w:bookmarkStart w:id="57" w:name="_Toc15396610"/>
    </w:p>
    <w:p w14:paraId="1014E78C">
      <w:pPr>
        <w:spacing w:line="600" w:lineRule="exact"/>
        <w:ind w:firstLine="640"/>
        <w:rPr>
          <w:rFonts w:ascii="仿宋_GB2312" w:eastAsia="仿宋_GB2312"/>
          <w:b/>
          <w:sz w:val="32"/>
          <w:szCs w:val="32"/>
          <w:highlight w:val="yellow"/>
        </w:rPr>
      </w:pPr>
      <w:r>
        <w:rPr>
          <w:rFonts w:ascii="仿宋_GB2312" w:eastAsia="仿宋_GB2312"/>
          <w:b/>
          <w:sz w:val="32"/>
          <w:szCs w:val="32"/>
        </w:rPr>
        <w:t>1</w:t>
      </w:r>
      <w:r>
        <w:rPr>
          <w:rFonts w:ascii="仿宋_GB2312" w:eastAsia="仿宋_GB2312"/>
          <w:b/>
          <w:sz w:val="32"/>
          <w:szCs w:val="32"/>
          <w:highlight w:val="yellow"/>
        </w:rPr>
        <w:t>.</w:t>
      </w:r>
      <w:r>
        <w:rPr>
          <w:rFonts w:hint="eastAsia" w:ascii="仿宋_GB2312" w:eastAsia="仿宋_GB2312"/>
          <w:b/>
          <w:sz w:val="32"/>
          <w:szCs w:val="32"/>
          <w:highlight w:val="yellow"/>
        </w:rPr>
        <w:t>因公出国（境）经费支出</w:t>
      </w:r>
      <w:r>
        <w:rPr>
          <w:rFonts w:ascii="仿宋" w:hAnsi="仿宋" w:eastAsia="仿宋"/>
          <w:b/>
          <w:sz w:val="32"/>
          <w:szCs w:val="32"/>
          <w:highlight w:val="yellow"/>
        </w:rPr>
        <w:t>0</w:t>
      </w:r>
      <w:r>
        <w:rPr>
          <w:rFonts w:hint="eastAsia" w:ascii="仿宋_GB2312" w:eastAsia="仿宋_GB2312"/>
          <w:sz w:val="32"/>
          <w:szCs w:val="32"/>
          <w:highlight w:val="yellow"/>
        </w:rPr>
        <w:t>万元，</w:t>
      </w:r>
      <w:r>
        <w:rPr>
          <w:rStyle w:val="17"/>
          <w:rFonts w:hint="eastAsia" w:ascii="仿宋" w:hAnsi="仿宋" w:eastAsia="仿宋"/>
          <w:b w:val="0"/>
          <w:bCs/>
          <w:sz w:val="32"/>
          <w:szCs w:val="32"/>
          <w:highlight w:val="yellow"/>
        </w:rPr>
        <w:t>完成预算</w:t>
      </w:r>
      <w:r>
        <w:rPr>
          <w:rStyle w:val="17"/>
          <w:rFonts w:ascii="仿宋" w:hAnsi="仿宋" w:eastAsia="仿宋"/>
          <w:bCs/>
          <w:sz w:val="32"/>
          <w:szCs w:val="32"/>
          <w:highlight w:val="yellow"/>
        </w:rPr>
        <w:t>0</w:t>
      </w:r>
      <w:r>
        <w:rPr>
          <w:rStyle w:val="17"/>
          <w:rFonts w:ascii="仿宋" w:hAnsi="仿宋" w:eastAsia="仿宋"/>
          <w:b w:val="0"/>
          <w:bCs/>
          <w:sz w:val="32"/>
          <w:szCs w:val="32"/>
          <w:highlight w:val="yellow"/>
        </w:rPr>
        <w:t>%</w:t>
      </w:r>
      <w:r>
        <w:rPr>
          <w:rStyle w:val="17"/>
          <w:rFonts w:hint="eastAsia" w:ascii="仿宋" w:hAnsi="仿宋" w:eastAsia="仿宋"/>
          <w:b w:val="0"/>
          <w:bCs/>
          <w:sz w:val="32"/>
          <w:szCs w:val="32"/>
          <w:highlight w:val="yellow"/>
        </w:rPr>
        <w:t>。</w:t>
      </w:r>
      <w:r>
        <w:rPr>
          <w:rFonts w:hint="eastAsia" w:ascii="仿宋_GB2312" w:eastAsia="仿宋_GB2312"/>
          <w:sz w:val="32"/>
          <w:szCs w:val="32"/>
          <w:highlight w:val="yellow"/>
        </w:rPr>
        <w:t>全年安排因公出国（境）团组</w:t>
      </w:r>
      <w:r>
        <w:rPr>
          <w:rFonts w:ascii="仿宋_GB2312" w:eastAsia="仿宋_GB2312"/>
          <w:b/>
          <w:sz w:val="32"/>
          <w:szCs w:val="32"/>
          <w:highlight w:val="yellow"/>
        </w:rPr>
        <w:t>0</w:t>
      </w:r>
      <w:r>
        <w:rPr>
          <w:rFonts w:hint="eastAsia" w:ascii="仿宋_GB2312" w:eastAsia="仿宋_GB2312"/>
          <w:sz w:val="32"/>
          <w:szCs w:val="32"/>
          <w:highlight w:val="yellow"/>
        </w:rPr>
        <w:t>次，出国（境）</w:t>
      </w:r>
      <w:r>
        <w:rPr>
          <w:rFonts w:ascii="仿宋_GB2312" w:eastAsia="仿宋_GB2312"/>
          <w:b/>
          <w:sz w:val="32"/>
          <w:szCs w:val="32"/>
          <w:highlight w:val="yellow"/>
        </w:rPr>
        <w:t>0</w:t>
      </w:r>
      <w:r>
        <w:rPr>
          <w:rFonts w:hint="eastAsia" w:ascii="仿宋_GB2312" w:eastAsia="仿宋_GB2312"/>
          <w:sz w:val="32"/>
          <w:szCs w:val="32"/>
          <w:highlight w:val="yellow"/>
        </w:rPr>
        <w:t>人。因公出国（境）支出决算比2022年增加</w:t>
      </w:r>
      <w:r>
        <w:rPr>
          <w:rFonts w:ascii="仿宋_GB2312" w:eastAsia="仿宋_GB2312"/>
          <w:sz w:val="32"/>
          <w:szCs w:val="32"/>
          <w:highlight w:val="yellow"/>
        </w:rPr>
        <w:t>/</w:t>
      </w:r>
      <w:r>
        <w:rPr>
          <w:rFonts w:hint="eastAsia" w:ascii="仿宋_GB2312" w:eastAsia="仿宋_GB2312"/>
          <w:sz w:val="32"/>
          <w:szCs w:val="32"/>
          <w:highlight w:val="yellow"/>
        </w:rPr>
        <w:t>减少</w:t>
      </w:r>
      <w:r>
        <w:rPr>
          <w:rFonts w:hint="eastAsia" w:ascii="仿宋" w:hAnsi="仿宋" w:eastAsia="仿宋"/>
          <w:b/>
          <w:bCs/>
          <w:sz w:val="32"/>
          <w:szCs w:val="32"/>
          <w:lang w:val="en-US" w:eastAsia="zh-CN"/>
        </w:rPr>
        <w:t>0</w:t>
      </w:r>
      <w:r>
        <w:rPr>
          <w:rFonts w:hint="eastAsia" w:ascii="仿宋_GB2312" w:eastAsia="仿宋_GB2312"/>
          <w:sz w:val="32"/>
          <w:szCs w:val="32"/>
          <w:highlight w:val="yellow"/>
        </w:rPr>
        <w:t>万元，增长</w:t>
      </w:r>
      <w:r>
        <w:rPr>
          <w:rFonts w:ascii="仿宋_GB2312" w:eastAsia="仿宋_GB2312"/>
          <w:sz w:val="32"/>
          <w:szCs w:val="32"/>
          <w:highlight w:val="yellow"/>
        </w:rPr>
        <w:t>/</w:t>
      </w:r>
      <w:r>
        <w:rPr>
          <w:rFonts w:hint="eastAsia" w:ascii="仿宋_GB2312" w:eastAsia="仿宋_GB2312"/>
          <w:sz w:val="32"/>
          <w:szCs w:val="32"/>
          <w:highlight w:val="yellow"/>
        </w:rPr>
        <w:t>下降</w:t>
      </w:r>
      <w:r>
        <w:rPr>
          <w:rFonts w:hint="eastAsia" w:ascii="仿宋" w:hAnsi="仿宋" w:eastAsia="仿宋"/>
          <w:b/>
          <w:bCs/>
          <w:sz w:val="32"/>
          <w:szCs w:val="32"/>
          <w:lang w:val="en-US" w:eastAsia="zh-CN"/>
        </w:rPr>
        <w:t>0</w:t>
      </w:r>
      <w:r>
        <w:rPr>
          <w:rFonts w:ascii="仿宋_GB2312" w:eastAsia="仿宋_GB2312"/>
          <w:sz w:val="32"/>
          <w:szCs w:val="32"/>
          <w:highlight w:val="yellow"/>
        </w:rPr>
        <w:t>%</w:t>
      </w:r>
      <w:r>
        <w:rPr>
          <w:rFonts w:hint="eastAsia" w:ascii="仿宋_GB2312" w:eastAsia="仿宋_GB2312"/>
          <w:sz w:val="32"/>
          <w:szCs w:val="32"/>
          <w:highlight w:val="yellow"/>
        </w:rPr>
        <w:t>。主要原因是</w:t>
      </w:r>
      <w:r>
        <w:rPr>
          <w:rFonts w:hint="eastAsia" w:ascii="仿宋" w:hAnsi="仿宋" w:eastAsia="仿宋"/>
          <w:sz w:val="32"/>
          <w:szCs w:val="32"/>
        </w:rPr>
        <w:t>本单位没有购置公务车辆</w:t>
      </w:r>
      <w:r>
        <w:rPr>
          <w:rFonts w:hint="eastAsia" w:ascii="仿宋_GB2312" w:eastAsia="仿宋_GB2312"/>
          <w:sz w:val="32"/>
          <w:szCs w:val="32"/>
          <w:highlight w:val="yellow"/>
        </w:rPr>
        <w:t>。</w:t>
      </w:r>
    </w:p>
    <w:p w14:paraId="098A4FAD">
      <w:pPr>
        <w:spacing w:line="600" w:lineRule="exact"/>
        <w:ind w:firstLine="640"/>
        <w:rPr>
          <w:rFonts w:ascii="仿宋_GB2312" w:eastAsia="仿宋_GB2312"/>
          <w:b/>
          <w:sz w:val="32"/>
          <w:szCs w:val="32"/>
          <w:highlight w:val="yellow"/>
        </w:rPr>
      </w:pPr>
      <w:r>
        <w:rPr>
          <w:rFonts w:ascii="仿宋_GB2312" w:eastAsia="仿宋_GB2312"/>
          <w:b/>
          <w:sz w:val="32"/>
          <w:szCs w:val="32"/>
          <w:highlight w:val="yellow"/>
        </w:rPr>
        <w:t>2.</w:t>
      </w:r>
      <w:r>
        <w:rPr>
          <w:rFonts w:hint="eastAsia" w:ascii="仿宋_GB2312" w:eastAsia="仿宋_GB2312"/>
          <w:b/>
          <w:sz w:val="32"/>
          <w:szCs w:val="32"/>
          <w:highlight w:val="yellow"/>
        </w:rPr>
        <w:t>公务用车购置及运行维护费支出</w:t>
      </w:r>
      <w:r>
        <w:rPr>
          <w:rFonts w:ascii="仿宋" w:hAnsi="仿宋" w:eastAsia="仿宋"/>
          <w:b/>
          <w:sz w:val="32"/>
          <w:szCs w:val="32"/>
          <w:highlight w:val="yellow"/>
        </w:rPr>
        <w:t>0</w:t>
      </w:r>
      <w:r>
        <w:rPr>
          <w:rFonts w:hint="eastAsia" w:ascii="仿宋_GB2312" w:eastAsia="仿宋_GB2312"/>
          <w:sz w:val="32"/>
          <w:szCs w:val="32"/>
          <w:highlight w:val="yellow"/>
        </w:rPr>
        <w:t>万元,</w:t>
      </w:r>
      <w:r>
        <w:rPr>
          <w:rStyle w:val="17"/>
          <w:rFonts w:hint="eastAsia" w:ascii="仿宋" w:hAnsi="仿宋" w:eastAsia="仿宋"/>
          <w:b w:val="0"/>
          <w:bCs/>
          <w:sz w:val="32"/>
          <w:szCs w:val="32"/>
          <w:highlight w:val="yellow"/>
        </w:rPr>
        <w:t>完成预算</w:t>
      </w:r>
      <w:r>
        <w:rPr>
          <w:rStyle w:val="17"/>
          <w:rFonts w:ascii="仿宋" w:hAnsi="仿宋" w:eastAsia="仿宋"/>
          <w:bCs/>
          <w:sz w:val="32"/>
          <w:szCs w:val="32"/>
          <w:highlight w:val="yellow"/>
        </w:rPr>
        <w:t>0</w:t>
      </w:r>
      <w:r>
        <w:rPr>
          <w:rStyle w:val="17"/>
          <w:rFonts w:ascii="仿宋" w:hAnsi="仿宋" w:eastAsia="仿宋"/>
          <w:b w:val="0"/>
          <w:bCs/>
          <w:sz w:val="32"/>
          <w:szCs w:val="32"/>
          <w:highlight w:val="yellow"/>
        </w:rPr>
        <w:t>%</w:t>
      </w:r>
      <w:r>
        <w:rPr>
          <w:rStyle w:val="17"/>
          <w:rFonts w:hint="eastAsia" w:ascii="仿宋" w:hAnsi="仿宋" w:eastAsia="仿宋"/>
          <w:b w:val="0"/>
          <w:bCs/>
          <w:sz w:val="32"/>
          <w:szCs w:val="32"/>
          <w:highlight w:val="yellow"/>
        </w:rPr>
        <w:t>。</w:t>
      </w:r>
      <w:r>
        <w:rPr>
          <w:rFonts w:hint="eastAsia" w:ascii="仿宋_GB2312" w:eastAsia="仿宋_GB2312"/>
          <w:sz w:val="32"/>
          <w:szCs w:val="32"/>
          <w:highlight w:val="yellow"/>
        </w:rPr>
        <w:t>公务用车购置及运行维护费支出决算比2022年度增加</w:t>
      </w:r>
      <w:r>
        <w:rPr>
          <w:rFonts w:ascii="仿宋_GB2312" w:eastAsia="仿宋_GB2312"/>
          <w:sz w:val="32"/>
          <w:szCs w:val="32"/>
          <w:highlight w:val="yellow"/>
        </w:rPr>
        <w:t>/</w:t>
      </w:r>
      <w:r>
        <w:rPr>
          <w:rFonts w:hint="eastAsia" w:ascii="仿宋_GB2312" w:eastAsia="仿宋_GB2312"/>
          <w:sz w:val="32"/>
          <w:szCs w:val="32"/>
          <w:highlight w:val="yellow"/>
        </w:rPr>
        <w:t>减少</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万元，增长</w:t>
      </w:r>
      <w:r>
        <w:rPr>
          <w:rFonts w:ascii="仿宋_GB2312" w:eastAsia="仿宋_GB2312"/>
          <w:sz w:val="32"/>
          <w:szCs w:val="32"/>
          <w:highlight w:val="yellow"/>
        </w:rPr>
        <w:t>/</w:t>
      </w:r>
      <w:r>
        <w:rPr>
          <w:rFonts w:hint="eastAsia" w:ascii="仿宋_GB2312" w:eastAsia="仿宋_GB2312"/>
          <w:sz w:val="32"/>
          <w:szCs w:val="32"/>
          <w:highlight w:val="yellow"/>
        </w:rPr>
        <w:t>下降</w:t>
      </w:r>
      <w:r>
        <w:rPr>
          <w:rFonts w:hint="eastAsia" w:ascii="仿宋" w:hAnsi="仿宋" w:eastAsia="仿宋"/>
          <w:b/>
          <w:sz w:val="32"/>
          <w:szCs w:val="32"/>
          <w:highlight w:val="yellow"/>
          <w:lang w:val="en-US" w:eastAsia="zh-CN"/>
        </w:rPr>
        <w:t>0</w:t>
      </w:r>
      <w:r>
        <w:rPr>
          <w:rFonts w:ascii="仿宋_GB2312" w:eastAsia="仿宋_GB2312"/>
          <w:sz w:val="32"/>
          <w:szCs w:val="32"/>
          <w:highlight w:val="yellow"/>
        </w:rPr>
        <w:t>%</w:t>
      </w:r>
      <w:r>
        <w:rPr>
          <w:rFonts w:hint="eastAsia" w:ascii="仿宋_GB2312" w:eastAsia="仿宋_GB2312"/>
          <w:sz w:val="32"/>
          <w:szCs w:val="32"/>
          <w:highlight w:val="yellow"/>
        </w:rPr>
        <w:t>。主要原因是</w:t>
      </w:r>
      <w:r>
        <w:rPr>
          <w:rFonts w:hint="eastAsia" w:ascii="仿宋" w:hAnsi="仿宋" w:eastAsia="仿宋"/>
          <w:sz w:val="32"/>
          <w:szCs w:val="32"/>
        </w:rPr>
        <w:t>本单位没有购置公务车辆</w:t>
      </w:r>
      <w:r>
        <w:rPr>
          <w:rFonts w:hint="eastAsia" w:ascii="仿宋_GB2312" w:eastAsia="仿宋_GB2312"/>
          <w:sz w:val="32"/>
          <w:szCs w:val="32"/>
          <w:highlight w:val="yellow"/>
        </w:rPr>
        <w:t>。</w:t>
      </w:r>
    </w:p>
    <w:p w14:paraId="5CC20C5C">
      <w:pPr>
        <w:spacing w:line="600" w:lineRule="exact"/>
        <w:ind w:firstLine="640" w:firstLineChars="200"/>
        <w:rPr>
          <w:rFonts w:ascii="仿宋_GB2312" w:eastAsia="仿宋_GB2312"/>
          <w:b/>
          <w:sz w:val="32"/>
          <w:szCs w:val="32"/>
          <w:highlight w:val="yellow"/>
        </w:rPr>
      </w:pPr>
      <w:r>
        <w:rPr>
          <w:rFonts w:hint="eastAsia" w:ascii="仿宋_GB2312" w:eastAsia="仿宋_GB2312"/>
          <w:sz w:val="32"/>
          <w:szCs w:val="32"/>
          <w:highlight w:val="yellow"/>
        </w:rPr>
        <w:t>其中：</w:t>
      </w:r>
      <w:r>
        <w:rPr>
          <w:rFonts w:hint="eastAsia" w:ascii="仿宋_GB2312" w:eastAsia="仿宋_GB2312"/>
          <w:b/>
          <w:sz w:val="32"/>
          <w:szCs w:val="32"/>
          <w:highlight w:val="yellow"/>
        </w:rPr>
        <w:t>公务用车购置支出</w:t>
      </w:r>
      <w:r>
        <w:rPr>
          <w:rFonts w:ascii="仿宋" w:hAnsi="仿宋" w:eastAsia="仿宋"/>
          <w:b/>
          <w:sz w:val="32"/>
          <w:szCs w:val="32"/>
          <w:highlight w:val="yellow"/>
        </w:rPr>
        <w:t>0</w:t>
      </w:r>
      <w:r>
        <w:rPr>
          <w:rFonts w:hint="eastAsia" w:ascii="仿宋_GB2312" w:eastAsia="仿宋_GB2312"/>
          <w:sz w:val="32"/>
          <w:szCs w:val="32"/>
          <w:highlight w:val="yellow"/>
        </w:rPr>
        <w:t>万元。全年按规定更新购置公务用车</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辆，其中：轿车</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辆、金额</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万元，越野车</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辆、金额</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万元，载客汽车</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辆、金额</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万元。截至2023年</w:t>
      </w:r>
      <w:r>
        <w:rPr>
          <w:rFonts w:ascii="仿宋_GB2312" w:eastAsia="仿宋_GB2312"/>
          <w:sz w:val="32"/>
          <w:szCs w:val="32"/>
          <w:highlight w:val="yellow"/>
        </w:rPr>
        <w:t>12</w:t>
      </w:r>
      <w:r>
        <w:rPr>
          <w:rFonts w:hint="eastAsia" w:ascii="仿宋_GB2312" w:eastAsia="仿宋_GB2312"/>
          <w:sz w:val="32"/>
          <w:szCs w:val="32"/>
          <w:highlight w:val="yellow"/>
        </w:rPr>
        <w:t>月31日，单位共有公务用车</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辆，其中：轿车</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辆、越野车</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辆、载客汽车</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辆。</w:t>
      </w:r>
    </w:p>
    <w:p w14:paraId="2A3A5138">
      <w:pPr>
        <w:spacing w:line="600" w:lineRule="exact"/>
        <w:ind w:firstLine="640"/>
        <w:rPr>
          <w:rFonts w:ascii="仿宋_GB2312" w:eastAsia="仿宋_GB2312"/>
          <w:sz w:val="32"/>
          <w:szCs w:val="32"/>
          <w:highlight w:val="yellow"/>
        </w:rPr>
      </w:pPr>
      <w:r>
        <w:rPr>
          <w:rFonts w:hint="eastAsia" w:ascii="仿宋_GB2312" w:eastAsia="仿宋_GB2312"/>
          <w:b/>
          <w:sz w:val="32"/>
          <w:szCs w:val="32"/>
          <w:highlight w:val="yellow"/>
        </w:rPr>
        <w:t>公务用车运行维护费支出</w:t>
      </w:r>
      <w:r>
        <w:rPr>
          <w:rFonts w:ascii="仿宋" w:hAnsi="仿宋" w:eastAsia="仿宋"/>
          <w:b/>
          <w:sz w:val="32"/>
          <w:szCs w:val="32"/>
          <w:highlight w:val="yellow"/>
        </w:rPr>
        <w:t>0</w:t>
      </w:r>
      <w:r>
        <w:rPr>
          <w:rFonts w:hint="eastAsia" w:ascii="仿宋_GB2312" w:eastAsia="仿宋_GB2312"/>
          <w:sz w:val="32"/>
          <w:szCs w:val="32"/>
          <w:highlight w:val="yellow"/>
        </w:rPr>
        <w:t>万元。主要用于</w:t>
      </w:r>
      <w:r>
        <w:rPr>
          <w:rFonts w:hint="eastAsia" w:ascii="仿宋" w:hAnsi="仿宋" w:eastAsia="仿宋" w:cs="仿宋_GB2312"/>
          <w:sz w:val="32"/>
          <w:szCs w:val="32"/>
        </w:rPr>
        <w:t>乡镇机关基本运行、下村等工作所需的公务用车燃料费、维修费、过路过桥费、保险费等支出</w:t>
      </w:r>
      <w:r>
        <w:rPr>
          <w:rFonts w:hint="eastAsia" w:ascii="仿宋_GB2312" w:eastAsia="仿宋_GB2312"/>
          <w:sz w:val="32"/>
          <w:szCs w:val="32"/>
          <w:highlight w:val="yellow"/>
        </w:rPr>
        <w:t>。</w:t>
      </w:r>
    </w:p>
    <w:p w14:paraId="6088AFB6">
      <w:pPr>
        <w:spacing w:line="600" w:lineRule="exact"/>
        <w:ind w:firstLine="640"/>
        <w:rPr>
          <w:rFonts w:ascii="仿宋_GB2312" w:eastAsia="仿宋_GB2312"/>
          <w:sz w:val="32"/>
          <w:szCs w:val="32"/>
        </w:rPr>
      </w:pPr>
      <w:r>
        <w:rPr>
          <w:rFonts w:ascii="仿宋_GB2312" w:eastAsia="仿宋_GB2312"/>
          <w:b/>
          <w:sz w:val="32"/>
          <w:szCs w:val="32"/>
          <w:highlight w:val="yellow"/>
        </w:rPr>
        <w:t>3.</w:t>
      </w:r>
      <w:r>
        <w:rPr>
          <w:rFonts w:hint="eastAsia" w:ascii="仿宋_GB2312" w:eastAsia="仿宋_GB2312"/>
          <w:b/>
          <w:sz w:val="32"/>
          <w:szCs w:val="32"/>
          <w:highlight w:val="yellow"/>
        </w:rPr>
        <w:t>公务接待费支出</w:t>
      </w:r>
      <w:r>
        <w:rPr>
          <w:rFonts w:hint="eastAsia" w:ascii="仿宋" w:hAnsi="仿宋" w:eastAsia="仿宋"/>
          <w:b/>
          <w:sz w:val="32"/>
          <w:szCs w:val="32"/>
          <w:highlight w:val="yellow"/>
          <w:lang w:val="en-US" w:eastAsia="zh-CN"/>
        </w:rPr>
        <w:t>5.24</w:t>
      </w:r>
      <w:r>
        <w:rPr>
          <w:rFonts w:hint="eastAsia" w:ascii="仿宋_GB2312" w:eastAsia="仿宋_GB2312"/>
          <w:sz w:val="32"/>
          <w:szCs w:val="32"/>
          <w:highlight w:val="yellow"/>
        </w:rPr>
        <w:t>万元，</w:t>
      </w:r>
      <w:r>
        <w:rPr>
          <w:rStyle w:val="17"/>
          <w:rFonts w:hint="eastAsia" w:ascii="仿宋" w:hAnsi="仿宋" w:eastAsia="仿宋"/>
          <w:b w:val="0"/>
          <w:bCs/>
          <w:sz w:val="32"/>
          <w:szCs w:val="32"/>
          <w:highlight w:val="yellow"/>
        </w:rPr>
        <w:t>完成预算</w:t>
      </w:r>
      <w:r>
        <w:rPr>
          <w:rFonts w:hint="eastAsia" w:ascii="仿宋" w:hAnsi="仿宋" w:eastAsia="仿宋"/>
          <w:b/>
          <w:sz w:val="32"/>
          <w:szCs w:val="32"/>
          <w:highlight w:val="yellow"/>
          <w:lang w:val="en-US" w:eastAsia="zh-CN"/>
        </w:rPr>
        <w:t>58.22</w:t>
      </w:r>
      <w:r>
        <w:rPr>
          <w:rStyle w:val="17"/>
          <w:rFonts w:ascii="仿宋" w:hAnsi="仿宋" w:eastAsia="仿宋"/>
          <w:b w:val="0"/>
          <w:bCs/>
          <w:sz w:val="32"/>
          <w:szCs w:val="32"/>
          <w:highlight w:val="yellow"/>
        </w:rPr>
        <w:t>%</w:t>
      </w:r>
      <w:r>
        <w:rPr>
          <w:rStyle w:val="17"/>
          <w:rFonts w:hint="eastAsia" w:ascii="仿宋" w:hAnsi="仿宋" w:eastAsia="仿宋"/>
          <w:b w:val="0"/>
          <w:bCs/>
          <w:sz w:val="32"/>
          <w:szCs w:val="32"/>
          <w:highlight w:val="yellow"/>
        </w:rPr>
        <w:t>。</w:t>
      </w:r>
      <w:r>
        <w:rPr>
          <w:rFonts w:hint="eastAsia" w:ascii="仿宋_GB2312" w:eastAsia="仿宋_GB2312"/>
          <w:sz w:val="32"/>
          <w:szCs w:val="32"/>
          <w:highlight w:val="yellow"/>
        </w:rPr>
        <w:t>公务接待费支出决算比2022年度减少</w:t>
      </w:r>
      <w:r>
        <w:rPr>
          <w:rFonts w:hint="eastAsia" w:ascii="仿宋" w:hAnsi="仿宋" w:eastAsia="仿宋"/>
          <w:b/>
          <w:sz w:val="32"/>
          <w:szCs w:val="32"/>
          <w:highlight w:val="yellow"/>
        </w:rPr>
        <w:t>3.76</w:t>
      </w:r>
      <w:r>
        <w:rPr>
          <w:rFonts w:hint="eastAsia" w:ascii="仿宋_GB2312" w:eastAsia="仿宋_GB2312"/>
          <w:sz w:val="32"/>
          <w:szCs w:val="32"/>
          <w:highlight w:val="yellow"/>
        </w:rPr>
        <w:t>万元，下降</w:t>
      </w:r>
      <w:r>
        <w:rPr>
          <w:rFonts w:hint="eastAsia" w:ascii="仿宋" w:hAnsi="仿宋" w:eastAsia="仿宋"/>
          <w:b/>
          <w:sz w:val="32"/>
          <w:szCs w:val="32"/>
          <w:highlight w:val="yellow"/>
          <w:lang w:val="en-US" w:eastAsia="zh-CN"/>
        </w:rPr>
        <w:t>41.78</w:t>
      </w:r>
      <w:r>
        <w:rPr>
          <w:rFonts w:ascii="仿宋_GB2312" w:eastAsia="仿宋_GB2312"/>
          <w:sz w:val="32"/>
          <w:szCs w:val="32"/>
          <w:highlight w:val="yellow"/>
        </w:rPr>
        <w:t>%</w:t>
      </w:r>
      <w:r>
        <w:rPr>
          <w:rFonts w:hint="eastAsia" w:ascii="仿宋_GB2312" w:eastAsia="仿宋_GB2312"/>
          <w:sz w:val="32"/>
          <w:szCs w:val="32"/>
          <w:highlight w:val="yellow"/>
        </w:rPr>
        <w:t>。主要原因是厉行节约，开支减少。其中：</w:t>
      </w:r>
    </w:p>
    <w:p w14:paraId="3C1C2CBB">
      <w:pPr>
        <w:spacing w:line="600" w:lineRule="exact"/>
        <w:ind w:firstLine="640"/>
        <w:rPr>
          <w:rFonts w:ascii="仿宋_GB2312" w:eastAsia="仿宋_GB2312"/>
          <w:sz w:val="32"/>
          <w:szCs w:val="32"/>
          <w:highlight w:val="yellow"/>
        </w:rPr>
      </w:pPr>
      <w:r>
        <w:rPr>
          <w:rFonts w:hint="eastAsia" w:ascii="仿宋" w:hAnsi="仿宋" w:eastAsia="仿宋"/>
          <w:b/>
          <w:sz w:val="32"/>
          <w:szCs w:val="32"/>
          <w:highlight w:val="yellow"/>
        </w:rPr>
        <w:t>国内公务接待支出</w:t>
      </w:r>
      <w:r>
        <w:rPr>
          <w:rFonts w:hint="eastAsia" w:ascii="仿宋" w:hAnsi="仿宋" w:eastAsia="仿宋"/>
          <w:b/>
          <w:sz w:val="32"/>
          <w:szCs w:val="32"/>
          <w:highlight w:val="yellow"/>
          <w:lang w:val="en-US" w:eastAsia="zh-CN"/>
        </w:rPr>
        <w:t>5.24</w:t>
      </w:r>
      <w:r>
        <w:rPr>
          <w:rFonts w:hint="eastAsia" w:ascii="仿宋_GB2312" w:eastAsia="仿宋_GB2312"/>
          <w:sz w:val="32"/>
          <w:szCs w:val="32"/>
          <w:highlight w:val="yellow"/>
        </w:rPr>
        <w:t>万元，主要用于执行公务、开展业务活动开支的交通费、住宿费、用餐费等。国内公务接待</w:t>
      </w:r>
      <w:r>
        <w:rPr>
          <w:rFonts w:hint="eastAsia" w:ascii="仿宋_GB2312" w:eastAsia="仿宋_GB2312"/>
          <w:sz w:val="32"/>
          <w:szCs w:val="32"/>
          <w:highlight w:val="yellow"/>
          <w:lang w:val="en-US" w:eastAsia="zh-CN"/>
        </w:rPr>
        <w:t>172</w:t>
      </w:r>
      <w:r>
        <w:rPr>
          <w:rFonts w:hint="eastAsia" w:ascii="仿宋_GB2312" w:eastAsia="仿宋_GB2312"/>
          <w:sz w:val="32"/>
          <w:szCs w:val="32"/>
          <w:highlight w:val="yellow"/>
        </w:rPr>
        <w:t>批次，</w:t>
      </w:r>
      <w:r>
        <w:rPr>
          <w:rFonts w:hint="eastAsia" w:ascii="仿宋_GB2312" w:eastAsia="仿宋_GB2312"/>
          <w:sz w:val="32"/>
          <w:szCs w:val="32"/>
          <w:highlight w:val="yellow"/>
          <w:lang w:val="en-US" w:eastAsia="zh-CN"/>
        </w:rPr>
        <w:t>1315</w:t>
      </w:r>
      <w:r>
        <w:rPr>
          <w:rFonts w:hint="eastAsia" w:ascii="仿宋_GB2312" w:eastAsia="仿宋_GB2312"/>
          <w:sz w:val="32"/>
          <w:szCs w:val="32"/>
          <w:highlight w:val="yellow"/>
        </w:rPr>
        <w:t>人次（不包括陪同人员），共计支出</w:t>
      </w:r>
      <w:r>
        <w:rPr>
          <w:rFonts w:hint="eastAsia" w:ascii="仿宋_GB2312" w:eastAsia="仿宋_GB2312"/>
          <w:sz w:val="32"/>
          <w:szCs w:val="32"/>
          <w:highlight w:val="yellow"/>
          <w:lang w:val="en-US" w:eastAsia="zh-CN"/>
        </w:rPr>
        <w:t>5.24</w:t>
      </w:r>
      <w:r>
        <w:rPr>
          <w:rFonts w:hint="eastAsia" w:ascii="仿宋_GB2312" w:eastAsia="仿宋_GB2312"/>
          <w:sz w:val="32"/>
          <w:szCs w:val="32"/>
          <w:highlight w:val="yellow"/>
        </w:rPr>
        <w:t>万元，具体内容包括：脱贫攻坚、环保整治、安全、维稳、信访、党建等工作用餐。</w:t>
      </w:r>
    </w:p>
    <w:p w14:paraId="6908BEE2">
      <w:pPr>
        <w:spacing w:line="600" w:lineRule="exact"/>
        <w:ind w:firstLine="643" w:firstLineChars="200"/>
        <w:rPr>
          <w:rFonts w:ascii="仿宋_GB2312" w:eastAsia="仿宋_GB2312"/>
          <w:sz w:val="32"/>
          <w:szCs w:val="32"/>
          <w:highlight w:val="yellow"/>
        </w:rPr>
      </w:pPr>
      <w:r>
        <w:rPr>
          <w:rFonts w:hint="eastAsia" w:ascii="仿宋" w:hAnsi="仿宋" w:eastAsia="仿宋"/>
          <w:b/>
          <w:sz w:val="32"/>
          <w:szCs w:val="32"/>
          <w:highlight w:val="yellow"/>
        </w:rPr>
        <w:t>外事接待支出</w:t>
      </w:r>
      <w:r>
        <w:rPr>
          <w:rFonts w:ascii="仿宋" w:hAnsi="仿宋" w:eastAsia="仿宋"/>
          <w:b/>
          <w:sz w:val="32"/>
          <w:szCs w:val="32"/>
          <w:highlight w:val="yellow"/>
        </w:rPr>
        <w:t>0</w:t>
      </w:r>
      <w:r>
        <w:rPr>
          <w:rFonts w:hint="eastAsia" w:ascii="仿宋_GB2312" w:eastAsia="仿宋_GB2312"/>
          <w:sz w:val="32"/>
          <w:szCs w:val="32"/>
          <w:highlight w:val="yellow"/>
        </w:rPr>
        <w:t>万元，</w:t>
      </w:r>
      <w:r>
        <w:rPr>
          <w:rFonts w:hint="default" w:ascii="Times New Roman" w:hAnsi="Times New Roman" w:eastAsia="仿宋_GB2312" w:cs="Times New Roman"/>
          <w:color w:val="auto"/>
          <w:sz w:val="32"/>
          <w:szCs w:val="32"/>
          <w:highlight w:val="none"/>
        </w:rPr>
        <w:t>外事接待</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人，共计支出</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p>
    <w:p w14:paraId="21FBF953">
      <w:pPr>
        <w:spacing w:line="600" w:lineRule="exact"/>
        <w:ind w:firstLine="640"/>
        <w:outlineLvl w:val="9"/>
        <w:rPr>
          <w:rFonts w:ascii="黑体" w:eastAsia="黑体"/>
          <w:sz w:val="32"/>
          <w:szCs w:val="32"/>
        </w:rPr>
      </w:pPr>
    </w:p>
    <w:p w14:paraId="64FC56AC">
      <w:pPr>
        <w:spacing w:line="600" w:lineRule="exact"/>
        <w:ind w:firstLine="640"/>
        <w:outlineLvl w:val="1"/>
        <w:rPr>
          <w:rStyle w:val="28"/>
          <w:rFonts w:ascii="黑体" w:hAnsi="黑体" w:eastAsia="黑体"/>
        </w:rPr>
      </w:pPr>
      <w:bookmarkStart w:id="58" w:name="_Toc23876"/>
      <w:r>
        <w:rPr>
          <w:rFonts w:hint="eastAsia" w:ascii="黑体" w:eastAsia="黑体"/>
          <w:sz w:val="32"/>
          <w:szCs w:val="32"/>
        </w:rPr>
        <w:t>八、</w:t>
      </w:r>
      <w:r>
        <w:rPr>
          <w:rStyle w:val="28"/>
          <w:rFonts w:hint="eastAsia" w:ascii="黑体" w:hAnsi="黑体" w:eastAsia="黑体"/>
          <w:b w:val="0"/>
        </w:rPr>
        <w:t>政府性基金预算支出决算情况说明</w:t>
      </w:r>
      <w:bookmarkEnd w:id="56"/>
      <w:bookmarkEnd w:id="57"/>
      <w:bookmarkEnd w:id="58"/>
    </w:p>
    <w:p w14:paraId="225C451B">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ascii="仿宋" w:hAnsi="仿宋" w:eastAsia="仿宋"/>
          <w:b/>
          <w:sz w:val="32"/>
          <w:szCs w:val="32"/>
          <w:lang w:val="en-US" w:eastAsia="zh-CN"/>
        </w:rPr>
        <w:t>421.38</w:t>
      </w:r>
      <w:r>
        <w:rPr>
          <w:rFonts w:hint="eastAsia" w:ascii="仿宋_GB2312" w:eastAsia="仿宋_GB2312"/>
          <w:sz w:val="32"/>
          <w:szCs w:val="32"/>
        </w:rPr>
        <w:t>万元。</w:t>
      </w:r>
    </w:p>
    <w:p w14:paraId="1AFF6707">
      <w:pPr>
        <w:spacing w:line="600" w:lineRule="exact"/>
        <w:ind w:firstLine="640"/>
        <w:rPr>
          <w:rFonts w:ascii="仿宋_GB2312" w:eastAsia="仿宋_GB2312"/>
          <w:sz w:val="32"/>
          <w:szCs w:val="32"/>
        </w:rPr>
      </w:pPr>
    </w:p>
    <w:p w14:paraId="60E5F673">
      <w:pPr>
        <w:pStyle w:val="4"/>
        <w:numPr>
          <w:ilvl w:val="0"/>
          <w:numId w:val="0"/>
        </w:numPr>
        <w:bidi w:val="0"/>
        <w:ind w:firstLine="640" w:firstLineChars="200"/>
        <w:jc w:val="both"/>
      </w:pPr>
      <w:bookmarkStart w:id="59" w:name="_Toc28704"/>
      <w:bookmarkStart w:id="60" w:name="_Toc15377219"/>
      <w:bookmarkStart w:id="61" w:name="_Toc15396611"/>
      <w:r>
        <w:rPr>
          <w:rFonts w:hint="eastAsia"/>
          <w:lang w:eastAsia="zh-CN"/>
        </w:rPr>
        <w:t>九、</w:t>
      </w:r>
      <w:r>
        <w:rPr>
          <w:rFonts w:hint="eastAsia"/>
        </w:rPr>
        <w:t>国有资本经营预算支出决算情况说明</w:t>
      </w:r>
      <w:bookmarkEnd w:id="59"/>
      <w:bookmarkEnd w:id="60"/>
      <w:bookmarkEnd w:id="61"/>
    </w:p>
    <w:p w14:paraId="0C598101">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487D221">
      <w:pPr>
        <w:spacing w:line="580" w:lineRule="exact"/>
        <w:jc w:val="center"/>
        <w:rPr>
          <w:rFonts w:ascii="方正小标宋简体" w:hAnsi="方正小标宋简体" w:eastAsia="方正小标宋简体" w:cs="方正小标宋简体"/>
          <w:sz w:val="44"/>
          <w:szCs w:val="44"/>
        </w:rPr>
      </w:pPr>
    </w:p>
    <w:p w14:paraId="6D159BC9">
      <w:pPr>
        <w:numPr>
          <w:ilvl w:val="0"/>
          <w:numId w:val="0"/>
        </w:numPr>
        <w:spacing w:line="600" w:lineRule="exact"/>
        <w:ind w:firstLine="640" w:firstLineChars="200"/>
        <w:outlineLvl w:val="1"/>
        <w:rPr>
          <w:rStyle w:val="28"/>
          <w:rFonts w:ascii="黑体" w:hAnsi="黑体" w:eastAsia="黑体"/>
          <w:b w:val="0"/>
        </w:rPr>
      </w:pPr>
      <w:bookmarkStart w:id="62" w:name="_Toc15396612"/>
      <w:bookmarkStart w:id="63" w:name="_Toc15377221"/>
      <w:bookmarkStart w:id="64" w:name="_Toc23558"/>
      <w:r>
        <w:rPr>
          <w:rStyle w:val="28"/>
          <w:rFonts w:hint="eastAsia" w:ascii="黑体" w:hAnsi="黑体" w:eastAsia="黑体"/>
          <w:b w:val="0"/>
          <w:lang w:eastAsia="zh-CN"/>
        </w:rPr>
        <w:t>十、</w:t>
      </w:r>
      <w:r>
        <w:rPr>
          <w:rStyle w:val="28"/>
          <w:rFonts w:hint="eastAsia" w:ascii="黑体" w:hAnsi="黑体" w:eastAsia="黑体"/>
          <w:b w:val="0"/>
        </w:rPr>
        <w:t>其他重要事项的情况说明</w:t>
      </w:r>
      <w:bookmarkEnd w:id="62"/>
      <w:bookmarkEnd w:id="63"/>
      <w:bookmarkEnd w:id="64"/>
    </w:p>
    <w:p w14:paraId="49B328B4">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14:paraId="2AC96D44">
      <w:pPr>
        <w:spacing w:line="600" w:lineRule="exact"/>
        <w:ind w:firstLine="640" w:firstLineChars="200"/>
        <w:rPr>
          <w:rFonts w:ascii="仿宋_GB2312" w:eastAsia="仿宋_GB2312"/>
          <w:sz w:val="32"/>
          <w:szCs w:val="32"/>
          <w:highlight w:val="yellow"/>
        </w:rPr>
      </w:pPr>
      <w:r>
        <w:rPr>
          <w:rFonts w:hint="eastAsia" w:ascii="仿宋_GB2312" w:eastAsia="仿宋_GB2312"/>
          <w:sz w:val="32"/>
          <w:szCs w:val="32"/>
          <w:highlight w:val="yellow"/>
        </w:rPr>
        <w:t>2023年度，</w:t>
      </w:r>
      <w:r>
        <w:rPr>
          <w:rFonts w:hint="eastAsia" w:ascii="仿宋_GB2312" w:eastAsia="仿宋_GB2312"/>
          <w:b/>
          <w:sz w:val="32"/>
          <w:szCs w:val="32"/>
          <w:highlight w:val="yellow"/>
          <w:lang w:val="en-US" w:eastAsia="zh-CN"/>
        </w:rPr>
        <w:t>大竹县童家镇人民政府</w:t>
      </w:r>
      <w:r>
        <w:rPr>
          <w:rFonts w:hint="eastAsia" w:ascii="仿宋_GB2312" w:eastAsia="仿宋_GB2312"/>
          <w:sz w:val="32"/>
          <w:szCs w:val="32"/>
          <w:highlight w:val="yellow"/>
        </w:rPr>
        <w:t>机关运行经费支出</w:t>
      </w:r>
      <w:r>
        <w:rPr>
          <w:rFonts w:hint="eastAsia" w:ascii="仿宋" w:hAnsi="仿宋" w:eastAsia="仿宋"/>
          <w:b/>
          <w:sz w:val="32"/>
          <w:szCs w:val="32"/>
          <w:highlight w:val="yellow"/>
          <w:lang w:val="en-US" w:eastAsia="zh-CN"/>
        </w:rPr>
        <w:t>101.73</w:t>
      </w:r>
      <w:r>
        <w:rPr>
          <w:rFonts w:hint="eastAsia" w:ascii="仿宋_GB2312" w:eastAsia="仿宋_GB2312"/>
          <w:sz w:val="32"/>
          <w:szCs w:val="32"/>
          <w:highlight w:val="yellow"/>
        </w:rPr>
        <w:t>万元，比2022年度减少</w:t>
      </w:r>
      <w:r>
        <w:rPr>
          <w:rFonts w:hint="eastAsia" w:ascii="仿宋" w:hAnsi="仿宋" w:eastAsia="仿宋"/>
          <w:b/>
          <w:sz w:val="32"/>
          <w:szCs w:val="32"/>
          <w:highlight w:val="yellow"/>
          <w:lang w:val="en-US" w:eastAsia="zh-CN"/>
        </w:rPr>
        <w:t>77.04</w:t>
      </w:r>
      <w:r>
        <w:rPr>
          <w:rFonts w:hint="eastAsia" w:ascii="仿宋_GB2312" w:eastAsia="仿宋_GB2312"/>
          <w:sz w:val="32"/>
          <w:szCs w:val="32"/>
          <w:highlight w:val="yellow"/>
        </w:rPr>
        <w:t>万元，下降</w:t>
      </w:r>
      <w:r>
        <w:rPr>
          <w:rFonts w:hint="eastAsia" w:ascii="仿宋" w:hAnsi="仿宋" w:eastAsia="仿宋"/>
          <w:b/>
          <w:sz w:val="32"/>
          <w:szCs w:val="32"/>
          <w:highlight w:val="yellow"/>
          <w:lang w:val="en-US" w:eastAsia="zh-CN"/>
        </w:rPr>
        <w:t>43.09</w:t>
      </w:r>
      <w:r>
        <w:rPr>
          <w:rFonts w:ascii="仿宋_GB2312" w:eastAsia="仿宋_GB2312"/>
          <w:sz w:val="32"/>
          <w:szCs w:val="32"/>
          <w:highlight w:val="yellow"/>
        </w:rPr>
        <w:t>%</w:t>
      </w:r>
      <w:r>
        <w:rPr>
          <w:rFonts w:hint="eastAsia" w:ascii="仿宋_GB2312" w:eastAsia="仿宋_GB2312"/>
          <w:sz w:val="32"/>
          <w:szCs w:val="32"/>
          <w:highlight w:val="yellow"/>
        </w:rPr>
        <w:t>。主要原因是</w:t>
      </w:r>
      <w:r>
        <w:rPr>
          <w:rFonts w:hint="eastAsia" w:ascii="仿宋_GB2312" w:hAnsi="Calibri" w:eastAsia="仿宋_GB2312" w:cs="Calibri"/>
          <w:color w:val="000000"/>
          <w:kern w:val="0"/>
          <w:sz w:val="32"/>
          <w:szCs w:val="32"/>
        </w:rPr>
        <w:t>强化预算管理，贯彻落实“过紧日子”要求，压减一般性支出所致</w:t>
      </w:r>
      <w:r>
        <w:rPr>
          <w:rFonts w:hint="eastAsia" w:ascii="仿宋_GB2312" w:eastAsia="仿宋_GB2312"/>
          <w:sz w:val="32"/>
          <w:szCs w:val="32"/>
          <w:highlight w:val="yellow"/>
        </w:rPr>
        <w:t>。</w:t>
      </w:r>
    </w:p>
    <w:p w14:paraId="7C943F2A">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14:paraId="2478253D">
      <w:pPr>
        <w:spacing w:line="600" w:lineRule="exact"/>
        <w:ind w:firstLine="640" w:firstLineChars="200"/>
        <w:rPr>
          <w:rFonts w:ascii="仿宋_GB2312" w:eastAsia="仿宋_GB2312"/>
          <w:sz w:val="32"/>
          <w:szCs w:val="32"/>
          <w:highlight w:val="yellow"/>
        </w:rPr>
      </w:pPr>
      <w:r>
        <w:rPr>
          <w:rFonts w:hint="eastAsia" w:ascii="仿宋_GB2312" w:eastAsia="仿宋_GB2312"/>
          <w:sz w:val="32"/>
          <w:szCs w:val="32"/>
          <w:highlight w:val="yellow"/>
        </w:rPr>
        <w:t>2023年度，</w:t>
      </w:r>
      <w:r>
        <w:rPr>
          <w:rFonts w:hint="eastAsia" w:ascii="仿宋_GB2312" w:eastAsia="仿宋_GB2312"/>
          <w:b/>
          <w:sz w:val="32"/>
          <w:szCs w:val="32"/>
          <w:highlight w:val="yellow"/>
          <w:lang w:val="en-US" w:eastAsia="zh-CN"/>
        </w:rPr>
        <w:t>大竹县童家镇</w:t>
      </w:r>
      <w:r>
        <w:rPr>
          <w:rFonts w:hint="eastAsia" w:ascii="仿宋" w:hAnsi="仿宋" w:eastAsia="仿宋"/>
          <w:b/>
          <w:sz w:val="32"/>
          <w:szCs w:val="32"/>
          <w:highlight w:val="yellow"/>
          <w:lang w:val="en-US" w:eastAsia="zh-CN"/>
        </w:rPr>
        <w:t>人民</w:t>
      </w:r>
      <w:r>
        <w:rPr>
          <w:rFonts w:hint="eastAsia" w:ascii="仿宋" w:hAnsi="仿宋" w:eastAsia="仿宋"/>
          <w:b/>
          <w:sz w:val="32"/>
          <w:szCs w:val="32"/>
          <w:highlight w:val="yellow"/>
        </w:rPr>
        <w:t>政府</w:t>
      </w:r>
      <w:r>
        <w:rPr>
          <w:rFonts w:hint="eastAsia" w:ascii="仿宋" w:hAnsi="仿宋" w:eastAsia="仿宋"/>
          <w:b w:val="0"/>
          <w:bCs/>
          <w:sz w:val="32"/>
          <w:szCs w:val="32"/>
          <w:highlight w:val="yellow"/>
          <w:lang w:eastAsia="zh-CN"/>
        </w:rPr>
        <w:t>政府</w:t>
      </w:r>
      <w:r>
        <w:rPr>
          <w:rFonts w:hint="eastAsia" w:ascii="仿宋_GB2312" w:eastAsia="仿宋_GB2312"/>
          <w:sz w:val="32"/>
          <w:szCs w:val="32"/>
          <w:highlight w:val="yellow"/>
        </w:rPr>
        <w:t>采购支出总额</w:t>
      </w:r>
      <w:r>
        <w:rPr>
          <w:rFonts w:ascii="仿宋" w:hAnsi="仿宋" w:eastAsia="仿宋"/>
          <w:b/>
          <w:sz w:val="32"/>
          <w:szCs w:val="32"/>
          <w:highlight w:val="yellow"/>
        </w:rPr>
        <w:t>0</w:t>
      </w:r>
      <w:r>
        <w:rPr>
          <w:rFonts w:hint="eastAsia" w:ascii="仿宋_GB2312" w:eastAsia="仿宋_GB2312"/>
          <w:sz w:val="32"/>
          <w:szCs w:val="32"/>
          <w:highlight w:val="yellow"/>
        </w:rPr>
        <w:t>万元，其中：政府采购货物支出</w:t>
      </w:r>
      <w:r>
        <w:rPr>
          <w:rFonts w:ascii="仿宋" w:hAnsi="仿宋" w:eastAsia="仿宋"/>
          <w:b/>
          <w:sz w:val="32"/>
          <w:szCs w:val="32"/>
          <w:highlight w:val="yellow"/>
        </w:rPr>
        <w:t>0</w:t>
      </w:r>
      <w:r>
        <w:rPr>
          <w:rFonts w:hint="eastAsia" w:ascii="仿宋_GB2312" w:eastAsia="仿宋_GB2312"/>
          <w:sz w:val="32"/>
          <w:szCs w:val="32"/>
          <w:highlight w:val="yellow"/>
        </w:rPr>
        <w:t>万元、政府采购工程支出</w:t>
      </w:r>
      <w:r>
        <w:rPr>
          <w:rFonts w:ascii="仿宋" w:hAnsi="仿宋" w:eastAsia="仿宋"/>
          <w:b/>
          <w:sz w:val="32"/>
          <w:szCs w:val="32"/>
          <w:highlight w:val="yellow"/>
        </w:rPr>
        <w:t>0</w:t>
      </w:r>
      <w:r>
        <w:rPr>
          <w:rFonts w:hint="eastAsia" w:ascii="仿宋_GB2312" w:eastAsia="仿宋_GB2312"/>
          <w:sz w:val="32"/>
          <w:szCs w:val="32"/>
          <w:highlight w:val="yellow"/>
        </w:rPr>
        <w:t>万元、政府采购服务支出</w:t>
      </w:r>
      <w:r>
        <w:rPr>
          <w:rFonts w:ascii="仿宋" w:hAnsi="仿宋" w:eastAsia="仿宋"/>
          <w:b/>
          <w:sz w:val="32"/>
          <w:szCs w:val="32"/>
          <w:highlight w:val="yellow"/>
        </w:rPr>
        <w:t>0</w:t>
      </w:r>
      <w:r>
        <w:rPr>
          <w:rFonts w:hint="eastAsia" w:ascii="仿宋_GB2312" w:eastAsia="仿宋_GB2312"/>
          <w:sz w:val="32"/>
          <w:szCs w:val="32"/>
          <w:highlight w:val="yellow"/>
        </w:rPr>
        <w:t>万元。授予中小企业合同金额</w:t>
      </w:r>
      <w:r>
        <w:rPr>
          <w:rFonts w:ascii="仿宋" w:hAnsi="仿宋" w:eastAsia="仿宋"/>
          <w:b/>
          <w:sz w:val="32"/>
          <w:szCs w:val="32"/>
          <w:highlight w:val="yellow"/>
        </w:rPr>
        <w:t>0</w:t>
      </w:r>
      <w:r>
        <w:rPr>
          <w:rFonts w:hint="eastAsia" w:ascii="仿宋_GB2312" w:eastAsia="仿宋_GB2312"/>
          <w:sz w:val="32"/>
          <w:szCs w:val="32"/>
          <w:highlight w:val="yellow"/>
        </w:rPr>
        <w:t>万元，占政府采购支出总额的</w:t>
      </w:r>
      <w:r>
        <w:rPr>
          <w:rFonts w:ascii="仿宋_GB2312" w:eastAsia="仿宋_GB2312"/>
          <w:sz w:val="32"/>
          <w:szCs w:val="32"/>
          <w:highlight w:val="yellow"/>
        </w:rPr>
        <w:t>0%</w:t>
      </w:r>
      <w:r>
        <w:rPr>
          <w:rFonts w:hint="eastAsia" w:ascii="仿宋_GB2312" w:eastAsia="仿宋_GB2312"/>
          <w:sz w:val="32"/>
          <w:szCs w:val="32"/>
          <w:highlight w:val="yellow"/>
        </w:rPr>
        <w:t>，其中：授予小微企业合同金额</w:t>
      </w:r>
      <w:r>
        <w:rPr>
          <w:rFonts w:ascii="仿宋" w:hAnsi="仿宋" w:eastAsia="仿宋"/>
          <w:b/>
          <w:sz w:val="32"/>
          <w:szCs w:val="32"/>
          <w:highlight w:val="yellow"/>
        </w:rPr>
        <w:t>0</w:t>
      </w:r>
      <w:r>
        <w:rPr>
          <w:rFonts w:hint="eastAsia" w:ascii="仿宋_GB2312" w:eastAsia="仿宋_GB2312"/>
          <w:sz w:val="32"/>
          <w:szCs w:val="32"/>
          <w:highlight w:val="yellow"/>
        </w:rPr>
        <w:t>万元，占政府采购支出总额的</w:t>
      </w:r>
      <w:r>
        <w:rPr>
          <w:rFonts w:ascii="仿宋_GB2312" w:eastAsia="仿宋_GB2312"/>
          <w:b/>
          <w:sz w:val="32"/>
          <w:szCs w:val="32"/>
          <w:highlight w:val="yellow"/>
        </w:rPr>
        <w:t>0</w:t>
      </w:r>
      <w:r>
        <w:rPr>
          <w:rFonts w:ascii="仿宋_GB2312" w:eastAsia="仿宋_GB2312"/>
          <w:sz w:val="32"/>
          <w:szCs w:val="32"/>
          <w:highlight w:val="yellow"/>
        </w:rPr>
        <w:t>%</w:t>
      </w:r>
      <w:r>
        <w:rPr>
          <w:rFonts w:hint="eastAsia" w:ascii="仿宋_GB2312" w:eastAsia="仿宋_GB2312"/>
          <w:sz w:val="32"/>
          <w:szCs w:val="32"/>
          <w:highlight w:val="yellow"/>
        </w:rPr>
        <w:t>。</w:t>
      </w:r>
    </w:p>
    <w:p w14:paraId="65B53636">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14:paraId="20EA3A77">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highlight w:val="yellow"/>
        </w:rPr>
        <w:t>截至2023年</w:t>
      </w:r>
      <w:r>
        <w:rPr>
          <w:rFonts w:ascii="仿宋_GB2312" w:eastAsia="仿宋_GB2312"/>
          <w:sz w:val="32"/>
          <w:szCs w:val="32"/>
          <w:highlight w:val="yellow"/>
        </w:rPr>
        <w:t>12</w:t>
      </w:r>
      <w:r>
        <w:rPr>
          <w:rFonts w:hint="eastAsia" w:ascii="仿宋_GB2312" w:eastAsia="仿宋_GB2312"/>
          <w:sz w:val="32"/>
          <w:szCs w:val="32"/>
          <w:highlight w:val="yellow"/>
        </w:rPr>
        <w:t>月</w:t>
      </w:r>
      <w:r>
        <w:rPr>
          <w:rFonts w:ascii="仿宋_GB2312" w:eastAsia="仿宋_GB2312"/>
          <w:sz w:val="32"/>
          <w:szCs w:val="32"/>
          <w:highlight w:val="yellow"/>
        </w:rPr>
        <w:t>31</w:t>
      </w:r>
      <w:r>
        <w:rPr>
          <w:rFonts w:hint="eastAsia" w:ascii="仿宋_GB2312" w:eastAsia="仿宋_GB2312"/>
          <w:sz w:val="32"/>
          <w:szCs w:val="32"/>
          <w:highlight w:val="yellow"/>
        </w:rPr>
        <w:t>日，</w:t>
      </w:r>
      <w:r>
        <w:rPr>
          <w:rFonts w:hint="eastAsia" w:ascii="仿宋_GB2312" w:eastAsia="仿宋_GB2312"/>
          <w:b/>
          <w:sz w:val="32"/>
          <w:szCs w:val="32"/>
          <w:highlight w:val="yellow"/>
          <w:lang w:val="en-US" w:eastAsia="zh-CN"/>
        </w:rPr>
        <w:t>大竹县童家镇人民政府</w:t>
      </w:r>
      <w:r>
        <w:rPr>
          <w:rFonts w:hint="eastAsia" w:ascii="仿宋_GB2312" w:eastAsia="仿宋_GB2312"/>
          <w:sz w:val="32"/>
          <w:szCs w:val="32"/>
          <w:highlight w:val="yellow"/>
        </w:rPr>
        <w:t>共有车辆</w:t>
      </w:r>
      <w:r>
        <w:rPr>
          <w:rFonts w:hint="eastAsia" w:ascii="仿宋_GB2312" w:eastAsia="仿宋_GB2312"/>
          <w:b/>
          <w:sz w:val="32"/>
          <w:szCs w:val="32"/>
          <w:highlight w:val="yellow"/>
          <w:lang w:val="en-US" w:eastAsia="zh-CN"/>
        </w:rPr>
        <w:t>0</w:t>
      </w:r>
      <w:r>
        <w:rPr>
          <w:rFonts w:hint="eastAsia" w:ascii="仿宋_GB2312" w:eastAsia="仿宋_GB2312"/>
          <w:sz w:val="32"/>
          <w:szCs w:val="32"/>
          <w:highlight w:val="yellow"/>
        </w:rPr>
        <w:t>辆，其中：主要领导干部用车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辆、机要通信用车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辆、应急保障用车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辆、其他用车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辆。单价</w:t>
      </w:r>
      <w:r>
        <w:rPr>
          <w:rFonts w:ascii="仿宋_GB2312" w:eastAsia="仿宋_GB2312"/>
          <w:sz w:val="32"/>
          <w:szCs w:val="32"/>
          <w:highlight w:val="yellow"/>
        </w:rPr>
        <w:t>100</w:t>
      </w:r>
      <w:r>
        <w:rPr>
          <w:rFonts w:hint="eastAsia" w:ascii="仿宋_GB2312" w:eastAsia="仿宋_GB2312"/>
          <w:sz w:val="32"/>
          <w:szCs w:val="32"/>
          <w:highlight w:val="yellow"/>
        </w:rPr>
        <w:t>万元以上设备（不含车辆）</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台（套）。</w:t>
      </w:r>
    </w:p>
    <w:p w14:paraId="4668560F">
      <w:pPr>
        <w:autoSpaceDE w:val="0"/>
        <w:autoSpaceDN w:val="0"/>
        <w:adjustRightInd w:val="0"/>
        <w:spacing w:line="600" w:lineRule="exact"/>
        <w:ind w:firstLine="643" w:firstLineChars="200"/>
        <w:jc w:val="left"/>
        <w:rPr>
          <w:rFonts w:ascii="仿宋" w:hAnsi="仿宋" w:eastAsia="仿宋"/>
          <w:b/>
          <w:sz w:val="32"/>
          <w:szCs w:val="32"/>
        </w:rPr>
      </w:pPr>
    </w:p>
    <w:p w14:paraId="19C34F2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28607A5">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项目（项目名称）等</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个项目开展绩效监控。</w:t>
      </w:r>
    </w:p>
    <w:p w14:paraId="5698DC9C">
      <w:pPr>
        <w:spacing w:line="600" w:lineRule="exact"/>
        <w:ind w:firstLine="640" w:firstLineChars="200"/>
        <w:rPr>
          <w:rFonts w:ascii="仿宋_GB2312" w:eastAsia="仿宋_GB2312"/>
          <w:sz w:val="32"/>
          <w:szCs w:val="32"/>
        </w:rPr>
      </w:pPr>
      <w:r>
        <w:rPr>
          <w:rFonts w:hint="eastAsia" w:ascii="仿宋" w:hAnsi="仿宋" w:eastAsia="仿宋"/>
          <w:sz w:val="32"/>
          <w:szCs w:val="32"/>
        </w:rPr>
        <w:t>本部门按要求对202</w:t>
      </w:r>
      <w:r>
        <w:rPr>
          <w:rFonts w:hint="eastAsia" w:ascii="仿宋" w:hAnsi="仿宋" w:eastAsia="仿宋"/>
          <w:sz w:val="32"/>
          <w:szCs w:val="32"/>
          <w:lang w:val="en-US" w:eastAsia="zh-CN"/>
        </w:rPr>
        <w:t>3</w:t>
      </w:r>
      <w:r>
        <w:rPr>
          <w:rFonts w:hint="eastAsia" w:ascii="仿宋" w:hAnsi="仿宋" w:eastAsia="仿宋"/>
          <w:sz w:val="32"/>
          <w:szCs w:val="32"/>
        </w:rPr>
        <w:t>年部门整体支出开展绩效自评，从评价情况来看</w:t>
      </w:r>
      <w:r>
        <w:rPr>
          <w:rFonts w:hint="eastAsia" w:ascii="仿宋" w:hAnsi="仿宋" w:eastAsia="仿宋"/>
          <w:sz w:val="32"/>
          <w:szCs w:val="32"/>
          <w:lang w:eastAsia="zh-CN"/>
        </w:rPr>
        <w:t>童家</w:t>
      </w:r>
      <w:r>
        <w:rPr>
          <w:rFonts w:hint="eastAsia" w:ascii="仿宋" w:hAnsi="仿宋" w:eastAsia="仿宋"/>
          <w:sz w:val="32"/>
          <w:szCs w:val="32"/>
        </w:rPr>
        <w:t>镇人民政府部门预算编制质量提升明显。坚持以收定支、量入为出，有多少钱办多少事的原则，没有依据的莫须有的收入不能作为单位收入，严禁通过各种收支项目，虚列单位收支要求预算单位要按照优先保民生、保运转、保重点的原则编制预算，切实做到先人员、后公用、再项目，部门预算的科学性、合理性、使用性、可操作性有效提高。</w:t>
      </w:r>
      <w:r>
        <w:rPr>
          <w:rFonts w:hint="eastAsia" w:ascii="仿宋_GB2312" w:eastAsia="仿宋_GB2312"/>
          <w:sz w:val="32"/>
          <w:szCs w:val="32"/>
        </w:rPr>
        <w:t>绩效自评表详见第四部分附件。</w:t>
      </w:r>
    </w:p>
    <w:p w14:paraId="28C51995">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5397A7D">
      <w:pPr>
        <w:pStyle w:val="3"/>
        <w:numPr>
          <w:ilvl w:val="0"/>
          <w:numId w:val="4"/>
        </w:numPr>
        <w:bidi w:val="0"/>
      </w:pPr>
      <w:bookmarkStart w:id="68" w:name="_Toc15377225"/>
      <w:bookmarkStart w:id="69" w:name="_Toc149"/>
      <w:bookmarkStart w:id="70" w:name="_Toc15396613"/>
      <w:r>
        <w:rPr>
          <w:rFonts w:hint="eastAsia"/>
        </w:rPr>
        <w:t>名词解释</w:t>
      </w:r>
      <w:bookmarkEnd w:id="68"/>
      <w:bookmarkEnd w:id="69"/>
      <w:bookmarkEnd w:id="70"/>
    </w:p>
    <w:p w14:paraId="42B88BAB">
      <w:pPr>
        <w:spacing w:line="600" w:lineRule="exact"/>
        <w:jc w:val="left"/>
        <w:rPr>
          <w:rFonts w:ascii="宋体"/>
          <w:b/>
          <w:sz w:val="44"/>
          <w:szCs w:val="44"/>
        </w:rPr>
      </w:pPr>
    </w:p>
    <w:p w14:paraId="6537293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58812B9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3B7884E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134B103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030F8F9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4510FAB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723FB84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1C07EF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DBA5FE4">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9.一般公共服务（类）人大事务（款）</w:t>
      </w:r>
      <w:r>
        <w:rPr>
          <w:rFonts w:hint="default" w:eastAsia="仿宋_GB2312" w:cs="Times New Roman"/>
          <w:color w:val="auto"/>
          <w:sz w:val="32"/>
          <w:szCs w:val="32"/>
        </w:rPr>
        <w:t>其他人大事务支出</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：反映各级人大开展</w:t>
      </w:r>
      <w:r>
        <w:rPr>
          <w:rFonts w:hint="default" w:eastAsia="仿宋_GB2312" w:cs="Times New Roman"/>
          <w:color w:val="auto"/>
          <w:sz w:val="32"/>
          <w:szCs w:val="32"/>
          <w:lang w:eastAsia="zh-CN"/>
        </w:rPr>
        <w:t>其他</w:t>
      </w:r>
      <w:r>
        <w:rPr>
          <w:rFonts w:hint="default" w:ascii="Times New Roman" w:hAnsi="Times New Roman" w:eastAsia="仿宋_GB2312" w:cs="Times New Roman"/>
          <w:color w:val="auto"/>
          <w:sz w:val="32"/>
          <w:szCs w:val="32"/>
          <w:lang w:eastAsia="zh-CN"/>
        </w:rPr>
        <w:t>工作的支出。</w:t>
      </w:r>
    </w:p>
    <w:p w14:paraId="3475CFEF">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一般公共服务（类）政府办公厅（室）及相关机构事务（款）行政运行（项）:指机关正常运转的基本支出，包括基本工资、津贴补贴等人员经费以及办公费、印刷费、水电费等日常公用经费。</w:t>
      </w:r>
    </w:p>
    <w:p w14:paraId="32C587A4">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.一般公共服务（类）政府办公厅（室）及相关机构事务（款）一般行政管理事务（项）:指行政单位（包括实行公务员管理的事业单位）未单独设置项级科目的其他项目支出。</w:t>
      </w:r>
    </w:p>
    <w:p w14:paraId="0D2FC277">
      <w:pPr>
        <w:pageBreakBefore w:val="0"/>
        <w:kinsoku/>
        <w:overflowPunct/>
        <w:topLinePunct w:val="0"/>
        <w:bidi w:val="0"/>
        <w:spacing w:line="578" w:lineRule="exact"/>
        <w:ind w:firstLine="641"/>
        <w:textAlignment w:val="auto"/>
        <w:rPr>
          <w:rFonts w:hint="default"/>
        </w:rPr>
      </w:pPr>
      <w:r>
        <w:rPr>
          <w:rFonts w:hint="default" w:eastAsia="仿宋_GB2312" w:cs="Times New Roman"/>
          <w:color w:val="auto"/>
          <w:sz w:val="32"/>
          <w:szCs w:val="32"/>
        </w:rPr>
        <w:t>12.</w:t>
      </w:r>
      <w:r>
        <w:rPr>
          <w:rFonts w:hint="default" w:ascii="Times New Roman" w:hAnsi="Times New Roman" w:eastAsia="仿宋_GB2312" w:cs="Times New Roman"/>
          <w:color w:val="auto"/>
          <w:sz w:val="32"/>
          <w:szCs w:val="32"/>
        </w:rPr>
        <w:t>一般公共服务（类）政府办公厅（室）及相关机构事务（款）</w:t>
      </w:r>
      <w:r>
        <w:rPr>
          <w:rFonts w:hint="default" w:eastAsia="仿宋_GB2312" w:cs="Times New Roman"/>
          <w:color w:val="auto"/>
          <w:sz w:val="32"/>
          <w:szCs w:val="32"/>
        </w:rPr>
        <w:t>信访事务</w:t>
      </w:r>
      <w:r>
        <w:rPr>
          <w:rFonts w:hint="default" w:ascii="Times New Roman" w:hAnsi="Times New Roman" w:eastAsia="仿宋_GB2312" w:cs="Times New Roman"/>
          <w:color w:val="auto"/>
          <w:sz w:val="32"/>
          <w:szCs w:val="32"/>
        </w:rPr>
        <w:t xml:space="preserve">（项）: </w:t>
      </w:r>
      <w:r>
        <w:rPr>
          <w:rFonts w:hint="default" w:eastAsia="仿宋_GB2312" w:cs="Times New Roman"/>
          <w:color w:val="auto"/>
          <w:sz w:val="32"/>
          <w:szCs w:val="32"/>
        </w:rPr>
        <w:t>指</w:t>
      </w:r>
      <w:r>
        <w:rPr>
          <w:rFonts w:hint="default" w:ascii="Times New Roman" w:hAnsi="Times New Roman" w:eastAsia="仿宋_GB2312" w:cs="Times New Roman"/>
          <w:color w:val="auto"/>
          <w:sz w:val="32"/>
          <w:szCs w:val="32"/>
        </w:rPr>
        <w:t>反映</w:t>
      </w:r>
      <w:r>
        <w:rPr>
          <w:rFonts w:hint="default" w:eastAsia="仿宋_GB2312" w:cs="Times New Roman"/>
          <w:color w:val="auto"/>
          <w:sz w:val="32"/>
          <w:szCs w:val="32"/>
        </w:rPr>
        <w:t>机关开展信访工作的</w:t>
      </w:r>
      <w:r>
        <w:rPr>
          <w:rFonts w:hint="default" w:ascii="Times New Roman" w:hAnsi="Times New Roman" w:eastAsia="仿宋_GB2312" w:cs="Times New Roman"/>
          <w:color w:val="auto"/>
          <w:sz w:val="32"/>
          <w:szCs w:val="32"/>
        </w:rPr>
        <w:t>支出。</w:t>
      </w:r>
    </w:p>
    <w:p w14:paraId="24DDFBD0">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eastAsia="仿宋_GB2312" w:cs="Times New Roman"/>
          <w:color w:val="auto"/>
          <w:sz w:val="32"/>
          <w:szCs w:val="32"/>
        </w:rPr>
        <w:t>3</w:t>
      </w:r>
      <w:r>
        <w:rPr>
          <w:rFonts w:hint="default" w:ascii="Times New Roman" w:hAnsi="Times New Roman" w:eastAsia="仿宋_GB2312" w:cs="Times New Roman"/>
          <w:color w:val="auto"/>
          <w:sz w:val="32"/>
          <w:szCs w:val="32"/>
        </w:rPr>
        <w:t xml:space="preserve">.一般公共服务（类）政府办公厅（室）及相关机构事务（款）其他政府办公厅（室）及相关机构事务支出（项）: </w:t>
      </w:r>
      <w:r>
        <w:rPr>
          <w:rFonts w:hint="default" w:eastAsia="仿宋_GB2312" w:cs="Times New Roman"/>
          <w:color w:val="auto"/>
          <w:sz w:val="32"/>
          <w:szCs w:val="32"/>
        </w:rPr>
        <w:t>指</w:t>
      </w:r>
      <w:r>
        <w:rPr>
          <w:rFonts w:hint="default" w:ascii="Times New Roman" w:hAnsi="Times New Roman" w:eastAsia="仿宋_GB2312" w:cs="Times New Roman"/>
          <w:color w:val="auto"/>
          <w:sz w:val="32"/>
          <w:szCs w:val="32"/>
        </w:rPr>
        <w:t>反映除上述项目以外的其他政府办公厅（室）及相关机构事务支出。</w:t>
      </w:r>
    </w:p>
    <w:p w14:paraId="424E222A">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eastAsia="仿宋_GB2312" w:cs="Times New Roman"/>
          <w:color w:val="auto"/>
          <w:sz w:val="32"/>
          <w:szCs w:val="32"/>
        </w:rPr>
        <w:t>4</w:t>
      </w:r>
      <w:r>
        <w:rPr>
          <w:rFonts w:hint="default" w:ascii="Times New Roman" w:hAnsi="Times New Roman" w:eastAsia="仿宋_GB2312" w:cs="Times New Roman"/>
          <w:color w:val="auto"/>
          <w:sz w:val="32"/>
          <w:szCs w:val="32"/>
        </w:rPr>
        <w:t>.一般公共服务（类）</w:t>
      </w:r>
      <w:r>
        <w:rPr>
          <w:rFonts w:hint="default" w:ascii="Times New Roman" w:hAnsi="Times New Roman" w:eastAsia="仿宋_GB2312" w:cs="Times New Roman"/>
          <w:color w:val="auto"/>
          <w:sz w:val="32"/>
          <w:szCs w:val="32"/>
          <w:lang w:eastAsia="zh-CN"/>
        </w:rPr>
        <w:t>纪检监察事务</w:t>
      </w:r>
      <w:r>
        <w:rPr>
          <w:rFonts w:hint="default" w:ascii="Times New Roman" w:hAnsi="Times New Roman" w:eastAsia="仿宋_GB2312" w:cs="Times New Roman"/>
          <w:color w:val="auto"/>
          <w:sz w:val="32"/>
          <w:szCs w:val="32"/>
        </w:rPr>
        <w:t>（款）</w:t>
      </w:r>
      <w:r>
        <w:rPr>
          <w:rFonts w:hint="default" w:eastAsia="仿宋_GB2312" w:cs="Times New Roman"/>
          <w:color w:val="auto"/>
          <w:sz w:val="32"/>
          <w:szCs w:val="32"/>
          <w:lang w:eastAsia="zh-CN"/>
        </w:rPr>
        <w:t>其他纪检监察事务支出</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val="en-US" w:eastAsia="zh-CN"/>
        </w:rPr>
        <w:t xml:space="preserve"> </w:t>
      </w:r>
      <w:r>
        <w:rPr>
          <w:rFonts w:hint="default" w:eastAsia="仿宋_GB2312" w:cs="Times New Roman"/>
          <w:color w:val="auto"/>
          <w:sz w:val="32"/>
          <w:szCs w:val="32"/>
          <w:lang w:eastAsia="zh-CN"/>
        </w:rPr>
        <w:t>指</w:t>
      </w:r>
      <w:r>
        <w:rPr>
          <w:rFonts w:hint="default" w:ascii="Times New Roman" w:hAnsi="Times New Roman" w:eastAsia="仿宋_GB2312" w:cs="Times New Roman"/>
          <w:color w:val="auto"/>
          <w:sz w:val="32"/>
          <w:szCs w:val="32"/>
          <w:lang w:val="en-US" w:eastAsia="zh-CN"/>
        </w:rPr>
        <w:t>反映行政单位（包括实行公务员管理的事业单位）的</w:t>
      </w:r>
      <w:r>
        <w:rPr>
          <w:rFonts w:hint="default" w:eastAsia="仿宋_GB2312" w:cs="Times New Roman"/>
          <w:color w:val="auto"/>
          <w:sz w:val="32"/>
          <w:szCs w:val="32"/>
          <w:lang w:eastAsia="zh-CN"/>
        </w:rPr>
        <w:t>各项</w:t>
      </w:r>
      <w:r>
        <w:rPr>
          <w:rFonts w:hint="default" w:ascii="Times New Roman" w:hAnsi="Times New Roman" w:eastAsia="仿宋_GB2312" w:cs="Times New Roman"/>
          <w:color w:val="auto"/>
          <w:sz w:val="32"/>
          <w:szCs w:val="32"/>
        </w:rPr>
        <w:t xml:space="preserve">支出。 </w:t>
      </w:r>
    </w:p>
    <w:p w14:paraId="22513C53">
      <w:pPr>
        <w:pageBreakBefore w:val="0"/>
        <w:kinsoku/>
        <w:overflowPunct/>
        <w:topLinePunct w:val="0"/>
        <w:bidi w:val="0"/>
        <w:spacing w:line="578" w:lineRule="exact"/>
        <w:ind w:firstLine="641"/>
        <w:textAlignment w:val="auto"/>
        <w:rPr>
          <w:rFonts w:hint="default"/>
        </w:rPr>
      </w:pPr>
      <w:r>
        <w:rPr>
          <w:rFonts w:hint="default" w:ascii="Times New Roman" w:hAnsi="Times New Roman" w:eastAsia="仿宋_GB2312" w:cs="Times New Roman"/>
          <w:color w:val="auto"/>
          <w:sz w:val="32"/>
          <w:szCs w:val="32"/>
        </w:rPr>
        <w:t>1</w:t>
      </w:r>
      <w:r>
        <w:rPr>
          <w:rFonts w:hint="default" w:eastAsia="仿宋_GB2312" w:cs="Times New Roman"/>
          <w:color w:val="auto"/>
          <w:sz w:val="32"/>
          <w:szCs w:val="32"/>
        </w:rPr>
        <w:t>5</w:t>
      </w:r>
      <w:r>
        <w:rPr>
          <w:rFonts w:hint="default" w:ascii="Times New Roman" w:hAnsi="Times New Roman" w:eastAsia="仿宋_GB2312" w:cs="Times New Roman"/>
          <w:color w:val="auto"/>
          <w:sz w:val="32"/>
          <w:szCs w:val="32"/>
        </w:rPr>
        <w:t>.一般公共服务（类）</w:t>
      </w:r>
      <w:r>
        <w:rPr>
          <w:rFonts w:hint="default" w:eastAsia="仿宋_GB2312" w:cs="Times New Roman"/>
          <w:color w:val="auto"/>
          <w:sz w:val="32"/>
          <w:szCs w:val="32"/>
          <w:lang w:eastAsia="zh-CN"/>
        </w:rPr>
        <w:t>群众团体事务</w:t>
      </w:r>
      <w:r>
        <w:rPr>
          <w:rFonts w:hint="default" w:ascii="Times New Roman" w:hAnsi="Times New Roman" w:eastAsia="仿宋_GB2312" w:cs="Times New Roman"/>
          <w:color w:val="auto"/>
          <w:sz w:val="32"/>
          <w:szCs w:val="32"/>
        </w:rPr>
        <w:t>（款）</w:t>
      </w:r>
      <w:r>
        <w:rPr>
          <w:rFonts w:hint="eastAsia" w:eastAsia="仿宋_GB2312" w:cs="Times New Roman"/>
          <w:color w:val="auto"/>
          <w:sz w:val="32"/>
          <w:szCs w:val="32"/>
          <w:lang w:eastAsia="zh-CN"/>
        </w:rPr>
        <w:t>其他</w:t>
      </w:r>
      <w:r>
        <w:rPr>
          <w:rFonts w:hint="default" w:eastAsia="仿宋_GB2312" w:cs="Times New Roman"/>
          <w:color w:val="auto"/>
          <w:sz w:val="32"/>
          <w:szCs w:val="32"/>
          <w:lang w:eastAsia="zh-CN"/>
        </w:rPr>
        <w:t>群众团体</w:t>
      </w:r>
      <w:r>
        <w:rPr>
          <w:rFonts w:hint="eastAsia" w:eastAsia="仿宋_GB2312" w:cs="Times New Roman"/>
          <w:color w:val="auto"/>
          <w:sz w:val="32"/>
          <w:szCs w:val="32"/>
          <w:lang w:eastAsia="zh-CN"/>
        </w:rPr>
        <w:t>事务支出</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val="en-US" w:eastAsia="zh-CN"/>
        </w:rPr>
        <w:t xml:space="preserve"> </w:t>
      </w:r>
      <w:r>
        <w:rPr>
          <w:rFonts w:hint="default" w:eastAsia="仿宋_GB2312" w:cs="Times New Roman"/>
          <w:color w:val="auto"/>
          <w:sz w:val="32"/>
          <w:szCs w:val="32"/>
          <w:lang w:eastAsia="zh-CN"/>
        </w:rPr>
        <w:t>指</w:t>
      </w:r>
      <w:r>
        <w:rPr>
          <w:rFonts w:hint="default" w:ascii="Times New Roman" w:hAnsi="Times New Roman" w:eastAsia="仿宋_GB2312" w:cs="Times New Roman"/>
          <w:color w:val="auto"/>
          <w:sz w:val="32"/>
          <w:szCs w:val="32"/>
          <w:lang w:val="en-US" w:eastAsia="zh-CN"/>
        </w:rPr>
        <w:t>反映行政单位</w:t>
      </w:r>
      <w:r>
        <w:rPr>
          <w:rFonts w:hint="default" w:eastAsia="仿宋_GB2312" w:cs="Times New Roman"/>
          <w:color w:val="auto"/>
          <w:sz w:val="32"/>
          <w:szCs w:val="32"/>
          <w:lang w:eastAsia="zh-CN"/>
        </w:rPr>
        <w:t>处理群众团体事务</w:t>
      </w:r>
      <w:r>
        <w:rPr>
          <w:rFonts w:hint="default" w:ascii="Times New Roman" w:hAnsi="Times New Roman" w:eastAsia="仿宋_GB2312" w:cs="Times New Roman"/>
          <w:color w:val="auto"/>
          <w:sz w:val="32"/>
          <w:szCs w:val="32"/>
          <w:lang w:val="en-US" w:eastAsia="zh-CN"/>
        </w:rPr>
        <w:t>的</w:t>
      </w:r>
      <w:r>
        <w:rPr>
          <w:rFonts w:hint="eastAsia" w:eastAsia="仿宋_GB2312" w:cs="Times New Roman"/>
          <w:color w:val="auto"/>
          <w:sz w:val="32"/>
          <w:szCs w:val="32"/>
          <w:lang w:val="en-US" w:eastAsia="zh-CN"/>
        </w:rPr>
        <w:t>各项</w:t>
      </w:r>
      <w:r>
        <w:rPr>
          <w:rFonts w:hint="default" w:ascii="Times New Roman" w:hAnsi="Times New Roman" w:eastAsia="仿宋_GB2312" w:cs="Times New Roman"/>
          <w:color w:val="auto"/>
          <w:sz w:val="32"/>
          <w:szCs w:val="32"/>
        </w:rPr>
        <w:t>支出。</w:t>
      </w:r>
    </w:p>
    <w:p w14:paraId="69D9F4C0">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eastAsia="仿宋_GB2312" w:cs="Times New Roman"/>
          <w:color w:val="auto"/>
          <w:sz w:val="32"/>
          <w:szCs w:val="32"/>
        </w:rPr>
        <w:t>6</w:t>
      </w:r>
      <w:r>
        <w:rPr>
          <w:rFonts w:hint="default" w:ascii="Times New Roman" w:hAnsi="Times New Roman" w:eastAsia="仿宋_GB2312" w:cs="Times New Roman"/>
          <w:color w:val="auto"/>
          <w:sz w:val="32"/>
          <w:szCs w:val="32"/>
        </w:rPr>
        <w:t>.一般公共服务（类）组织事务（款）其他组织事务支出（项）:指反映除上述项目以外其他用于中国共产党组织部门的事务支出。</w:t>
      </w:r>
    </w:p>
    <w:p w14:paraId="63D477FE">
      <w:pPr>
        <w:pageBreakBefore w:val="0"/>
        <w:kinsoku/>
        <w:overflowPunct/>
        <w:topLinePunct w:val="0"/>
        <w:bidi w:val="0"/>
        <w:spacing w:line="578" w:lineRule="exact"/>
        <w:ind w:firstLine="641"/>
        <w:textAlignment w:val="auto"/>
        <w:rPr>
          <w:rFonts w:hint="default"/>
        </w:rPr>
      </w:pPr>
      <w:r>
        <w:rPr>
          <w:rFonts w:hint="default" w:ascii="Times New Roman" w:hAnsi="Times New Roman" w:eastAsia="仿宋_GB2312" w:cs="Times New Roman"/>
          <w:color w:val="auto"/>
          <w:sz w:val="32"/>
          <w:szCs w:val="32"/>
        </w:rPr>
        <w:t>1</w:t>
      </w:r>
      <w:r>
        <w:rPr>
          <w:rFonts w:hint="default" w:eastAsia="仿宋_GB2312" w:cs="Times New Roman"/>
          <w:color w:val="auto"/>
          <w:sz w:val="32"/>
          <w:szCs w:val="32"/>
        </w:rPr>
        <w:t>7</w:t>
      </w:r>
      <w:r>
        <w:rPr>
          <w:rFonts w:hint="default" w:ascii="Times New Roman" w:hAnsi="Times New Roman" w:eastAsia="仿宋_GB2312" w:cs="Times New Roman"/>
          <w:color w:val="auto"/>
          <w:sz w:val="32"/>
          <w:szCs w:val="32"/>
        </w:rPr>
        <w:t>.</w:t>
      </w:r>
      <w:r>
        <w:rPr>
          <w:rFonts w:hint="default" w:eastAsia="仿宋_GB2312" w:cs="Times New Roman"/>
          <w:color w:val="auto"/>
          <w:sz w:val="32"/>
          <w:szCs w:val="32"/>
        </w:rPr>
        <w:t>公共安全支出</w:t>
      </w:r>
      <w:r>
        <w:rPr>
          <w:rFonts w:hint="default" w:ascii="Times New Roman" w:hAnsi="Times New Roman" w:eastAsia="仿宋_GB2312" w:cs="Times New Roman"/>
          <w:color w:val="auto"/>
          <w:sz w:val="32"/>
          <w:szCs w:val="32"/>
        </w:rPr>
        <w:t>（类）</w:t>
      </w:r>
      <w:r>
        <w:rPr>
          <w:rFonts w:hint="default" w:eastAsia="仿宋_GB2312" w:cs="Times New Roman"/>
          <w:color w:val="auto"/>
          <w:sz w:val="32"/>
          <w:szCs w:val="32"/>
        </w:rPr>
        <w:t>公安</w:t>
      </w:r>
      <w:r>
        <w:rPr>
          <w:rFonts w:hint="default" w:ascii="Times New Roman" w:hAnsi="Times New Roman" w:eastAsia="仿宋_GB2312" w:cs="Times New Roman"/>
          <w:color w:val="auto"/>
          <w:sz w:val="32"/>
          <w:szCs w:val="32"/>
        </w:rPr>
        <w:t>（款）</w:t>
      </w:r>
      <w:r>
        <w:rPr>
          <w:rFonts w:hint="default" w:eastAsia="仿宋_GB2312" w:cs="Times New Roman"/>
          <w:color w:val="auto"/>
          <w:sz w:val="32"/>
          <w:szCs w:val="32"/>
        </w:rPr>
        <w:t>其他公安支出</w:t>
      </w:r>
      <w:r>
        <w:rPr>
          <w:rFonts w:hint="default" w:ascii="Times New Roman" w:hAnsi="Times New Roman" w:eastAsia="仿宋_GB2312" w:cs="Times New Roman"/>
          <w:color w:val="auto"/>
          <w:sz w:val="32"/>
          <w:szCs w:val="32"/>
        </w:rPr>
        <w:t>（项）:指反映</w:t>
      </w:r>
      <w:r>
        <w:rPr>
          <w:rFonts w:hint="default" w:eastAsia="仿宋_GB2312" w:cs="Times New Roman"/>
          <w:color w:val="auto"/>
          <w:sz w:val="32"/>
          <w:szCs w:val="32"/>
        </w:rPr>
        <w:t>机关用于公共安全的</w:t>
      </w:r>
      <w:r>
        <w:rPr>
          <w:rFonts w:hint="default" w:ascii="Times New Roman" w:hAnsi="Times New Roman" w:eastAsia="仿宋_GB2312" w:cs="Times New Roman"/>
          <w:color w:val="auto"/>
          <w:sz w:val="32"/>
          <w:szCs w:val="32"/>
        </w:rPr>
        <w:t>支出。</w:t>
      </w:r>
    </w:p>
    <w:p w14:paraId="56419849">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.文化</w:t>
      </w:r>
      <w:r>
        <w:rPr>
          <w:rFonts w:hint="default" w:ascii="Times New Roman" w:hAnsi="Times New Roman" w:eastAsia="仿宋_GB2312" w:cs="Times New Roman"/>
          <w:color w:val="auto"/>
          <w:sz w:val="32"/>
          <w:szCs w:val="32"/>
          <w:lang w:eastAsia="zh-CN"/>
        </w:rPr>
        <w:t>旅游</w:t>
      </w:r>
      <w:r>
        <w:rPr>
          <w:rFonts w:hint="default" w:ascii="Times New Roman" w:hAnsi="Times New Roman" w:eastAsia="仿宋_GB2312" w:cs="Times New Roman"/>
          <w:color w:val="auto"/>
          <w:sz w:val="32"/>
          <w:szCs w:val="32"/>
        </w:rPr>
        <w:t>体育与传媒（类）文化</w:t>
      </w:r>
      <w:r>
        <w:rPr>
          <w:rFonts w:hint="default" w:ascii="Times New Roman" w:hAnsi="Times New Roman" w:eastAsia="仿宋_GB2312" w:cs="Times New Roman"/>
          <w:color w:val="auto"/>
          <w:sz w:val="32"/>
          <w:szCs w:val="32"/>
          <w:lang w:eastAsia="zh-CN"/>
        </w:rPr>
        <w:t>和旅游</w:t>
      </w:r>
      <w:r>
        <w:rPr>
          <w:rFonts w:hint="default" w:ascii="Times New Roman" w:hAnsi="Times New Roman" w:eastAsia="仿宋_GB2312" w:cs="Times New Roman"/>
          <w:color w:val="auto"/>
          <w:sz w:val="32"/>
          <w:szCs w:val="32"/>
        </w:rPr>
        <w:t>（款）</w:t>
      </w:r>
      <w:r>
        <w:rPr>
          <w:rFonts w:hint="default" w:eastAsia="仿宋_GB2312" w:cs="Times New Roman"/>
          <w:color w:val="auto"/>
          <w:sz w:val="32"/>
          <w:szCs w:val="32"/>
          <w:lang w:eastAsia="zh-CN"/>
        </w:rPr>
        <w:t>其他</w:t>
      </w:r>
      <w:r>
        <w:rPr>
          <w:rFonts w:hint="default" w:ascii="Times New Roman" w:hAnsi="Times New Roman" w:eastAsia="仿宋_GB2312" w:cs="Times New Roman"/>
          <w:color w:val="auto"/>
          <w:sz w:val="32"/>
          <w:szCs w:val="32"/>
          <w:lang w:eastAsia="zh-CN"/>
        </w:rPr>
        <w:t>文化</w:t>
      </w:r>
      <w:r>
        <w:rPr>
          <w:rFonts w:hint="default" w:eastAsia="仿宋_GB2312" w:cs="Times New Roman"/>
          <w:color w:val="auto"/>
          <w:sz w:val="32"/>
          <w:szCs w:val="32"/>
          <w:lang w:eastAsia="zh-CN"/>
        </w:rPr>
        <w:t>和旅游支出</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用于文化</w:t>
      </w:r>
      <w:r>
        <w:rPr>
          <w:rFonts w:hint="default" w:eastAsia="仿宋_GB2312" w:cs="Times New Roman"/>
          <w:color w:val="auto"/>
          <w:sz w:val="32"/>
          <w:szCs w:val="32"/>
        </w:rPr>
        <w:t>各</w:t>
      </w:r>
      <w:r>
        <w:rPr>
          <w:rFonts w:hint="default" w:ascii="Times New Roman" w:hAnsi="Times New Roman" w:eastAsia="仿宋_GB2312" w:cs="Times New Roman"/>
          <w:color w:val="auto"/>
          <w:sz w:val="32"/>
          <w:szCs w:val="32"/>
        </w:rPr>
        <w:t>方面的支出</w:t>
      </w:r>
      <w:r>
        <w:rPr>
          <w:rFonts w:hint="default" w:ascii="Times New Roman" w:hAnsi="Times New Roman" w:eastAsia="仿宋_GB2312" w:cs="Times New Roman"/>
          <w:color w:val="auto"/>
          <w:sz w:val="32"/>
          <w:szCs w:val="32"/>
          <w:lang w:eastAsia="zh-CN"/>
        </w:rPr>
        <w:t>。</w:t>
      </w:r>
    </w:p>
    <w:p w14:paraId="38AB9E6C">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文化</w:t>
      </w:r>
      <w:r>
        <w:rPr>
          <w:rFonts w:hint="default" w:eastAsia="仿宋_GB2312" w:cs="Times New Roman"/>
          <w:color w:val="auto"/>
          <w:sz w:val="32"/>
          <w:szCs w:val="32"/>
        </w:rPr>
        <w:t>旅游</w:t>
      </w:r>
      <w:r>
        <w:rPr>
          <w:rFonts w:hint="default" w:ascii="Times New Roman" w:hAnsi="Times New Roman" w:eastAsia="仿宋_GB2312" w:cs="Times New Roman"/>
          <w:color w:val="auto"/>
          <w:sz w:val="32"/>
          <w:szCs w:val="32"/>
        </w:rPr>
        <w:t>体育与传媒（类）其他文化</w:t>
      </w:r>
      <w:r>
        <w:rPr>
          <w:rFonts w:hint="default" w:eastAsia="仿宋_GB2312" w:cs="Times New Roman"/>
          <w:color w:val="auto"/>
          <w:sz w:val="32"/>
          <w:szCs w:val="32"/>
        </w:rPr>
        <w:t>旅游</w:t>
      </w:r>
      <w:r>
        <w:rPr>
          <w:rFonts w:hint="default" w:ascii="Times New Roman" w:hAnsi="Times New Roman" w:eastAsia="仿宋_GB2312" w:cs="Times New Roman"/>
          <w:color w:val="auto"/>
          <w:sz w:val="32"/>
          <w:szCs w:val="32"/>
        </w:rPr>
        <w:t>体育与传媒（款）其他文化</w:t>
      </w:r>
      <w:r>
        <w:rPr>
          <w:rFonts w:hint="default" w:eastAsia="仿宋_GB2312" w:cs="Times New Roman"/>
          <w:color w:val="auto"/>
          <w:sz w:val="32"/>
          <w:szCs w:val="32"/>
        </w:rPr>
        <w:t>旅游</w:t>
      </w:r>
      <w:r>
        <w:rPr>
          <w:rFonts w:hint="default" w:ascii="Times New Roman" w:hAnsi="Times New Roman" w:eastAsia="仿宋_GB2312" w:cs="Times New Roman"/>
          <w:color w:val="auto"/>
          <w:sz w:val="32"/>
          <w:szCs w:val="32"/>
        </w:rPr>
        <w:t>体育与传媒支出（项）:指反映除上述项目以外其他文化</w:t>
      </w:r>
      <w:r>
        <w:rPr>
          <w:rFonts w:hint="default" w:ascii="Times New Roman" w:hAnsi="Times New Roman" w:eastAsia="仿宋_GB2312" w:cs="Times New Roman"/>
          <w:color w:val="auto"/>
          <w:sz w:val="32"/>
          <w:szCs w:val="32"/>
          <w:lang w:eastAsia="zh-CN"/>
        </w:rPr>
        <w:t>旅游</w:t>
      </w:r>
      <w:r>
        <w:rPr>
          <w:rFonts w:hint="default" w:ascii="Times New Roman" w:hAnsi="Times New Roman" w:eastAsia="仿宋_GB2312" w:cs="Times New Roman"/>
          <w:color w:val="auto"/>
          <w:sz w:val="32"/>
          <w:szCs w:val="32"/>
        </w:rPr>
        <w:t>体育与传媒方面的支出。</w:t>
      </w:r>
    </w:p>
    <w:p w14:paraId="7C9A072D">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.社会保障和就业支出（类）行政事业单位</w:t>
      </w:r>
      <w:r>
        <w:rPr>
          <w:rFonts w:hint="eastAsia" w:eastAsia="仿宋_GB2312" w:cs="Times New Roman"/>
          <w:color w:val="auto"/>
          <w:sz w:val="32"/>
          <w:szCs w:val="32"/>
          <w:lang w:eastAsia="zh-CN"/>
        </w:rPr>
        <w:t>养老支出</w:t>
      </w:r>
      <w:r>
        <w:rPr>
          <w:rFonts w:hint="default" w:ascii="Times New Roman" w:hAnsi="Times New Roman" w:eastAsia="仿宋_GB2312" w:cs="Times New Roman"/>
          <w:color w:val="auto"/>
          <w:sz w:val="32"/>
          <w:szCs w:val="32"/>
        </w:rPr>
        <w:t>（款）行政单位离退休（项）:指反映用于行政事业单位离退休方面的支出。</w:t>
      </w:r>
    </w:p>
    <w:p w14:paraId="224A1252">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.社会保障和就业支出（类）行政事业单位</w:t>
      </w:r>
      <w:r>
        <w:rPr>
          <w:rFonts w:hint="eastAsia" w:eastAsia="仿宋_GB2312" w:cs="Times New Roman"/>
          <w:color w:val="auto"/>
          <w:sz w:val="32"/>
          <w:szCs w:val="32"/>
          <w:lang w:eastAsia="zh-CN"/>
        </w:rPr>
        <w:t>养老支出</w:t>
      </w:r>
      <w:r>
        <w:rPr>
          <w:rFonts w:hint="default" w:ascii="Times New Roman" w:hAnsi="Times New Roman" w:eastAsia="仿宋_GB2312" w:cs="Times New Roman"/>
          <w:color w:val="auto"/>
          <w:sz w:val="32"/>
          <w:szCs w:val="32"/>
        </w:rPr>
        <w:t>（款）机关事业单位基本养老保险缴费支出（项）:指反映机关事业单位实施养老保险制度由单位缴纳的基本养老保险费支出。</w:t>
      </w:r>
    </w:p>
    <w:p w14:paraId="6DC4FD84">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社会保障和就业支出（类）行政事业单位</w:t>
      </w:r>
      <w:r>
        <w:rPr>
          <w:rFonts w:hint="eastAsia" w:eastAsia="仿宋_GB2312" w:cs="Times New Roman"/>
          <w:color w:val="auto"/>
          <w:sz w:val="32"/>
          <w:szCs w:val="32"/>
          <w:lang w:eastAsia="zh-CN"/>
        </w:rPr>
        <w:t>养老支出</w:t>
      </w:r>
      <w:r>
        <w:rPr>
          <w:rFonts w:hint="default" w:ascii="Times New Roman" w:hAnsi="Times New Roman" w:eastAsia="仿宋_GB2312" w:cs="Times New Roman"/>
          <w:color w:val="auto"/>
          <w:sz w:val="32"/>
          <w:szCs w:val="32"/>
        </w:rPr>
        <w:t>（款）机关事业单位</w:t>
      </w:r>
      <w:r>
        <w:rPr>
          <w:rFonts w:hint="eastAsia" w:eastAsia="仿宋_GB2312" w:cs="Times New Roman"/>
          <w:color w:val="auto"/>
          <w:sz w:val="32"/>
          <w:szCs w:val="32"/>
          <w:lang w:eastAsia="zh-CN"/>
        </w:rPr>
        <w:t>职业年金</w:t>
      </w:r>
      <w:r>
        <w:rPr>
          <w:rFonts w:hint="default" w:ascii="Times New Roman" w:hAnsi="Times New Roman" w:eastAsia="仿宋_GB2312" w:cs="Times New Roman"/>
          <w:color w:val="auto"/>
          <w:sz w:val="32"/>
          <w:szCs w:val="32"/>
        </w:rPr>
        <w:t>缴费（项）:指反映机关事业单位缴纳的</w:t>
      </w:r>
      <w:r>
        <w:rPr>
          <w:rFonts w:hint="eastAsia" w:eastAsia="仿宋_GB2312" w:cs="Times New Roman"/>
          <w:color w:val="auto"/>
          <w:sz w:val="32"/>
          <w:szCs w:val="32"/>
          <w:lang w:eastAsia="zh-CN"/>
        </w:rPr>
        <w:t>职业年金缴费</w:t>
      </w:r>
      <w:r>
        <w:rPr>
          <w:rFonts w:hint="default" w:ascii="Times New Roman" w:hAnsi="Times New Roman" w:eastAsia="仿宋_GB2312" w:cs="Times New Roman"/>
          <w:color w:val="auto"/>
          <w:sz w:val="32"/>
          <w:szCs w:val="32"/>
        </w:rPr>
        <w:t>支出。</w:t>
      </w:r>
    </w:p>
    <w:p w14:paraId="59BABC67">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.社会保障和就业支出（类）就业补助（款）公益性岗位补贴（项）:指反映财政对符合条件的就业困难人员在公益性岗位就业给予的岗位补贴支出。</w:t>
      </w:r>
    </w:p>
    <w:p w14:paraId="21BC17AC">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.社会保障和就业支出（类）抚恤（款）死亡抚恤（项）:指反映用于烈士和牺牲、病故人员家属的一次性和定期优恤金以及丧葬补助费。</w:t>
      </w:r>
    </w:p>
    <w:p w14:paraId="764DD668">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社会保障和就业支出（类）其他社会保障和就业支出（款）其他社会保障和就业支出（项）:指反映除上述项目以外其他用于社会保障和就业方面的支出。</w:t>
      </w:r>
    </w:p>
    <w:p w14:paraId="02ADFBDE">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行政事业单位医疗</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行政单位医疗</w:t>
      </w:r>
      <w:r>
        <w:rPr>
          <w:rFonts w:hint="default" w:ascii="Times New Roman" w:hAnsi="Times New Roman" w:eastAsia="仿宋_GB2312" w:cs="Times New Roman"/>
          <w:color w:val="auto"/>
          <w:sz w:val="32"/>
          <w:szCs w:val="32"/>
        </w:rPr>
        <w:t>（项）:指反映</w:t>
      </w:r>
      <w:r>
        <w:rPr>
          <w:rFonts w:hint="default" w:ascii="Times New Roman" w:hAnsi="Times New Roman" w:eastAsia="仿宋_GB2312" w:cs="Times New Roman"/>
          <w:color w:val="auto"/>
          <w:sz w:val="32"/>
          <w:szCs w:val="32"/>
          <w:lang w:eastAsia="zh-CN"/>
        </w:rPr>
        <w:t>财政部门集中安排的行政单位基本医疗保险缴费经费，未参加医疗保险的行政单位的公费医疗经费，按国家规定享受离退休人</w:t>
      </w:r>
      <w:r>
        <w:rPr>
          <w:rFonts w:hint="eastAsia" w:eastAsia="仿宋_GB2312" w:cs="Times New Roman"/>
          <w:color w:val="auto"/>
          <w:sz w:val="32"/>
          <w:szCs w:val="32"/>
          <w:lang w:eastAsia="zh-CN"/>
        </w:rPr>
        <w:t>员</w:t>
      </w:r>
      <w:r>
        <w:rPr>
          <w:rFonts w:hint="default" w:ascii="Times New Roman" w:hAnsi="Times New Roman" w:eastAsia="仿宋_GB2312" w:cs="Times New Roman"/>
          <w:color w:val="auto"/>
          <w:sz w:val="32"/>
          <w:szCs w:val="32"/>
          <w:lang w:eastAsia="zh-CN"/>
        </w:rPr>
        <w:t>、红军老战士待遇人员的医疗经费。</w:t>
      </w:r>
    </w:p>
    <w:p w14:paraId="45C97AC8">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卫生健康支出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行政事业单位医疗</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事业单位医疗</w:t>
      </w:r>
      <w:r>
        <w:rPr>
          <w:rFonts w:hint="default" w:ascii="Times New Roman" w:hAnsi="Times New Roman" w:eastAsia="仿宋_GB2312" w:cs="Times New Roman"/>
          <w:color w:val="auto"/>
          <w:sz w:val="32"/>
          <w:szCs w:val="32"/>
        </w:rPr>
        <w:t>（项）:指反映</w:t>
      </w:r>
      <w:r>
        <w:rPr>
          <w:rFonts w:hint="default" w:ascii="Times New Roman" w:hAnsi="Times New Roman" w:eastAsia="仿宋_GB2312" w:cs="Times New Roman"/>
          <w:color w:val="auto"/>
          <w:sz w:val="32"/>
          <w:szCs w:val="32"/>
          <w:lang w:eastAsia="zh-CN"/>
        </w:rPr>
        <w:t>财政部门集中安排的事业单位基本医疗保险缴费经费，未参加医疗保险的事业单位的公费医疗经费，按国家规定享受离休人员待遇的医疗经费。</w:t>
      </w:r>
    </w:p>
    <w:p w14:paraId="3DC01663">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卫生健康支出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行政事业单位医疗</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公务员医疗补助</w:t>
      </w:r>
      <w:r>
        <w:rPr>
          <w:rFonts w:hint="default" w:ascii="Times New Roman" w:hAnsi="Times New Roman" w:eastAsia="仿宋_GB2312" w:cs="Times New Roman"/>
          <w:color w:val="auto"/>
          <w:sz w:val="32"/>
          <w:szCs w:val="32"/>
        </w:rPr>
        <w:t>（项）:指反映</w:t>
      </w:r>
      <w:r>
        <w:rPr>
          <w:rFonts w:hint="default" w:ascii="Times New Roman" w:hAnsi="Times New Roman" w:eastAsia="仿宋_GB2312" w:cs="Times New Roman"/>
          <w:color w:val="auto"/>
          <w:sz w:val="32"/>
          <w:szCs w:val="32"/>
          <w:lang w:eastAsia="zh-CN"/>
        </w:rPr>
        <w:t>财政部门集中安排的公务员医疗补助经费。</w:t>
      </w:r>
    </w:p>
    <w:p w14:paraId="0EF38986">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.城乡社区支出（类）城乡社区环境卫生（款）城乡社区环境卫生（项）:指反映城乡社区道路清扫、垃圾清运与处理、公厕建设与维护、园林绿化等方面的支出。</w:t>
      </w:r>
    </w:p>
    <w:p w14:paraId="28405178">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.城乡社区支出（类）其他城乡社区</w:t>
      </w:r>
      <w:r>
        <w:rPr>
          <w:rFonts w:hint="eastAsia"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（款）其他城乡社区支出（项）:指反映除上述项目以外其他用于城乡社区方面的支出。</w:t>
      </w:r>
    </w:p>
    <w:p w14:paraId="09536AB0">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.农林水支出（类）农业</w:t>
      </w:r>
      <w:r>
        <w:rPr>
          <w:rFonts w:hint="eastAsia"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（款）事业运行（项）:指反映用于</w:t>
      </w:r>
      <w:r>
        <w:rPr>
          <w:rFonts w:hint="eastAsia" w:eastAsia="仿宋_GB2312" w:cs="Times New Roman"/>
          <w:color w:val="auto"/>
          <w:sz w:val="32"/>
          <w:szCs w:val="32"/>
          <w:lang w:eastAsia="zh-CN"/>
        </w:rPr>
        <w:t>机关</w:t>
      </w:r>
      <w:r>
        <w:rPr>
          <w:rFonts w:hint="default" w:ascii="Times New Roman" w:hAnsi="Times New Roman" w:eastAsia="仿宋_GB2312" w:cs="Times New Roman"/>
          <w:color w:val="auto"/>
          <w:sz w:val="32"/>
          <w:szCs w:val="32"/>
        </w:rPr>
        <w:t>事业单位基本支出，事业单位设施、系统运行与资产维护等方面的支出。</w:t>
      </w:r>
    </w:p>
    <w:p w14:paraId="1F58D996">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.农林水支出（类）农业</w:t>
      </w:r>
      <w:r>
        <w:rPr>
          <w:rFonts w:hint="eastAsia"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病</w:t>
      </w:r>
      <w:r>
        <w:rPr>
          <w:rFonts w:hint="eastAsia" w:eastAsia="仿宋_GB2312" w:cs="Times New Roman"/>
          <w:color w:val="auto"/>
          <w:sz w:val="32"/>
          <w:szCs w:val="32"/>
          <w:lang w:eastAsia="zh-CN"/>
        </w:rPr>
        <w:t>虫</w:t>
      </w:r>
      <w:r>
        <w:rPr>
          <w:rFonts w:hint="default" w:ascii="Times New Roman" w:hAnsi="Times New Roman" w:eastAsia="仿宋_GB2312" w:cs="Times New Roman"/>
          <w:color w:val="auto"/>
          <w:sz w:val="32"/>
          <w:szCs w:val="32"/>
          <w:lang w:eastAsia="zh-CN"/>
        </w:rPr>
        <w:t>害控制</w:t>
      </w:r>
      <w:r>
        <w:rPr>
          <w:rFonts w:hint="default" w:ascii="Times New Roman" w:hAnsi="Times New Roman" w:eastAsia="仿宋_GB2312" w:cs="Times New Roman"/>
          <w:color w:val="auto"/>
          <w:sz w:val="32"/>
          <w:szCs w:val="32"/>
        </w:rPr>
        <w:t>（项）:指反映</w:t>
      </w:r>
      <w:r>
        <w:rPr>
          <w:rFonts w:hint="default" w:ascii="Times New Roman" w:hAnsi="Times New Roman" w:eastAsia="仿宋_GB2312" w:cs="Times New Roman"/>
          <w:color w:val="auto"/>
          <w:sz w:val="32"/>
          <w:szCs w:val="32"/>
          <w:lang w:eastAsia="zh-CN"/>
        </w:rPr>
        <w:t>用于病虫鼠害及疫情监测、预报、预防、控制、检疫、防疫所需的仪器、设施、药物、</w:t>
      </w:r>
      <w:r>
        <w:rPr>
          <w:rFonts w:hint="eastAsia" w:eastAsia="仿宋_GB2312" w:cs="Times New Roman"/>
          <w:color w:val="auto"/>
          <w:sz w:val="32"/>
          <w:szCs w:val="32"/>
          <w:lang w:eastAsia="zh-CN"/>
        </w:rPr>
        <w:t>疫苗</w:t>
      </w:r>
      <w:bookmarkStart w:id="103" w:name="_GoBack"/>
      <w:bookmarkEnd w:id="103"/>
      <w:r>
        <w:rPr>
          <w:rFonts w:hint="default" w:ascii="Times New Roman" w:hAnsi="Times New Roman" w:eastAsia="仿宋_GB2312" w:cs="Times New Roman"/>
          <w:color w:val="auto"/>
          <w:sz w:val="32"/>
          <w:szCs w:val="32"/>
          <w:lang w:eastAsia="zh-CN"/>
        </w:rPr>
        <w:t>、种苗，疫畜（禽、鱼、植物）防治、扑杀补偿及劳务补助、菌（毒）种保藏及动植物及其产品检疫、检测等方面的支出。</w:t>
      </w:r>
    </w:p>
    <w:p w14:paraId="39B88CD2">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农林水支出（类）农业</w:t>
      </w:r>
      <w:r>
        <w:rPr>
          <w:rFonts w:hint="eastAsia"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（款）</w:t>
      </w:r>
      <w:r>
        <w:rPr>
          <w:rFonts w:hint="eastAsia" w:eastAsia="仿宋_GB2312" w:cs="Times New Roman"/>
          <w:color w:val="auto"/>
          <w:sz w:val="32"/>
          <w:szCs w:val="32"/>
          <w:lang w:eastAsia="zh-CN"/>
        </w:rPr>
        <w:t>农业生产发展</w:t>
      </w:r>
      <w:r>
        <w:rPr>
          <w:rFonts w:hint="default" w:ascii="Times New Roman" w:hAnsi="Times New Roman" w:eastAsia="仿宋_GB2312" w:cs="Times New Roman"/>
          <w:color w:val="auto"/>
          <w:sz w:val="32"/>
          <w:szCs w:val="32"/>
        </w:rPr>
        <w:t>（项）:指反映对农民专合组织、农业产业化龙头企业等开支基地建设、质量标准认证等方面的支出。</w:t>
      </w:r>
    </w:p>
    <w:p w14:paraId="4162B35B">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.农林水支出（类）农业</w:t>
      </w:r>
      <w:r>
        <w:rPr>
          <w:rFonts w:hint="eastAsia"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（款）</w:t>
      </w:r>
      <w:r>
        <w:rPr>
          <w:rFonts w:hint="eastAsia" w:eastAsia="仿宋_GB2312" w:cs="Times New Roman"/>
          <w:color w:val="auto"/>
          <w:sz w:val="32"/>
          <w:szCs w:val="32"/>
          <w:lang w:eastAsia="zh-CN"/>
        </w:rPr>
        <w:t>农村道路建设</w:t>
      </w:r>
      <w:r>
        <w:rPr>
          <w:rFonts w:hint="default" w:ascii="Times New Roman" w:hAnsi="Times New Roman" w:eastAsia="仿宋_GB2312" w:cs="Times New Roman"/>
          <w:color w:val="auto"/>
          <w:sz w:val="32"/>
          <w:szCs w:val="32"/>
        </w:rPr>
        <w:t>（项）:指反映</w:t>
      </w:r>
      <w:r>
        <w:rPr>
          <w:rFonts w:hint="eastAsia" w:eastAsia="仿宋_GB2312" w:cs="Times New Roman"/>
          <w:color w:val="auto"/>
          <w:sz w:val="32"/>
          <w:szCs w:val="32"/>
          <w:lang w:eastAsia="zh-CN"/>
        </w:rPr>
        <w:t>农村道路建设和维护</w:t>
      </w:r>
      <w:r>
        <w:rPr>
          <w:rFonts w:hint="default" w:ascii="Times New Roman" w:hAnsi="Times New Roman" w:eastAsia="仿宋_GB2312" w:cs="Times New Roman"/>
          <w:color w:val="auto"/>
          <w:sz w:val="32"/>
          <w:szCs w:val="32"/>
        </w:rPr>
        <w:t>方面的支出</w:t>
      </w:r>
    </w:p>
    <w:p w14:paraId="22ADD723">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35.</w:t>
      </w:r>
      <w:r>
        <w:rPr>
          <w:rFonts w:hint="default" w:ascii="Times New Roman" w:hAnsi="Times New Roman" w:eastAsia="仿宋_GB2312" w:cs="Times New Roman"/>
          <w:color w:val="auto"/>
          <w:sz w:val="32"/>
          <w:szCs w:val="32"/>
        </w:rPr>
        <w:t>农林水支出（类）农业</w:t>
      </w:r>
      <w:r>
        <w:rPr>
          <w:rFonts w:hint="eastAsia"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（款）其他农业</w:t>
      </w:r>
      <w:r>
        <w:rPr>
          <w:rFonts w:hint="eastAsia"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支出（项）:指反映除上述项目以外其他用于农业方面的支出。</w:t>
      </w:r>
    </w:p>
    <w:p w14:paraId="203FA549">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rPr>
        <w:t>.农林水支出（类）林业</w:t>
      </w:r>
      <w:r>
        <w:rPr>
          <w:rFonts w:hint="default" w:ascii="Times New Roman" w:hAnsi="Times New Roman" w:eastAsia="仿宋_GB2312" w:cs="Times New Roman"/>
          <w:color w:val="auto"/>
          <w:sz w:val="32"/>
          <w:szCs w:val="32"/>
          <w:lang w:eastAsia="zh-CN"/>
        </w:rPr>
        <w:t>和草原</w:t>
      </w:r>
      <w:r>
        <w:rPr>
          <w:rFonts w:hint="default" w:ascii="Times New Roman" w:hAnsi="Times New Roman" w:eastAsia="仿宋_GB2312" w:cs="Times New Roman"/>
          <w:color w:val="auto"/>
          <w:sz w:val="32"/>
          <w:szCs w:val="32"/>
        </w:rPr>
        <w:t>（款）其他林业支出（99项）:指反映其他用于林业</w:t>
      </w:r>
      <w:r>
        <w:rPr>
          <w:rFonts w:hint="default" w:ascii="Times New Roman" w:hAnsi="Times New Roman" w:eastAsia="仿宋_GB2312" w:cs="Times New Roman"/>
          <w:color w:val="auto"/>
          <w:sz w:val="32"/>
          <w:szCs w:val="32"/>
          <w:lang w:eastAsia="zh-CN"/>
        </w:rPr>
        <w:t>和草原</w:t>
      </w:r>
      <w:r>
        <w:rPr>
          <w:rFonts w:hint="default" w:ascii="Times New Roman" w:hAnsi="Times New Roman" w:eastAsia="仿宋_GB2312" w:cs="Times New Roman"/>
          <w:color w:val="auto"/>
          <w:sz w:val="32"/>
          <w:szCs w:val="32"/>
        </w:rPr>
        <w:t>方面的支出。</w:t>
      </w:r>
    </w:p>
    <w:p w14:paraId="19ACA4F0">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37</w:t>
      </w:r>
      <w:r>
        <w:rPr>
          <w:rFonts w:hint="default" w:ascii="Times New Roman" w:hAnsi="Times New Roman" w:eastAsia="仿宋_GB2312" w:cs="Times New Roman"/>
          <w:color w:val="auto"/>
          <w:sz w:val="32"/>
          <w:szCs w:val="32"/>
        </w:rPr>
        <w:t>.农林水支出（类）</w:t>
      </w:r>
      <w:r>
        <w:rPr>
          <w:rFonts w:hint="eastAsia" w:eastAsia="仿宋_GB2312" w:cs="Times New Roman"/>
          <w:color w:val="auto"/>
          <w:sz w:val="32"/>
          <w:szCs w:val="32"/>
          <w:lang w:eastAsia="zh-CN"/>
        </w:rPr>
        <w:t>巩固脱贫攻坚成果衔接乡村振兴</w:t>
      </w:r>
      <w:r>
        <w:rPr>
          <w:rFonts w:hint="default" w:ascii="Times New Roman" w:hAnsi="Times New Roman" w:eastAsia="仿宋_GB2312" w:cs="Times New Roman"/>
          <w:color w:val="auto"/>
          <w:sz w:val="32"/>
          <w:szCs w:val="32"/>
        </w:rPr>
        <w:t>（款）</w:t>
      </w:r>
      <w:r>
        <w:rPr>
          <w:rFonts w:hint="eastAsia" w:eastAsia="仿宋_GB2312" w:cs="Times New Roman"/>
          <w:color w:val="auto"/>
          <w:sz w:val="32"/>
          <w:szCs w:val="32"/>
          <w:lang w:eastAsia="zh-CN"/>
        </w:rPr>
        <w:t>农村基础设施建设</w:t>
      </w:r>
      <w:r>
        <w:rPr>
          <w:rFonts w:hint="default" w:ascii="Times New Roman" w:hAnsi="Times New Roman" w:eastAsia="仿宋_GB2312" w:cs="Times New Roman"/>
          <w:color w:val="auto"/>
          <w:sz w:val="32"/>
          <w:szCs w:val="32"/>
        </w:rPr>
        <w:t>（项）:指反映</w:t>
      </w:r>
      <w:r>
        <w:rPr>
          <w:rFonts w:hint="eastAsia" w:eastAsia="仿宋_GB2312" w:cs="Times New Roman"/>
          <w:color w:val="auto"/>
          <w:sz w:val="32"/>
          <w:szCs w:val="32"/>
          <w:lang w:eastAsia="zh-CN"/>
        </w:rPr>
        <w:t>为巩固脱贫攻坚成果衔接乡村振兴在农村基础设施建设方面的</w:t>
      </w:r>
      <w:r>
        <w:rPr>
          <w:rFonts w:hint="default" w:ascii="Times New Roman" w:hAnsi="Times New Roman" w:eastAsia="仿宋_GB2312" w:cs="Times New Roman"/>
          <w:color w:val="auto"/>
          <w:sz w:val="32"/>
          <w:szCs w:val="32"/>
          <w:lang w:eastAsia="zh-CN"/>
        </w:rPr>
        <w:t>支出。</w:t>
      </w:r>
    </w:p>
    <w:p w14:paraId="7DAD007A">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38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农林水支出（类）</w:t>
      </w:r>
      <w:r>
        <w:rPr>
          <w:rFonts w:hint="eastAsia" w:eastAsia="仿宋_GB2312" w:cs="Times New Roman"/>
          <w:color w:val="auto"/>
          <w:sz w:val="32"/>
          <w:szCs w:val="32"/>
          <w:lang w:eastAsia="zh-CN"/>
        </w:rPr>
        <w:t>巩固脱贫攻坚成果衔接乡村振兴</w:t>
      </w:r>
      <w:r>
        <w:rPr>
          <w:rFonts w:hint="default" w:ascii="Times New Roman" w:hAnsi="Times New Roman" w:eastAsia="仿宋_GB2312" w:cs="Times New Roman"/>
          <w:color w:val="auto"/>
          <w:sz w:val="32"/>
          <w:szCs w:val="32"/>
        </w:rPr>
        <w:t>（款）</w:t>
      </w:r>
      <w:r>
        <w:rPr>
          <w:rFonts w:hint="eastAsia" w:eastAsia="仿宋_GB2312" w:cs="Times New Roman"/>
          <w:color w:val="auto"/>
          <w:sz w:val="32"/>
          <w:szCs w:val="32"/>
          <w:lang w:eastAsia="zh-CN"/>
        </w:rPr>
        <w:t>生产发展</w:t>
      </w:r>
      <w:r>
        <w:rPr>
          <w:rFonts w:hint="default" w:ascii="Times New Roman" w:hAnsi="Times New Roman" w:eastAsia="仿宋_GB2312" w:cs="Times New Roman"/>
          <w:color w:val="auto"/>
          <w:sz w:val="32"/>
          <w:szCs w:val="32"/>
        </w:rPr>
        <w:t>（项）:指反映</w:t>
      </w:r>
      <w:r>
        <w:rPr>
          <w:rFonts w:hint="eastAsia" w:eastAsia="仿宋_GB2312" w:cs="Times New Roman"/>
          <w:color w:val="auto"/>
          <w:sz w:val="32"/>
          <w:szCs w:val="32"/>
          <w:lang w:eastAsia="zh-CN"/>
        </w:rPr>
        <w:t>为巩固脱贫攻坚成果衔接乡村振兴在扶持生产发展方面的</w:t>
      </w:r>
      <w:r>
        <w:rPr>
          <w:rFonts w:hint="default" w:ascii="Times New Roman" w:hAnsi="Times New Roman" w:eastAsia="仿宋_GB2312" w:cs="Times New Roman"/>
          <w:color w:val="auto"/>
          <w:sz w:val="32"/>
          <w:szCs w:val="32"/>
          <w:lang w:eastAsia="zh-CN"/>
        </w:rPr>
        <w:t>支出。</w:t>
      </w:r>
    </w:p>
    <w:p w14:paraId="4E9F924B">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39.</w:t>
      </w:r>
      <w:r>
        <w:rPr>
          <w:rFonts w:hint="default" w:ascii="Times New Roman" w:hAnsi="Times New Roman" w:eastAsia="仿宋_GB2312" w:cs="Times New Roman"/>
          <w:color w:val="auto"/>
          <w:sz w:val="32"/>
          <w:szCs w:val="32"/>
        </w:rPr>
        <w:t>农林水支出（类）</w:t>
      </w:r>
      <w:r>
        <w:rPr>
          <w:rFonts w:hint="eastAsia" w:eastAsia="仿宋_GB2312" w:cs="Times New Roman"/>
          <w:color w:val="auto"/>
          <w:sz w:val="32"/>
          <w:szCs w:val="32"/>
          <w:lang w:eastAsia="zh-CN"/>
        </w:rPr>
        <w:t>巩固脱贫攻坚成果衔接乡村振兴</w:t>
      </w:r>
      <w:r>
        <w:rPr>
          <w:rFonts w:hint="default" w:ascii="Times New Roman" w:hAnsi="Times New Roman" w:eastAsia="仿宋_GB2312" w:cs="Times New Roman"/>
          <w:color w:val="auto"/>
          <w:sz w:val="32"/>
          <w:szCs w:val="32"/>
        </w:rPr>
        <w:t>（款）</w:t>
      </w:r>
      <w:r>
        <w:rPr>
          <w:rFonts w:hint="eastAsia" w:eastAsia="仿宋_GB2312" w:cs="Times New Roman"/>
          <w:color w:val="auto"/>
          <w:sz w:val="32"/>
          <w:szCs w:val="32"/>
          <w:lang w:eastAsia="zh-CN"/>
        </w:rPr>
        <w:t>农村基础设施建设</w:t>
      </w:r>
      <w:r>
        <w:rPr>
          <w:rFonts w:hint="default" w:ascii="Times New Roman" w:hAnsi="Times New Roman" w:eastAsia="仿宋_GB2312" w:cs="Times New Roman"/>
          <w:color w:val="auto"/>
          <w:sz w:val="32"/>
          <w:szCs w:val="32"/>
        </w:rPr>
        <w:t>（项）:指反映</w:t>
      </w:r>
      <w:r>
        <w:rPr>
          <w:rFonts w:hint="eastAsia" w:eastAsia="仿宋_GB2312" w:cs="Times New Roman"/>
          <w:color w:val="auto"/>
          <w:sz w:val="32"/>
          <w:szCs w:val="32"/>
          <w:lang w:eastAsia="zh-CN"/>
        </w:rPr>
        <w:t>为巩固脱贫攻坚成果衔接乡村振兴在农村基础设施建设方面的</w:t>
      </w:r>
      <w:r>
        <w:rPr>
          <w:rFonts w:hint="default" w:ascii="Times New Roman" w:hAnsi="Times New Roman" w:eastAsia="仿宋_GB2312" w:cs="Times New Roman"/>
          <w:color w:val="auto"/>
          <w:sz w:val="32"/>
          <w:szCs w:val="32"/>
          <w:lang w:eastAsia="zh-CN"/>
        </w:rPr>
        <w:t>支出。</w:t>
      </w:r>
    </w:p>
    <w:p w14:paraId="69F3B39F">
      <w:pPr>
        <w:pageBreakBefore w:val="0"/>
        <w:kinsoku/>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农林水支出（类）</w:t>
      </w:r>
      <w:r>
        <w:rPr>
          <w:rFonts w:hint="eastAsia" w:eastAsia="仿宋_GB2312" w:cs="Times New Roman"/>
          <w:color w:val="auto"/>
          <w:sz w:val="32"/>
          <w:szCs w:val="32"/>
          <w:lang w:eastAsia="zh-CN"/>
        </w:rPr>
        <w:t>巩固脱贫攻坚成果衔接乡村振兴</w:t>
      </w:r>
      <w:r>
        <w:rPr>
          <w:rFonts w:hint="default" w:ascii="Times New Roman" w:hAnsi="Times New Roman" w:eastAsia="仿宋_GB2312" w:cs="Times New Roman"/>
          <w:color w:val="auto"/>
          <w:sz w:val="32"/>
          <w:szCs w:val="32"/>
        </w:rPr>
        <w:t>（款）其他</w:t>
      </w:r>
      <w:r>
        <w:rPr>
          <w:rFonts w:hint="eastAsia" w:eastAsia="仿宋_GB2312" w:cs="Times New Roman"/>
          <w:color w:val="auto"/>
          <w:sz w:val="32"/>
          <w:szCs w:val="32"/>
          <w:lang w:eastAsia="zh-CN"/>
        </w:rPr>
        <w:t>巩固脱贫攻坚成果衔接乡村振兴</w:t>
      </w:r>
      <w:r>
        <w:rPr>
          <w:rFonts w:hint="default" w:ascii="Times New Roman" w:hAnsi="Times New Roman" w:eastAsia="仿宋_GB2312" w:cs="Times New Roman"/>
          <w:color w:val="auto"/>
          <w:sz w:val="32"/>
          <w:szCs w:val="32"/>
        </w:rPr>
        <w:t>支出（项）:指反映除上述项目以外其他用于扶贫方面的支出。</w:t>
      </w:r>
    </w:p>
    <w:p w14:paraId="1F82E2C2">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.农林水支出（类）农村综合改革（款）</w:t>
      </w:r>
      <w:r>
        <w:rPr>
          <w:rFonts w:hint="eastAsia" w:eastAsia="仿宋_GB2312" w:cs="Times New Roman"/>
          <w:color w:val="auto"/>
          <w:sz w:val="32"/>
          <w:szCs w:val="32"/>
          <w:lang w:eastAsia="zh-CN"/>
        </w:rPr>
        <w:t>对村级公益事业建设的补助</w:t>
      </w:r>
      <w:r>
        <w:rPr>
          <w:rFonts w:hint="default" w:ascii="Times New Roman" w:hAnsi="Times New Roman" w:eastAsia="仿宋_GB2312" w:cs="Times New Roman"/>
          <w:color w:val="auto"/>
          <w:sz w:val="32"/>
          <w:szCs w:val="32"/>
        </w:rPr>
        <w:t>（项）：指反映各级财政</w:t>
      </w:r>
      <w:r>
        <w:rPr>
          <w:rFonts w:hint="eastAsia" w:eastAsia="仿宋_GB2312" w:cs="Times New Roman"/>
          <w:color w:val="auto"/>
          <w:sz w:val="32"/>
          <w:szCs w:val="32"/>
          <w:lang w:eastAsia="zh-CN"/>
        </w:rPr>
        <w:t>村级公益事业建设的补助资金</w:t>
      </w:r>
      <w:r>
        <w:rPr>
          <w:rFonts w:hint="default" w:ascii="Times New Roman" w:hAnsi="Times New Roman" w:eastAsia="仿宋_GB2312" w:cs="Times New Roman"/>
          <w:color w:val="auto"/>
          <w:sz w:val="32"/>
          <w:szCs w:val="32"/>
        </w:rPr>
        <w:t>。</w:t>
      </w:r>
    </w:p>
    <w:p w14:paraId="2500A178">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42.</w:t>
      </w:r>
      <w:r>
        <w:rPr>
          <w:rFonts w:hint="default" w:ascii="Times New Roman" w:hAnsi="Times New Roman" w:eastAsia="仿宋_GB2312" w:cs="Times New Roman"/>
          <w:color w:val="auto"/>
          <w:sz w:val="32"/>
          <w:szCs w:val="32"/>
        </w:rPr>
        <w:t>农林水支出（类）农村综合改革（款）对村民委员会和村党支部的补助支出（项）：指反映各级财政对村民委员会和村党支部的补助支出，以及支持建设县级基本财力保障机制安排的村级组织运转奖补资金。</w:t>
      </w:r>
    </w:p>
    <w:p w14:paraId="124365A0">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.农林水支出（类）农村综合改革（款）农村综合改革示范试点补助支出（项）:指反映各级财政对农村综合改革示范试点、新型农业社会化服务体系建设等补助支出。</w:t>
      </w:r>
    </w:p>
    <w:p w14:paraId="07FC99B2">
      <w:pPr>
        <w:pageBreakBefore w:val="0"/>
        <w:kinsoku/>
        <w:overflowPunct/>
        <w:topLinePunct w:val="0"/>
        <w:bidi w:val="0"/>
        <w:spacing w:line="578" w:lineRule="exact"/>
        <w:ind w:firstLine="641"/>
        <w:textAlignment w:val="auto"/>
        <w:rPr>
          <w:rFonts w:hint="default"/>
        </w:rPr>
      </w:pPr>
      <w:r>
        <w:rPr>
          <w:rFonts w:hint="eastAsia" w:eastAsia="仿宋_GB2312" w:cs="Times New Roman"/>
          <w:color w:val="auto"/>
          <w:sz w:val="32"/>
          <w:szCs w:val="32"/>
          <w:lang w:val="en-US" w:eastAsia="zh-CN"/>
        </w:rPr>
        <w:t>44.</w:t>
      </w:r>
      <w:r>
        <w:rPr>
          <w:rFonts w:hint="default" w:ascii="Times New Roman" w:hAnsi="Times New Roman" w:eastAsia="仿宋_GB2312" w:cs="Times New Roman"/>
          <w:color w:val="auto"/>
          <w:sz w:val="32"/>
          <w:szCs w:val="32"/>
        </w:rPr>
        <w:t>农林水支出（类）</w:t>
      </w:r>
      <w:r>
        <w:rPr>
          <w:rFonts w:hint="eastAsia" w:eastAsia="仿宋_GB2312" w:cs="Times New Roman"/>
          <w:color w:val="auto"/>
          <w:sz w:val="32"/>
          <w:szCs w:val="32"/>
          <w:lang w:eastAsia="zh-CN"/>
        </w:rPr>
        <w:t>其他农林水支出</w:t>
      </w:r>
      <w:r>
        <w:rPr>
          <w:rFonts w:hint="default" w:ascii="Times New Roman" w:hAnsi="Times New Roman" w:eastAsia="仿宋_GB2312" w:cs="Times New Roman"/>
          <w:color w:val="auto"/>
          <w:sz w:val="32"/>
          <w:szCs w:val="32"/>
        </w:rPr>
        <w:t>（款）</w:t>
      </w:r>
      <w:r>
        <w:rPr>
          <w:rFonts w:hint="eastAsia" w:eastAsia="仿宋_GB2312" w:cs="Times New Roman"/>
          <w:color w:val="auto"/>
          <w:sz w:val="32"/>
          <w:szCs w:val="32"/>
          <w:lang w:eastAsia="zh-CN"/>
        </w:rPr>
        <w:t>其他农林水支出</w:t>
      </w:r>
      <w:r>
        <w:rPr>
          <w:rFonts w:hint="default" w:ascii="Times New Roman" w:hAnsi="Times New Roman" w:eastAsia="仿宋_GB2312" w:cs="Times New Roman"/>
          <w:color w:val="auto"/>
          <w:sz w:val="32"/>
          <w:szCs w:val="32"/>
        </w:rPr>
        <w:t>（项）:指反映除上述项目以外其他用于</w:t>
      </w:r>
      <w:r>
        <w:rPr>
          <w:rFonts w:hint="eastAsia" w:eastAsia="仿宋_GB2312" w:cs="Times New Roman"/>
          <w:color w:val="auto"/>
          <w:sz w:val="32"/>
          <w:szCs w:val="32"/>
          <w:lang w:eastAsia="zh-CN"/>
        </w:rPr>
        <w:t>农林水</w:t>
      </w:r>
      <w:r>
        <w:rPr>
          <w:rFonts w:hint="default" w:ascii="Times New Roman" w:hAnsi="Times New Roman" w:eastAsia="仿宋_GB2312" w:cs="Times New Roman"/>
          <w:color w:val="auto"/>
          <w:sz w:val="32"/>
          <w:szCs w:val="32"/>
        </w:rPr>
        <w:t>方面的支出。</w:t>
      </w:r>
    </w:p>
    <w:p w14:paraId="1654187B">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.交通运输支出（类）公路水路运输（款）公路</w:t>
      </w:r>
      <w:r>
        <w:rPr>
          <w:rFonts w:hint="eastAsia"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（项）:指反映公路</w:t>
      </w:r>
      <w:r>
        <w:rPr>
          <w:rFonts w:hint="eastAsia"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支出。</w:t>
      </w:r>
    </w:p>
    <w:p w14:paraId="72059B9C">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46.</w:t>
      </w:r>
      <w:r>
        <w:rPr>
          <w:rFonts w:hint="default" w:ascii="Times New Roman" w:hAnsi="Times New Roman" w:eastAsia="仿宋_GB2312" w:cs="Times New Roman"/>
          <w:color w:val="auto"/>
          <w:sz w:val="32"/>
          <w:szCs w:val="32"/>
        </w:rPr>
        <w:t>交通运输支出（类）公路水路运输（款）公路养护（项）:指反映公路养护支出。</w:t>
      </w:r>
    </w:p>
    <w:p w14:paraId="5DF2AB6C">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交通运输支出（类）公路水路运输支出（款）其他公路水路运输支出（项）:指反映除上述项目以外其他用于公路水路运输方面的支出。</w:t>
      </w:r>
    </w:p>
    <w:p w14:paraId="23C46490">
      <w:pPr>
        <w:pageBreakBefore w:val="0"/>
        <w:kinsoku/>
        <w:overflowPunct/>
        <w:topLinePunct w:val="0"/>
        <w:bidi w:val="0"/>
        <w:spacing w:line="578" w:lineRule="exact"/>
        <w:ind w:firstLine="64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48</w:t>
      </w:r>
      <w:r>
        <w:rPr>
          <w:rFonts w:hint="default" w:ascii="Times New Roman" w:hAnsi="Times New Roman" w:eastAsia="仿宋_GB2312" w:cs="Times New Roman"/>
          <w:color w:val="auto"/>
          <w:sz w:val="32"/>
          <w:szCs w:val="32"/>
        </w:rPr>
        <w:t>.住房保障（类）住房改革支出（款）住房公积金（项）:指反映行政事业单位按人力资源和社会保障部、财政部规定的基本工资和津贴补贴以及规定比例为职工缴纳的住房公积金。</w:t>
      </w:r>
    </w:p>
    <w:p w14:paraId="74BD271E">
      <w:pPr>
        <w:pageBreakBefore w:val="0"/>
        <w:kinsoku/>
        <w:overflowPunct/>
        <w:topLinePunct w:val="0"/>
        <w:bidi w:val="0"/>
        <w:spacing w:line="578" w:lineRule="exact"/>
        <w:ind w:firstLine="641"/>
        <w:textAlignment w:val="auto"/>
        <w:rPr>
          <w:rFonts w:hint="default" w:ascii="Times New Roman" w:hAnsi="Times New Roman" w:eastAsia="宋体" w:cs="Times New Roman"/>
          <w:kern w:val="2"/>
          <w:sz w:val="21"/>
          <w:szCs w:val="24"/>
          <w:lang w:val="en-US" w:eastAsia="zh-CN" w:bidi="ar-SA"/>
        </w:rPr>
      </w:pPr>
      <w:r>
        <w:rPr>
          <w:rFonts w:hint="eastAsia" w:eastAsia="仿宋_GB2312" w:cs="Times New Roman"/>
          <w:color w:val="auto"/>
          <w:sz w:val="32"/>
          <w:szCs w:val="32"/>
          <w:lang w:val="en-US" w:eastAsia="zh-CN"/>
        </w:rPr>
        <w:t>49.</w:t>
      </w:r>
      <w:r>
        <w:rPr>
          <w:rFonts w:hint="eastAsia" w:eastAsia="仿宋_GB2312" w:cs="Times New Roman"/>
          <w:color w:val="auto"/>
          <w:sz w:val="32"/>
          <w:szCs w:val="32"/>
          <w:lang w:eastAsia="zh-CN"/>
        </w:rPr>
        <w:t>粮油物资储备支出</w:t>
      </w:r>
      <w:r>
        <w:rPr>
          <w:rFonts w:hint="default" w:ascii="Times New Roman" w:hAnsi="Times New Roman" w:eastAsia="仿宋_GB2312" w:cs="Times New Roman"/>
          <w:color w:val="auto"/>
          <w:sz w:val="32"/>
          <w:szCs w:val="32"/>
        </w:rPr>
        <w:t>（类）</w:t>
      </w:r>
      <w:r>
        <w:rPr>
          <w:rFonts w:hint="eastAsia" w:eastAsia="仿宋_GB2312" w:cs="Times New Roman"/>
          <w:color w:val="auto"/>
          <w:sz w:val="32"/>
          <w:szCs w:val="32"/>
          <w:lang w:eastAsia="zh-CN"/>
        </w:rPr>
        <w:t>粮油物资事务</w:t>
      </w:r>
      <w:r>
        <w:rPr>
          <w:rFonts w:hint="default" w:ascii="Times New Roman" w:hAnsi="Times New Roman" w:eastAsia="仿宋_GB2312" w:cs="Times New Roman"/>
          <w:color w:val="auto"/>
          <w:sz w:val="32"/>
          <w:szCs w:val="32"/>
        </w:rPr>
        <w:t>（款）</w:t>
      </w:r>
      <w:r>
        <w:rPr>
          <w:rFonts w:hint="eastAsia" w:eastAsia="仿宋_GB2312" w:cs="Times New Roman"/>
          <w:color w:val="auto"/>
          <w:sz w:val="32"/>
          <w:szCs w:val="32"/>
          <w:lang w:eastAsia="zh-CN"/>
        </w:rPr>
        <w:t>其他粮油物资事务</w:t>
      </w:r>
      <w:r>
        <w:rPr>
          <w:rFonts w:hint="default" w:ascii="Times New Roman" w:hAnsi="Times New Roman" w:eastAsia="仿宋_GB2312" w:cs="Times New Roman"/>
          <w:color w:val="auto"/>
          <w:sz w:val="32"/>
          <w:szCs w:val="32"/>
        </w:rPr>
        <w:t>（项）:指反映</w:t>
      </w:r>
      <w:r>
        <w:rPr>
          <w:rFonts w:hint="eastAsia" w:eastAsia="仿宋_GB2312" w:cs="Times New Roman"/>
          <w:color w:val="auto"/>
          <w:sz w:val="32"/>
          <w:szCs w:val="32"/>
          <w:lang w:eastAsia="zh-CN"/>
        </w:rPr>
        <w:t>粮油物资事务</w:t>
      </w:r>
      <w:r>
        <w:rPr>
          <w:rFonts w:hint="default" w:ascii="Times New Roman" w:hAnsi="Times New Roman" w:eastAsia="仿宋_GB2312" w:cs="Times New Roman"/>
          <w:color w:val="auto"/>
          <w:sz w:val="32"/>
          <w:szCs w:val="32"/>
        </w:rPr>
        <w:t>支出。</w:t>
      </w:r>
    </w:p>
    <w:p w14:paraId="18D9F0EC">
      <w:pPr>
        <w:pageBreakBefore w:val="0"/>
        <w:kinsoku/>
        <w:overflowPunct/>
        <w:topLinePunct w:val="0"/>
        <w:bidi w:val="0"/>
        <w:spacing w:line="578" w:lineRule="exact"/>
        <w:ind w:firstLine="641"/>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val="en-US" w:eastAsia="zh-CN"/>
        </w:rPr>
        <w:t>50.</w:t>
      </w:r>
      <w:r>
        <w:rPr>
          <w:rFonts w:hint="eastAsia" w:eastAsia="仿宋_GB2312" w:cs="Times New Roman"/>
          <w:color w:val="auto"/>
          <w:sz w:val="32"/>
          <w:szCs w:val="32"/>
          <w:lang w:eastAsia="zh-CN"/>
        </w:rPr>
        <w:t>灾害防治及应急管理支出</w:t>
      </w:r>
      <w:r>
        <w:rPr>
          <w:rFonts w:hint="default" w:eastAsia="仿宋_GB2312" w:cs="Times New Roman"/>
          <w:color w:val="auto"/>
          <w:sz w:val="32"/>
          <w:szCs w:val="32"/>
          <w:lang w:eastAsia="zh-CN"/>
        </w:rPr>
        <w:t>（类）</w:t>
      </w:r>
      <w:r>
        <w:rPr>
          <w:rFonts w:hint="eastAsia" w:eastAsia="仿宋_GB2312" w:cs="Times New Roman"/>
          <w:color w:val="auto"/>
          <w:sz w:val="32"/>
          <w:szCs w:val="32"/>
          <w:lang w:eastAsia="zh-CN"/>
        </w:rPr>
        <w:t>其他灾害防治及应急管理支出</w:t>
      </w:r>
      <w:r>
        <w:rPr>
          <w:rFonts w:hint="default" w:eastAsia="仿宋_GB2312" w:cs="Times New Roman"/>
          <w:color w:val="auto"/>
          <w:sz w:val="32"/>
          <w:szCs w:val="32"/>
          <w:lang w:eastAsia="zh-CN"/>
        </w:rPr>
        <w:t>（款）</w:t>
      </w:r>
      <w:r>
        <w:rPr>
          <w:rFonts w:hint="eastAsia" w:eastAsia="仿宋_GB2312" w:cs="Times New Roman"/>
          <w:color w:val="auto"/>
          <w:sz w:val="32"/>
          <w:szCs w:val="32"/>
          <w:lang w:eastAsia="zh-CN"/>
        </w:rPr>
        <w:t>其他灾害防治及应急管理支出</w:t>
      </w:r>
      <w:r>
        <w:rPr>
          <w:rFonts w:hint="default" w:eastAsia="仿宋_GB2312" w:cs="Times New Roman"/>
          <w:color w:val="auto"/>
          <w:sz w:val="32"/>
          <w:szCs w:val="32"/>
          <w:lang w:eastAsia="zh-CN"/>
        </w:rPr>
        <w:t>（项）:指反映</w:t>
      </w:r>
      <w:r>
        <w:rPr>
          <w:rFonts w:hint="eastAsia" w:eastAsia="仿宋_GB2312" w:cs="Times New Roman"/>
          <w:color w:val="auto"/>
          <w:sz w:val="32"/>
          <w:szCs w:val="32"/>
          <w:lang w:eastAsia="zh-CN"/>
        </w:rPr>
        <w:t>其他灾害防治及应急管理</w:t>
      </w:r>
      <w:r>
        <w:rPr>
          <w:rFonts w:hint="default" w:eastAsia="仿宋_GB2312" w:cs="Times New Roman"/>
          <w:color w:val="auto"/>
          <w:sz w:val="32"/>
          <w:szCs w:val="32"/>
          <w:lang w:eastAsia="zh-CN"/>
        </w:rPr>
        <w:t>支出</w:t>
      </w:r>
      <w:r>
        <w:rPr>
          <w:rFonts w:hint="eastAsia" w:eastAsia="仿宋_GB2312" w:cs="Times New Roman"/>
          <w:color w:val="auto"/>
          <w:sz w:val="32"/>
          <w:szCs w:val="32"/>
          <w:lang w:eastAsia="zh-CN"/>
        </w:rPr>
        <w:t>。</w:t>
      </w:r>
    </w:p>
    <w:p w14:paraId="32C02CD1">
      <w:pPr>
        <w:pageBreakBefore w:val="0"/>
        <w:kinsoku/>
        <w:overflowPunct/>
        <w:topLinePunct w:val="0"/>
        <w:bidi w:val="0"/>
        <w:spacing w:line="578" w:lineRule="exact"/>
        <w:ind w:firstLine="641"/>
        <w:textAlignment w:val="auto"/>
        <w:rPr>
          <w:rFonts w:hint="default"/>
        </w:rPr>
      </w:pPr>
      <w:r>
        <w:rPr>
          <w:rFonts w:hint="eastAsia" w:eastAsia="仿宋_GB2312" w:cs="Times New Roman"/>
          <w:color w:val="auto"/>
          <w:sz w:val="32"/>
          <w:szCs w:val="32"/>
          <w:lang w:val="en-US" w:eastAsia="zh-CN"/>
        </w:rPr>
        <w:t>51.</w:t>
      </w:r>
      <w:r>
        <w:rPr>
          <w:rFonts w:hint="eastAsia" w:eastAsia="仿宋_GB2312" w:cs="Times New Roman"/>
          <w:color w:val="auto"/>
          <w:sz w:val="32"/>
          <w:szCs w:val="32"/>
          <w:lang w:eastAsia="zh-CN"/>
        </w:rPr>
        <w:t>其他支出</w:t>
      </w:r>
      <w:r>
        <w:rPr>
          <w:rFonts w:hint="default" w:ascii="Times New Roman" w:hAnsi="Times New Roman" w:eastAsia="仿宋_GB2312" w:cs="Times New Roman"/>
          <w:color w:val="auto"/>
          <w:sz w:val="32"/>
          <w:szCs w:val="32"/>
        </w:rPr>
        <w:t>（类）</w:t>
      </w:r>
      <w:r>
        <w:rPr>
          <w:rFonts w:hint="eastAsia" w:eastAsia="仿宋_GB2312" w:cs="Times New Roman"/>
          <w:color w:val="auto"/>
          <w:sz w:val="32"/>
          <w:szCs w:val="32"/>
          <w:lang w:eastAsia="zh-CN"/>
        </w:rPr>
        <w:t>其他支出</w:t>
      </w:r>
      <w:r>
        <w:rPr>
          <w:rFonts w:hint="default" w:ascii="Times New Roman" w:hAnsi="Times New Roman" w:eastAsia="仿宋_GB2312" w:cs="Times New Roman"/>
          <w:color w:val="auto"/>
          <w:sz w:val="32"/>
          <w:szCs w:val="32"/>
        </w:rPr>
        <w:t>（款）</w:t>
      </w:r>
      <w:r>
        <w:rPr>
          <w:rFonts w:hint="eastAsia" w:eastAsia="仿宋_GB2312" w:cs="Times New Roman"/>
          <w:color w:val="auto"/>
          <w:sz w:val="32"/>
          <w:szCs w:val="32"/>
          <w:lang w:eastAsia="zh-CN"/>
        </w:rPr>
        <w:t>其他支出</w:t>
      </w:r>
      <w:r>
        <w:rPr>
          <w:rFonts w:hint="default" w:ascii="Times New Roman" w:hAnsi="Times New Roman" w:eastAsia="仿宋_GB2312" w:cs="Times New Roman"/>
          <w:color w:val="auto"/>
          <w:sz w:val="32"/>
          <w:szCs w:val="32"/>
        </w:rPr>
        <w:t>（项）:指反映</w:t>
      </w:r>
      <w:r>
        <w:rPr>
          <w:rFonts w:hint="eastAsia" w:eastAsia="仿宋_GB2312" w:cs="Times New Roman"/>
          <w:color w:val="auto"/>
          <w:sz w:val="32"/>
          <w:szCs w:val="32"/>
          <w:lang w:eastAsia="zh-CN"/>
        </w:rPr>
        <w:t>除上述项目以外的其他</w:t>
      </w:r>
      <w:r>
        <w:rPr>
          <w:rFonts w:hint="default" w:ascii="Times New Roman" w:hAnsi="Times New Roman" w:eastAsia="仿宋_GB2312" w:cs="Times New Roman"/>
          <w:color w:val="auto"/>
          <w:sz w:val="32"/>
          <w:szCs w:val="32"/>
        </w:rPr>
        <w:t>支出。</w:t>
      </w:r>
    </w:p>
    <w:p w14:paraId="32D592F2">
      <w:pPr>
        <w:ind w:firstLine="640" w:firstLineChars="200"/>
        <w:rPr>
          <w:rFonts w:ascii="仿宋_GB2312" w:eastAsia="仿宋_GB2312"/>
          <w:sz w:val="32"/>
          <w:szCs w:val="32"/>
        </w:rPr>
      </w:pPr>
      <w:r>
        <w:rPr>
          <w:rFonts w:hint="eastAsia" w:ascii="仿宋_GB2312" w:eastAsia="仿宋_GB2312"/>
          <w:sz w:val="32"/>
          <w:szCs w:val="32"/>
          <w:lang w:val="en-US" w:eastAsia="zh-CN"/>
        </w:rPr>
        <w:t>52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2C7CAEE1">
      <w:pPr>
        <w:ind w:firstLine="640" w:firstLineChars="200"/>
        <w:rPr>
          <w:rFonts w:ascii="仿宋_GB2312" w:eastAsia="仿宋_GB2312"/>
          <w:sz w:val="32"/>
          <w:szCs w:val="32"/>
        </w:rPr>
      </w:pPr>
      <w:r>
        <w:rPr>
          <w:rFonts w:hint="eastAsia" w:ascii="仿宋_GB2312" w:eastAsia="仿宋_GB2312"/>
          <w:sz w:val="32"/>
          <w:szCs w:val="32"/>
          <w:lang w:val="en-US" w:eastAsia="zh-CN"/>
        </w:rPr>
        <w:t>53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2C6DECC">
      <w:pPr>
        <w:ind w:firstLine="640" w:firstLineChars="200"/>
        <w:rPr>
          <w:rFonts w:ascii="仿宋_GB2312" w:eastAsia="仿宋_GB2312"/>
          <w:sz w:val="32"/>
          <w:szCs w:val="32"/>
        </w:rPr>
      </w:pPr>
      <w:r>
        <w:rPr>
          <w:rFonts w:hint="eastAsia" w:ascii="仿宋_GB2312" w:eastAsia="仿宋_GB2312"/>
          <w:sz w:val="32"/>
          <w:szCs w:val="32"/>
          <w:lang w:val="en-US" w:eastAsia="zh-CN"/>
        </w:rPr>
        <w:t>54</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58397556">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695CE91">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F1D16D">
      <w:pPr>
        <w:pStyle w:val="25"/>
        <w:spacing w:line="560" w:lineRule="exact"/>
        <w:ind w:firstLine="640" w:firstLineChars="200"/>
        <w:rPr>
          <w:rFonts w:ascii="仿宋_GB2312" w:eastAsia="仿宋_GB2312" w:cs="黑体"/>
          <w:color w:val="auto"/>
          <w:sz w:val="32"/>
          <w:szCs w:val="32"/>
        </w:rPr>
      </w:pPr>
    </w:p>
    <w:p w14:paraId="4EA59B1E">
      <w:pPr>
        <w:spacing w:line="600" w:lineRule="exact"/>
        <w:jc w:val="center"/>
        <w:outlineLvl w:val="0"/>
        <w:rPr>
          <w:rStyle w:val="27"/>
          <w:rFonts w:ascii="黑体" w:hAnsi="黑体" w:eastAsia="黑体"/>
          <w:b w:val="0"/>
        </w:rPr>
      </w:pPr>
      <w:bookmarkStart w:id="71" w:name="_Toc15377226"/>
      <w:r>
        <w:rPr>
          <w:rFonts w:ascii="宋体"/>
          <w:b/>
          <w:sz w:val="44"/>
          <w:szCs w:val="44"/>
        </w:rPr>
        <w:br w:type="page"/>
      </w:r>
      <w:bookmarkStart w:id="72" w:name="_Toc15396614"/>
      <w:bookmarkStart w:id="73" w:name="_Toc6417"/>
      <w:r>
        <w:rPr>
          <w:rStyle w:val="27"/>
          <w:rFonts w:hint="eastAsia"/>
        </w:rPr>
        <w:t>第四部分 附件</w:t>
      </w:r>
      <w:bookmarkEnd w:id="72"/>
      <w:bookmarkEnd w:id="73"/>
    </w:p>
    <w:p w14:paraId="5B6FFFEE">
      <w:pPr>
        <w:spacing w:line="572" w:lineRule="exact"/>
        <w:jc w:val="left"/>
        <w:outlineLvl w:val="9"/>
        <w:rPr>
          <w:rFonts w:ascii="仿宋_GB2312" w:hAnsi="仿宋_GB2312" w:eastAsia="仿宋_GB2312" w:cs="仿宋_GB2312"/>
          <w:sz w:val="32"/>
          <w:szCs w:val="32"/>
        </w:rPr>
      </w:pPr>
    </w:p>
    <w:p w14:paraId="00BD86FA">
      <w:pPr>
        <w:spacing w:line="600" w:lineRule="exact"/>
        <w:jc w:val="center"/>
        <w:outlineLvl w:val="1"/>
        <w:rPr>
          <w:rFonts w:hAnsi="Calibri" w:cs="仿宋"/>
          <w:sz w:val="32"/>
          <w:szCs w:val="32"/>
        </w:rPr>
      </w:pPr>
      <w:bookmarkStart w:id="74" w:name="_Toc16472"/>
      <w:bookmarkStart w:id="75" w:name="_Toc15396618"/>
      <w:r>
        <w:drawing>
          <wp:anchor distT="0" distB="0" distL="114300" distR="114300" simplePos="0" relativeHeight="251666432" behindDoc="1" locked="0" layoutInCell="1" allowOverlap="1">
            <wp:simplePos x="0" y="0"/>
            <wp:positionH relativeFrom="column">
              <wp:posOffset>-323215</wp:posOffset>
            </wp:positionH>
            <wp:positionV relativeFrom="paragraph">
              <wp:posOffset>427355</wp:posOffset>
            </wp:positionV>
            <wp:extent cx="6388100" cy="7142480"/>
            <wp:effectExtent l="0" t="0" r="0" b="1270"/>
            <wp:wrapTight wrapText="bothSides">
              <wp:wrapPolygon>
                <wp:start x="0" y="0"/>
                <wp:lineTo x="0" y="21546"/>
                <wp:lineTo x="21514" y="21546"/>
                <wp:lineTo x="21514" y="0"/>
                <wp:lineTo x="0" y="0"/>
              </wp:wrapPolygon>
            </wp:wrapTight>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3"/>
                    <a:stretch>
                      <a:fillRect/>
                    </a:stretch>
                  </pic:blipFill>
                  <pic:spPr>
                    <a:xfrm>
                      <a:off x="0" y="0"/>
                      <a:ext cx="6388100" cy="7142480"/>
                    </a:xfrm>
                    <a:prstGeom prst="rect">
                      <a:avLst/>
                    </a:prstGeom>
                    <a:noFill/>
                    <a:ln>
                      <a:noFill/>
                    </a:ln>
                  </pic:spPr>
                </pic:pic>
              </a:graphicData>
            </a:graphic>
          </wp:anchor>
        </w:drawing>
      </w:r>
      <w:r>
        <w:rPr>
          <w:rFonts w:hint="eastAsia"/>
          <w:sz w:val="32"/>
          <w:szCs w:val="32"/>
        </w:rPr>
        <w:t>部门预算项目支出绩效自评表（2023年度）</w:t>
      </w:r>
      <w:bookmarkEnd w:id="74"/>
    </w:p>
    <w:p w14:paraId="490438E3">
      <w:pPr>
        <w:pStyle w:val="3"/>
        <w:bidi w:val="0"/>
      </w:pPr>
      <w:bookmarkStart w:id="76" w:name="_Toc11969"/>
      <w:r>
        <w:rPr>
          <w:rFonts w:hint="eastAsia"/>
        </w:rPr>
        <w:t>第五部分 附表</w:t>
      </w:r>
      <w:bookmarkEnd w:id="71"/>
      <w:bookmarkEnd w:id="75"/>
      <w:bookmarkEnd w:id="76"/>
      <w:bookmarkStart w:id="77" w:name="_Toc15396619"/>
    </w:p>
    <w:p w14:paraId="78AEFCAF">
      <w:pPr>
        <w:pStyle w:val="4"/>
        <w:rPr>
          <w:rFonts w:ascii="仿宋" w:hAnsi="仿宋" w:eastAsia="仿宋"/>
        </w:rPr>
      </w:pPr>
      <w:bookmarkStart w:id="78" w:name="_Toc21367"/>
      <w:r>
        <w:rPr>
          <w:rFonts w:hint="eastAsia" w:ascii="仿宋" w:hAnsi="仿宋" w:eastAsia="仿宋"/>
          <w:b w:val="0"/>
        </w:rPr>
        <w:t>一、收</w:t>
      </w:r>
      <w:r>
        <w:rPr>
          <w:rStyle w:val="28"/>
          <w:rFonts w:hint="eastAsia" w:ascii="仿宋" w:hAnsi="仿宋" w:eastAsia="仿宋"/>
          <w:b w:val="0"/>
          <w:bCs w:val="0"/>
        </w:rPr>
        <w:t>入支出决算总表</w:t>
      </w:r>
      <w:bookmarkEnd w:id="77"/>
      <w:bookmarkEnd w:id="78"/>
    </w:p>
    <w:p w14:paraId="33B610E5">
      <w:pPr>
        <w:pStyle w:val="4"/>
        <w:rPr>
          <w:rFonts w:ascii="仿宋" w:hAnsi="仿宋" w:eastAsia="仿宋"/>
        </w:rPr>
      </w:pPr>
      <w:bookmarkStart w:id="79" w:name="_Toc15396620"/>
      <w:bookmarkStart w:id="80" w:name="_Toc32626"/>
      <w:r>
        <w:rPr>
          <w:rFonts w:hint="eastAsia" w:ascii="仿宋" w:hAnsi="仿宋" w:eastAsia="仿宋"/>
          <w:b w:val="0"/>
        </w:rPr>
        <w:t>二、收</w:t>
      </w:r>
      <w:r>
        <w:rPr>
          <w:rStyle w:val="28"/>
          <w:rFonts w:hint="eastAsia" w:ascii="仿宋" w:hAnsi="仿宋" w:eastAsia="仿宋"/>
          <w:b w:val="0"/>
          <w:bCs w:val="0"/>
        </w:rPr>
        <w:t>入决算表</w:t>
      </w:r>
      <w:bookmarkEnd w:id="79"/>
      <w:bookmarkEnd w:id="80"/>
    </w:p>
    <w:p w14:paraId="05F3147E">
      <w:pPr>
        <w:pStyle w:val="4"/>
        <w:rPr>
          <w:rFonts w:ascii="仿宋" w:hAnsi="仿宋" w:eastAsia="仿宋"/>
        </w:rPr>
      </w:pPr>
      <w:bookmarkStart w:id="81" w:name="_Toc12129"/>
      <w:bookmarkStart w:id="82"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1"/>
      <w:bookmarkEnd w:id="82"/>
    </w:p>
    <w:p w14:paraId="6D087878">
      <w:pPr>
        <w:pStyle w:val="4"/>
        <w:rPr>
          <w:rFonts w:ascii="仿宋" w:hAnsi="仿宋" w:eastAsia="仿宋"/>
          <w:b w:val="0"/>
        </w:rPr>
      </w:pPr>
      <w:bookmarkStart w:id="83" w:name="_Toc15396622"/>
      <w:bookmarkStart w:id="84" w:name="_Toc15717"/>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3"/>
      <w:bookmarkEnd w:id="84"/>
    </w:p>
    <w:p w14:paraId="1D27F6CA">
      <w:pPr>
        <w:pStyle w:val="4"/>
        <w:rPr>
          <w:rStyle w:val="28"/>
          <w:rFonts w:ascii="仿宋" w:hAnsi="仿宋" w:eastAsia="仿宋"/>
          <w:b w:val="0"/>
          <w:bCs w:val="0"/>
        </w:rPr>
      </w:pPr>
      <w:bookmarkStart w:id="85" w:name="_Toc15396623"/>
      <w:bookmarkStart w:id="86" w:name="_Toc19861"/>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5"/>
      <w:bookmarkEnd w:id="86"/>
      <w:bookmarkStart w:id="87" w:name="_Toc15396624"/>
    </w:p>
    <w:p w14:paraId="4512DE0E">
      <w:pPr>
        <w:pStyle w:val="4"/>
        <w:rPr>
          <w:rFonts w:ascii="仿宋" w:hAnsi="仿宋" w:eastAsia="仿宋"/>
        </w:rPr>
      </w:pPr>
      <w:bookmarkStart w:id="88" w:name="_Toc29503"/>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7"/>
      <w:bookmarkEnd w:id="88"/>
    </w:p>
    <w:p w14:paraId="398D8A89">
      <w:pPr>
        <w:pStyle w:val="4"/>
        <w:rPr>
          <w:rFonts w:ascii="仿宋" w:hAnsi="仿宋" w:eastAsia="仿宋"/>
        </w:rPr>
      </w:pPr>
      <w:bookmarkStart w:id="89" w:name="_Toc12482"/>
      <w:bookmarkStart w:id="9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9"/>
      <w:bookmarkEnd w:id="90"/>
    </w:p>
    <w:p w14:paraId="47AD4F88">
      <w:pPr>
        <w:pStyle w:val="4"/>
        <w:rPr>
          <w:rFonts w:ascii="仿宋" w:hAnsi="仿宋" w:eastAsia="仿宋"/>
        </w:rPr>
      </w:pPr>
      <w:bookmarkStart w:id="91" w:name="_Toc6438"/>
      <w:bookmarkStart w:id="92"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1"/>
      <w:bookmarkEnd w:id="92"/>
    </w:p>
    <w:p w14:paraId="2B81D6F7">
      <w:pPr>
        <w:pStyle w:val="4"/>
        <w:rPr>
          <w:rFonts w:ascii="仿宋" w:hAnsi="仿宋" w:eastAsia="仿宋"/>
        </w:rPr>
      </w:pPr>
      <w:bookmarkStart w:id="93" w:name="_Toc14302"/>
      <w:bookmarkStart w:id="94"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3"/>
      <w:bookmarkEnd w:id="94"/>
    </w:p>
    <w:p w14:paraId="6BB1C006">
      <w:pPr>
        <w:pStyle w:val="4"/>
        <w:rPr>
          <w:rFonts w:ascii="仿宋" w:hAnsi="仿宋" w:eastAsia="仿宋"/>
        </w:rPr>
      </w:pPr>
      <w:bookmarkStart w:id="95" w:name="_Toc15396628"/>
      <w:bookmarkStart w:id="96" w:name="_Toc25597"/>
      <w:r>
        <w:rPr>
          <w:rStyle w:val="28"/>
          <w:rFonts w:hint="eastAsia" w:ascii="仿宋" w:hAnsi="仿宋" w:eastAsia="仿宋"/>
          <w:b w:val="0"/>
          <w:bCs w:val="0"/>
        </w:rPr>
        <w:t>十、</w:t>
      </w:r>
      <w:bookmarkEnd w:id="95"/>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6"/>
    </w:p>
    <w:p w14:paraId="64E97776">
      <w:pPr>
        <w:pStyle w:val="4"/>
        <w:rPr>
          <w:rFonts w:ascii="仿宋" w:hAnsi="仿宋" w:eastAsia="仿宋"/>
        </w:rPr>
      </w:pPr>
      <w:bookmarkStart w:id="97" w:name="_Toc15396629"/>
      <w:bookmarkStart w:id="98" w:name="_Toc22270"/>
      <w:r>
        <w:rPr>
          <w:rStyle w:val="28"/>
          <w:rFonts w:hint="eastAsia" w:ascii="仿宋" w:hAnsi="仿宋" w:eastAsia="仿宋"/>
          <w:b w:val="0"/>
          <w:bCs w:val="0"/>
        </w:rPr>
        <w:t>十一、</w:t>
      </w:r>
      <w:bookmarkEnd w:id="97"/>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8"/>
    </w:p>
    <w:p w14:paraId="0074EAE1">
      <w:pPr>
        <w:pStyle w:val="4"/>
        <w:rPr>
          <w:rFonts w:ascii="仿宋" w:hAnsi="仿宋" w:eastAsia="仿宋"/>
        </w:rPr>
      </w:pPr>
      <w:bookmarkStart w:id="99" w:name="_Toc15396630"/>
      <w:bookmarkStart w:id="100" w:name="_Toc10067"/>
      <w:r>
        <w:rPr>
          <w:rStyle w:val="28"/>
          <w:rFonts w:hint="eastAsia" w:ascii="仿宋" w:hAnsi="仿宋" w:eastAsia="仿宋"/>
          <w:b w:val="0"/>
          <w:bCs w:val="0"/>
        </w:rPr>
        <w:t>十二、</w:t>
      </w:r>
      <w:bookmarkEnd w:id="99"/>
      <w:r>
        <w:rPr>
          <w:rStyle w:val="28"/>
          <w:rFonts w:hint="eastAsia" w:ascii="仿宋" w:hAnsi="仿宋" w:eastAsia="仿宋"/>
          <w:b w:val="0"/>
          <w:bCs w:val="0"/>
        </w:rPr>
        <w:t>国有资本经营预算财政拨款支出决算表</w:t>
      </w:r>
      <w:bookmarkEnd w:id="100"/>
    </w:p>
    <w:p w14:paraId="56639D9A">
      <w:pPr>
        <w:pStyle w:val="4"/>
        <w:rPr>
          <w:rFonts w:eastAsia="仿宋"/>
        </w:rPr>
      </w:pPr>
      <w:bookmarkStart w:id="101" w:name="_Toc15396631"/>
      <w:bookmarkStart w:id="102" w:name="_Toc19450"/>
      <w:r>
        <w:rPr>
          <w:rStyle w:val="28"/>
          <w:rFonts w:hint="eastAsia" w:ascii="仿宋" w:hAnsi="仿宋" w:eastAsia="仿宋"/>
          <w:b w:val="0"/>
          <w:bCs w:val="0"/>
        </w:rPr>
        <w:t>十三、</w:t>
      </w:r>
      <w:bookmarkEnd w:id="101"/>
      <w:r>
        <w:rPr>
          <w:rStyle w:val="28"/>
          <w:rFonts w:hint="eastAsia" w:ascii="仿宋" w:hAnsi="仿宋" w:eastAsia="仿宋"/>
          <w:b w:val="0"/>
          <w:bCs w:val="0"/>
        </w:rPr>
        <w:t>财政拨款“三公”经费支出决算表</w:t>
      </w:r>
      <w:bookmarkEnd w:id="10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440E14B">
        <w:pPr>
          <w:pStyle w:val="10"/>
          <w:jc w:val="center"/>
        </w:pPr>
        <w:r>
          <w:fldChar w:fldCharType="begin"/>
        </w:r>
        <w:r>
          <w:instrText xml:space="preserve">PAGE   \* MERGEFORMAT</w:instrText>
        </w:r>
        <w:r>
          <w:fldChar w:fldCharType="separate"/>
        </w:r>
        <w:r>
          <w:rPr>
            <w:lang w:val="zh-CN"/>
          </w:rPr>
          <w:t>15</w:t>
        </w:r>
        <w:r>
          <w:fldChar w:fldCharType="end"/>
        </w:r>
      </w:p>
    </w:sdtContent>
  </w:sdt>
  <w:p w14:paraId="736BEDC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667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32912"/>
    <w:multiLevelType w:val="singleLevel"/>
    <w:tmpl w:val="91832912"/>
    <w:lvl w:ilvl="0" w:tentative="0">
      <w:start w:val="1"/>
      <w:numFmt w:val="decimal"/>
      <w:suff w:val="nothing"/>
      <w:lvlText w:val="%1．"/>
      <w:lvlJc w:val="left"/>
      <w:pPr>
        <w:ind w:left="0" w:firstLine="400"/>
      </w:pPr>
      <w:rPr>
        <w:rFonts w:hint="default" w:ascii="Times New Roman" w:hAnsi="Times New Roman" w:cs="Times New Roman"/>
        <w:color w:val="auto"/>
        <w:sz w:val="32"/>
        <w:szCs w:val="32"/>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YTc5MTBmYjM3MTAwMjVlMTAzODQ2YjIyYzE1MjUifQ=="/>
    <w:docVar w:name="KSO_WPS_MARK_KEY" w:val="8722bbf6-66ce-4c58-af75-9581e3b0d6bd"/>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77C5D96"/>
    <w:rsid w:val="081B5E94"/>
    <w:rsid w:val="0A2032A3"/>
    <w:rsid w:val="0B8A37D8"/>
    <w:rsid w:val="0D5506EF"/>
    <w:rsid w:val="0F5FFB2F"/>
    <w:rsid w:val="0FFFCF60"/>
    <w:rsid w:val="10C055FF"/>
    <w:rsid w:val="118107EC"/>
    <w:rsid w:val="11DD6519"/>
    <w:rsid w:val="140D0EAF"/>
    <w:rsid w:val="147F2942"/>
    <w:rsid w:val="14902DA1"/>
    <w:rsid w:val="16AC1357"/>
    <w:rsid w:val="16BB723D"/>
    <w:rsid w:val="17E42975"/>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5E02E1"/>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A67A60"/>
    <w:rsid w:val="4ECE2238"/>
    <w:rsid w:val="51DB4B86"/>
    <w:rsid w:val="51F64DB0"/>
    <w:rsid w:val="55333C3E"/>
    <w:rsid w:val="5770480D"/>
    <w:rsid w:val="58513F4A"/>
    <w:rsid w:val="5DC818E3"/>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6C0D94"/>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jc w:val="center"/>
      <w:outlineLvl w:val="0"/>
    </w:pPr>
    <w:rPr>
      <w:rFonts w:ascii="Times New Roman" w:hAnsi="Times New Roman" w:eastAsia="黑体"/>
      <w:bCs/>
      <w:kern w:val="44"/>
      <w:sz w:val="44"/>
      <w:szCs w:val="44"/>
    </w:rPr>
  </w:style>
  <w:style w:type="paragraph" w:styleId="4">
    <w:name w:val="heading 2"/>
    <w:basedOn w:val="1"/>
    <w:next w:val="1"/>
    <w:link w:val="28"/>
    <w:unhideWhenUsed/>
    <w:qFormat/>
    <w:uiPriority w:val="9"/>
    <w:pPr>
      <w:keepNext/>
      <w:keepLines/>
      <w:spacing w:before="260" w:after="260" w:line="416" w:lineRule="auto"/>
      <w:jc w:val="left"/>
      <w:outlineLvl w:val="1"/>
    </w:pPr>
    <w:rPr>
      <w:rFonts w:eastAsia="黑体" w:asciiTheme="majorAscii" w:hAnsiTheme="majorAscii" w:cstheme="majorBidi"/>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eastAsia="黑体"/>
      <w:bCs/>
      <w:kern w:val="44"/>
      <w:sz w:val="44"/>
      <w:szCs w:val="44"/>
    </w:rPr>
  </w:style>
  <w:style w:type="character" w:customStyle="1" w:styleId="28">
    <w:name w:val="标题 2 字符"/>
    <w:basedOn w:val="16"/>
    <w:link w:val="4"/>
    <w:qFormat/>
    <w:uiPriority w:val="9"/>
    <w:rPr>
      <w:rFonts w:eastAsia="黑体" w:asciiTheme="majorAscii" w:hAnsiTheme="majorAscii" w:cstheme="majorBidi"/>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9983;&#25104;&#27169;&#26495;\&#29983;&#25104;&#25991;&#264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9983;&#25104;&#27169;&#26495;\&#29983;&#25104;&#25991;&#26412;.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rPr lang="en-US" altLang="zh-CN" sz="140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1" i="0" u="none" strike="noStrike" baseline="0">
                <a:solidFill>
                  <a:srgbClr val="333333"/>
                </a:solidFill>
                <a:latin typeface="宋体" panose="02010600030101010101" charset="-122"/>
                <a:ea typeface="宋体" panose="02010600030101010101" charset="-122"/>
                <a:cs typeface="宋体" panose="02010600030101010101" charset="-122"/>
              </a:rPr>
              <a:t>年和</a:t>
            </a:r>
            <a:r>
              <a:rPr lang="en-US" altLang="zh-CN" sz="140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2023</a:t>
            </a:r>
            <a:r>
              <a:rPr altLang="en-US" sz="1400" b="1" i="0" u="none" strike="noStrike" baseline="0">
                <a:solidFill>
                  <a:srgbClr val="333333"/>
                </a:solidFill>
                <a:latin typeface="宋体" panose="02010600030101010101" charset="-122"/>
                <a:ea typeface="宋体" panose="02010600030101010101" charset="-122"/>
                <a:cs typeface="宋体" panose="02010600030101010101" charset="-122"/>
              </a:rPr>
              <a:t>年总收入支出对比图</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[生成文本.xls]Sheet1!$A$11</c:f>
              <c:strCache>
                <c:ptCount val="1"/>
                <c:pt idx="0">
                  <c:v>总收入</c:v>
                </c:pt>
              </c:strCache>
            </c:strRef>
          </c:tx>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[生成文本.xls]Sheet1!$B$10:$C$10</c:f>
              <c:strCache>
                <c:ptCount val="2"/>
                <c:pt idx="0">
                  <c:v>2022年</c:v>
                </c:pt>
                <c:pt idx="1">
                  <c:v>2023年</c:v>
                </c:pt>
              </c:strCache>
            </c:strRef>
          </c:cat>
          <c:val>
            <c:numRef>
              <c:f>[生成文本.xls]Sheet1!$B$11:$C$11</c:f>
              <c:numCache>
                <c:formatCode>#,##0.00_ </c:formatCode>
                <c:ptCount val="2"/>
                <c:pt idx="0">
                  <c:v>13573379.95</c:v>
                </c:pt>
                <c:pt idx="1">
                  <c:v>23789487.46</c:v>
                </c:pt>
              </c:numCache>
            </c:numRef>
          </c:val>
        </c:ser>
        <c:ser>
          <c:idx val="1"/>
          <c:order val="1"/>
          <c:tx>
            <c:strRef>
              <c:f>[生成文本.xls]Sheet1!$A$12</c:f>
              <c:strCache>
                <c:ptCount val="1"/>
                <c:pt idx="0">
                  <c:v>总支出</c:v>
                </c:pt>
              </c:strCache>
            </c:strRef>
          </c:tx>
          <c:spPr>
            <a:solidFill>
              <a:srgbClr val="C0504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[生成文本.xls]Sheet1!$B$10:$C$10</c:f>
              <c:strCache>
                <c:ptCount val="2"/>
                <c:pt idx="0">
                  <c:v>2022年</c:v>
                </c:pt>
                <c:pt idx="1">
                  <c:v>2023年</c:v>
                </c:pt>
              </c:strCache>
            </c:strRef>
          </c:cat>
          <c:val>
            <c:numRef>
              <c:f>[生成文本.xls]Sheet1!$B$12:$C$12</c:f>
              <c:numCache>
                <c:formatCode>#,##0.00_ </c:formatCode>
                <c:ptCount val="2"/>
                <c:pt idx="0">
                  <c:v>22364415.95</c:v>
                </c:pt>
                <c:pt idx="1">
                  <c:v>24272121.44</c:v>
                </c:pt>
              </c:numCache>
            </c:numRef>
          </c:val>
        </c:ser>
        <c:dLbls>
          <c:showLegendKey val="0"/>
          <c:showVal val="0"/>
          <c:showCatName val="0"/>
          <c:showSerName val="0"/>
          <c:showPercent val="0"/>
          <c:showBubbleSize val="0"/>
        </c:dLbls>
        <c:gapWidth val="246"/>
        <c:overlap val="-28"/>
        <c:axId val="809078936"/>
        <c:axId val="431359339"/>
      </c:barChart>
      <c:catAx>
        <c:axId val="80907893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31359339"/>
        <c:crosses val="autoZero"/>
        <c:auto val="1"/>
        <c:lblAlgn val="ctr"/>
        <c:lblOffset val="100"/>
        <c:noMultiLvlLbl val="0"/>
      </c:catAx>
      <c:valAx>
        <c:axId val="431359339"/>
        <c:scaling>
          <c:orientation val="minMax"/>
        </c:scaling>
        <c:delete val="0"/>
        <c:axPos val="l"/>
        <c:majorGridlines>
          <c:spPr>
            <a:ln w="9525" cap="flat" cmpd="sng" algn="ctr">
              <a:solidFill>
                <a:srgbClr val="E6E6E6">
                  <a:lumMod val="90200"/>
                </a:srgbClr>
              </a:solidFill>
              <a:prstDash val="solid"/>
              <a:round/>
            </a:ln>
            <a:effectLst/>
          </c:spPr>
        </c:majorGridlines>
        <c:numFmt formatCode="#,##0.00_ "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09078936"/>
        <c:crosses val="autoZero"/>
        <c:crossBetween val="between"/>
      </c:valAx>
      <c:dTable>
        <c:showHorzBorder val="1"/>
        <c:showVertBorder val="1"/>
        <c:showOutline val="1"/>
        <c:showKeys val="1"/>
        <c:spPr>
          <a:noFill/>
          <a:ln w="9525" cap="flat" cmpd="sng" algn="ctr">
            <a:solidFill>
              <a:srgbClr val="D9D9D9">
                <a:lumMod val="15000"/>
                <a:lumOff val="85000"/>
              </a:srgbClr>
            </a:solidFill>
            <a:prstDash val="solid"/>
            <a:round/>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dTable>
      <c:spPr>
        <a:noFill/>
        <a:ln>
          <a:noFill/>
        </a:ln>
        <a:effectLst/>
      </c:spPr>
    </c:plotArea>
    <c:legend>
      <c:legendPos val="b"/>
      <c:layout>
        <c:manualLayout>
          <c:xMode val="edge"/>
          <c:yMode val="edge"/>
          <c:x val="0.394"/>
          <c:y val="0.895"/>
          <c:w val="0.2115"/>
          <c:h val="0.0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9e6191ea-3e87-402b-9ac4-ce97dce84e65}"/>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t>收入构成情况表</a:t>
            </a:r>
            <a:endParaRPr sz="14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rgbClr val="4F81BD"/>
              </a:solidFill>
              <a:ln>
                <a:solidFill>
                  <a:srgbClr val="FFFFFF"/>
                </a:solidFill>
              </a:ln>
              <a:effectLst/>
            </c:spPr>
          </c:dPt>
          <c:dPt>
            <c:idx val="1"/>
            <c:bubble3D val="0"/>
            <c:explosion val="0"/>
            <c:spPr>
              <a:solidFill>
                <a:srgbClr val="C0504D"/>
              </a:solidFill>
              <a:ln>
                <a:solidFill>
                  <a:srgbClr val="FFFFFF"/>
                </a:solidFill>
              </a:ln>
              <a:effectLst/>
            </c:spPr>
          </c:dPt>
          <c:dPt>
            <c:idx val="2"/>
            <c:bubble3D val="0"/>
            <c:explosion val="0"/>
            <c:spPr>
              <a:solidFill>
                <a:srgbClr val="9BBB59"/>
              </a:solidFill>
              <a:ln>
                <a:solidFill>
                  <a:srgbClr val="FFFFFF"/>
                </a:solidFill>
              </a:ln>
              <a:effectLst/>
            </c:spPr>
          </c:dPt>
          <c:dPt>
            <c:idx val="3"/>
            <c:bubble3D val="0"/>
            <c:explosion val="0"/>
            <c:spPr>
              <a:solidFill>
                <a:srgbClr val="8064A2"/>
              </a:solidFill>
              <a:ln>
                <a:solidFill>
                  <a:srgbClr val="FFFFFF"/>
                </a:solidFill>
              </a:ln>
              <a:effectLst/>
            </c:spPr>
          </c:dPt>
          <c:dPt>
            <c:idx val="4"/>
            <c:bubble3D val="0"/>
            <c:explosion val="0"/>
            <c:spPr>
              <a:solidFill>
                <a:srgbClr val="4BACC6"/>
              </a:solidFill>
              <a:ln>
                <a:solidFill>
                  <a:srgbClr val="FFFFFF"/>
                </a:solidFill>
              </a:ln>
              <a:effectLst/>
            </c:spPr>
          </c:dPt>
          <c:dPt>
            <c:idx val="5"/>
            <c:bubble3D val="0"/>
            <c:explosion val="0"/>
            <c:spPr>
              <a:solidFill>
                <a:srgbClr val="F79646"/>
              </a:solidFill>
              <a:ln>
                <a:solidFill>
                  <a:srgbClr val="FFFFFF"/>
                </a:solidFill>
              </a:ln>
              <a:effectLst/>
            </c:spPr>
          </c:dPt>
          <c:dPt>
            <c:idx val="6"/>
            <c:bubble3D val="0"/>
            <c:explosion val="0"/>
            <c:spPr>
              <a:solidFill>
                <a:srgbClr val="2C4D75">
                  <a:lumMod val="60000"/>
                </a:srgbClr>
              </a:solidFill>
              <a:ln>
                <a:solidFill>
                  <a:srgbClr val="FFFFFF"/>
                </a:solidFill>
              </a:ln>
              <a:effectLst/>
            </c:spPr>
          </c:dPt>
          <c:dPt>
            <c:idx val="7"/>
            <c:bubble3D val="0"/>
            <c:explosion val="0"/>
            <c:spPr>
              <a:solidFill>
                <a:srgbClr val="772C2A">
                  <a:lumMod val="60000"/>
                </a:srgbClr>
              </a:solidFill>
              <a:ln>
                <a:solidFill>
                  <a:srgbClr val="FFFFFF"/>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[生成文本.xls]Sheet1!$A$23:$A$30</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[生成文本.xls]Sheet1!$D$23:$D$30</c:f>
              <c:numCache>
                <c:formatCode>#,##0.00_ </c:formatCode>
                <c:ptCount val="8"/>
                <c:pt idx="0">
                  <c:v>82.29</c:v>
                </c:pt>
                <c:pt idx="1">
                  <c:v>17.71</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125"/>
          <c:y val="0.14075"/>
          <c:w val="0.3225"/>
          <c:h val="0.8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4d5bed22-7898-4468-b78d-b0b42b6e6c4b}"/>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0.3489</c:v>
                </c:pt>
                <c:pt idx="1">
                  <c:v>0.6511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97d4651-05ae-497e-ad6c-f19d638cf4a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manualLayout>
          <c:layoutTarget val="inner"/>
          <c:xMode val="edge"/>
          <c:yMode val="edge"/>
          <c:x val="0.0719497463155352"/>
          <c:y val="0.14067148321292"/>
          <c:w val="0.929258274945639"/>
          <c:h val="0.639481512962176"/>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1357.34</c:v>
                </c:pt>
                <c:pt idx="1">
                  <c:v>2378.95</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Sheet1!$C$2:$C$3</c:f>
              <c:numCache>
                <c:formatCode>General</c:formatCode>
                <c:ptCount val="2"/>
                <c:pt idx="0">
                  <c:v>2236.44</c:v>
                </c:pt>
                <c:pt idx="1">
                  <c:v>2427.21</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557917281"/>
        <c:axId val="972943750"/>
      </c:barChart>
      <c:catAx>
        <c:axId val="557917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943750"/>
        <c:crosses val="autoZero"/>
        <c:auto val="1"/>
        <c:lblAlgn val="ctr"/>
        <c:lblOffset val="100"/>
        <c:noMultiLvlLbl val="0"/>
      </c:catAx>
      <c:valAx>
        <c:axId val="97294375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9172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83cb7b0-2b58-486c-a734-64354ac70f5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736122073138648"/>
          <c:y val="0.209549034233328"/>
          <c:w val="0.929258274945639"/>
          <c:h val="0.639481512962176"/>
        </c:manualLayout>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2022年度</c:v>
                </c:pt>
                <c:pt idx="1">
                  <c:v>2023年度</c:v>
                </c:pt>
              </c:strCache>
            </c:strRef>
          </c:cat>
          <c:val>
            <c:numRef>
              <c:f>Sheet1!$B$1:$B$2</c:f>
              <c:numCache>
                <c:formatCode>General</c:formatCode>
                <c:ptCount val="2"/>
                <c:pt idx="0">
                  <c:v>2094.74</c:v>
                </c:pt>
                <c:pt idx="1">
                  <c:v>2005.83</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2022年度</c:v>
                </c:pt>
                <c:pt idx="1">
                  <c:v>2023年度</c:v>
                </c:pt>
              </c:strCache>
            </c:strRef>
          </c:cat>
          <c:val>
            <c:numRef>
              <c:f>Sheet1!$C$2:$C$3</c:f>
              <c:numCache>
                <c:formatCode>General</c:formatCode>
                <c:ptCount val="2"/>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Sheet1!$A$1:$A$2</c:f>
              <c:strCache>
                <c:ptCount val="2"/>
                <c:pt idx="0">
                  <c:v>2022年度</c:v>
                </c:pt>
                <c:pt idx="1">
                  <c:v>2023年度</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389"/>
        <c:overlap val="100"/>
        <c:axId val="557917281"/>
        <c:axId val="972943750"/>
      </c:barChart>
      <c:catAx>
        <c:axId val="557917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943750"/>
        <c:crosses val="autoZero"/>
        <c:auto val="1"/>
        <c:lblAlgn val="ctr"/>
        <c:lblOffset val="100"/>
        <c:noMultiLvlLbl val="0"/>
      </c:catAx>
      <c:valAx>
        <c:axId val="97294375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917281"/>
        <c:crosses val="autoZero"/>
        <c:crossBetween val="between"/>
      </c:valAx>
      <c:spPr>
        <a:noFill/>
        <a:ln>
          <a:noFill/>
        </a:ln>
        <a:effectLst/>
      </c:spPr>
    </c:plotArea>
    <c:plotVisOnly val="1"/>
    <c:dispBlanksAs val="gap"/>
    <c:showDLblsOverMax val="0"/>
    <c:extLst>
      <c:ext uri="{0b15fc19-7d7d-44ad-8c2d-2c3a37ce22c3}">
        <chartProps xmlns="https://web.wps.cn/et/2018/main" chartId="{85b9af5a-c91d-45ff-aa74-45f28d83dab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189444444444444"/>
          <c:y val="0.0381944444444444"/>
        </c:manualLayout>
      </c:layout>
      <c:overlay val="0"/>
      <c:spPr>
        <a:noFill/>
        <a:ln>
          <a:noFill/>
        </a:ln>
        <a:effectLst/>
      </c:spPr>
    </c:title>
    <c:autoTitleDeleted val="0"/>
    <c:plotArea>
      <c:layout>
        <c:manualLayout>
          <c:layoutTarget val="inner"/>
          <c:xMode val="edge"/>
          <c:yMode val="edge"/>
          <c:x val="0.0981156595191682"/>
          <c:y val="0.170741901776385"/>
          <c:w val="0.496166341780377"/>
          <c:h val="0.79791013584117"/>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delete val="1"/>
          </c:dLbls>
          <c:cat>
            <c:strRef>
              <c:f>[工作簿1]Sheet1!$O$2:$O$13</c:f>
              <c:strCache>
                <c:ptCount val="12"/>
                <c:pt idx="0">
                  <c:v>一般公共服务支出</c:v>
                </c:pt>
                <c:pt idx="1">
                  <c:v>公共安全支出</c:v>
                </c:pt>
                <c:pt idx="2">
                  <c:v>文化旅游体育与传媒支出</c:v>
                </c:pt>
                <c:pt idx="3">
                  <c:v>社会保障和就业支出</c:v>
                </c:pt>
                <c:pt idx="4">
                  <c:v>卫生健康支出</c:v>
                </c:pt>
                <c:pt idx="5">
                  <c:v>城乡社区支出</c:v>
                </c:pt>
                <c:pt idx="6">
                  <c:v>农林水支出</c:v>
                </c:pt>
                <c:pt idx="7">
                  <c:v>交通运输支出</c:v>
                </c:pt>
                <c:pt idx="8">
                  <c:v>住房保障支出</c:v>
                </c:pt>
                <c:pt idx="9">
                  <c:v>粮油物资储备支出</c:v>
                </c:pt>
                <c:pt idx="10">
                  <c:v>灾害防治及应急管理支出</c:v>
                </c:pt>
                <c:pt idx="11">
                  <c:v>其他支出</c:v>
                </c:pt>
              </c:strCache>
            </c:strRef>
          </c:cat>
          <c:val>
            <c:numRef>
              <c:f>[工作簿1]Sheet1!$V$2:$V$13</c:f>
              <c:numCache>
                <c:formatCode>General</c:formatCode>
                <c:ptCount val="12"/>
                <c:pt idx="0">
                  <c:v>17.47</c:v>
                </c:pt>
                <c:pt idx="1">
                  <c:v>0.35</c:v>
                </c:pt>
                <c:pt idx="2">
                  <c:v>0.69</c:v>
                </c:pt>
                <c:pt idx="3">
                  <c:v>4.4</c:v>
                </c:pt>
                <c:pt idx="4">
                  <c:v>1.24</c:v>
                </c:pt>
                <c:pt idx="5">
                  <c:v>2.32</c:v>
                </c:pt>
                <c:pt idx="6">
                  <c:v>51.91</c:v>
                </c:pt>
                <c:pt idx="7">
                  <c:v>11.25</c:v>
                </c:pt>
                <c:pt idx="8">
                  <c:v>2.09</c:v>
                </c:pt>
                <c:pt idx="9">
                  <c:v>4.99</c:v>
                </c:pt>
                <c:pt idx="10">
                  <c:v>0.3</c:v>
                </c:pt>
                <c:pt idx="11">
                  <c:v>2.99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82261208576998"/>
          <c:y val="0.210392902408112"/>
          <c:w val="0.290448343079922"/>
          <c:h val="0.7705956907477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extLst>
      <c:ext uri="{0b15fc19-7d7d-44ad-8c2d-2c3a37ce22c3}">
        <chartProps xmlns="https://web.wps.cn/et/2018/main" chartId="{30f9a823-12ae-408c-b3ef-48d366e5f8f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18e088e-e47c-4a5b-b997-2cf0a270cdb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497</Words>
  <Characters>529</Characters>
  <Lines>54</Lines>
  <Paragraphs>15</Paragraphs>
  <TotalTime>9</TotalTime>
  <ScaleCrop>false</ScaleCrop>
  <LinksUpToDate>false</LinksUpToDate>
  <CharactersWithSpaces>625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莞尔</cp:lastModifiedBy>
  <cp:lastPrinted>2024-10-22T03:03:00Z</cp:lastPrinted>
  <dcterms:modified xsi:type="dcterms:W3CDTF">2024-11-12T07:04:17Z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C25273B98E414FE49DBBB9A67DFCB7E4_13</vt:lpwstr>
  </property>
</Properties>
</file>