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1" w:name="_Toc15377193"/>
      <w:bookmarkStart w:id="2" w:name="_Toc15377425"/>
      <w:bookmarkStart w:id="3" w:name="_Toc15396475"/>
      <w:bookmarkStart w:id="4" w:name="_Toc15396597"/>
      <w:bookmarkStart w:id="5" w:name="_Toc15378441"/>
      <w:r>
        <w:rPr>
          <w:rFonts w:hint="default" w:ascii="Times New Roman" w:hAnsi="Times New Roman" w:eastAsia="方正小标宋简体" w:cs="Times New Roman"/>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lang w:eastAsia="zh-CN"/>
        </w:rPr>
      </w:pPr>
      <w:bookmarkStart w:id="6" w:name="_Toc15396476"/>
      <w:bookmarkStart w:id="7" w:name="_Toc15378442"/>
      <w:bookmarkStart w:id="8" w:name="_Toc15396598"/>
      <w:bookmarkStart w:id="9" w:name="_Toc15306268"/>
      <w:bookmarkStart w:id="10" w:name="_Toc15377194"/>
      <w:bookmarkStart w:id="11" w:name="_Toc15377426"/>
      <w:r>
        <w:rPr>
          <w:rFonts w:hint="default" w:ascii="Times New Roman" w:hAnsi="Times New Roman" w:eastAsia="方正小标宋简体" w:cs="Times New Roman"/>
          <w:color w:val="auto"/>
          <w:sz w:val="72"/>
          <w:szCs w:val="72"/>
          <w:highlight w:val="none"/>
          <w:lang w:eastAsia="zh-CN"/>
        </w:rPr>
        <w:t>大竹县东柳中心卫生院</w:t>
      </w:r>
    </w:p>
    <w:p>
      <w:pPr>
        <w:adjustRightInd w:val="0"/>
        <w:snapToGrid w:val="0"/>
        <w:spacing w:line="360" w:lineRule="auto"/>
        <w:jc w:val="center"/>
        <w:outlineLvl w:val="0"/>
        <w:rPr>
          <w:rFonts w:hint="default" w:ascii="Times New Roman" w:hAnsi="Times New Roman" w:eastAsia="方正小标宋简体" w:cs="Times New Roman"/>
          <w:color w:val="000000" w:themeColor="text1"/>
          <w:sz w:val="72"/>
          <w:szCs w:val="72"/>
          <w:highlight w:val="none"/>
          <w:shd w:val="clear" w:color="auto" w:fill="auto"/>
          <w14:textFill>
            <w14:solidFill>
              <w14:schemeClr w14:val="tx1"/>
            </w14:solidFill>
          </w14:textFill>
        </w:rPr>
      </w:pPr>
      <w:r>
        <w:rPr>
          <w:rFonts w:hint="default" w:ascii="Times New Roman" w:hAnsi="Times New Roman" w:eastAsia="方正小标宋简体" w:cs="Times New Roman"/>
          <w:color w:val="000000" w:themeColor="text1"/>
          <w:sz w:val="72"/>
          <w:szCs w:val="72"/>
          <w:highlight w:val="none"/>
          <w:shd w:val="clear" w:color="auto" w:fill="auto"/>
          <w14:textFill>
            <w14:solidFill>
              <w14:schemeClr w14:val="tx1"/>
            </w14:solidFill>
          </w14:textFill>
        </w:rPr>
        <w:t>单位决算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eastAsia="仿宋" w:cs="Times New Roman"/>
          <w:highlight w:val="none"/>
          <w:lang w:val="en-US" w:eastAsia="zh-CN"/>
        </w:rPr>
      </w:pPr>
      <w:r>
        <w:rPr>
          <w:rFonts w:hint="default" w:ascii="Times New Roman" w:hAnsi="Times New Roman" w:cs="Times New Roman"/>
          <w:highlight w:val="none"/>
        </w:rPr>
        <w:t>公开时间：202</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年</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月</w:t>
      </w:r>
      <w:r>
        <w:rPr>
          <w:rFonts w:hint="default" w:ascii="Times New Roman" w:hAnsi="Times New Roman" w:cs="Times New Roman"/>
          <w:highlight w:val="none"/>
          <w:lang w:val="en-US" w:eastAsia="zh-CN"/>
        </w:rPr>
        <w:t>18</w:t>
      </w:r>
      <w:r>
        <w:rPr>
          <w:rFonts w:hint="default" w:ascii="Times New Roman" w:hAnsi="Times New Roman" w:cs="Times New Roman"/>
          <w:highlight w:val="none"/>
        </w:rPr>
        <w:t>日</w:t>
      </w:r>
    </w:p>
    <w:p>
      <w:pPr>
        <w:rPr>
          <w:rFonts w:hint="default" w:ascii="Times New Roman" w:hAnsi="Times New Roman" w:cs="Times New Roman"/>
        </w:rPr>
      </w:pP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第一部分 单位概况</w:t>
      </w:r>
      <w:r>
        <w:rPr>
          <w:rFonts w:hint="default" w:ascii="Times New Roman" w:hAnsi="Times New Roman" w:cs="Times New Roman"/>
          <w:sz w:val="24"/>
          <w:lang w:val="en-US" w:eastAsia="zh-CN"/>
        </w:rPr>
        <w:tab/>
      </w:r>
      <w:r>
        <w:rPr>
          <w:rFonts w:hint="default" w:ascii="Times New Roman" w:hAnsi="Times New Roman" w:cs="Times New Roman"/>
          <w:sz w:val="24"/>
        </w:rPr>
        <w:t>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一、主要职责</w:t>
      </w:r>
      <w:r>
        <w:rPr>
          <w:rFonts w:hint="default" w:ascii="Times New Roman" w:hAnsi="Times New Roman" w:cs="Times New Roman"/>
          <w:sz w:val="24"/>
          <w:lang w:val="en-US" w:eastAsia="zh-CN"/>
        </w:rPr>
        <w:tab/>
      </w:r>
      <w:r>
        <w:rPr>
          <w:rFonts w:hint="default" w:ascii="Times New Roman" w:hAnsi="Times New Roman" w:cs="Times New Roman"/>
          <w:sz w:val="24"/>
        </w:rPr>
        <w:t>4</w:t>
      </w:r>
    </w:p>
    <w:p>
      <w:pPr>
        <w:pStyle w:val="13"/>
        <w:adjustRightInd w:val="0"/>
        <w:snapToGrid w:val="0"/>
        <w:spacing w:line="440" w:lineRule="exact"/>
        <w:jc w:val="left"/>
        <w:rPr>
          <w:rFonts w:hint="default" w:ascii="Times New Roman" w:hAnsi="Times New Roman" w:cs="Times New Roman"/>
        </w:rPr>
      </w:pPr>
      <w:r>
        <w:rPr>
          <w:rFonts w:hint="default" w:ascii="Times New Roman" w:hAnsi="Times New Roman" w:cs="Times New Roman"/>
          <w:sz w:val="24"/>
        </w:rPr>
        <w:t>二、机构设置</w:t>
      </w:r>
      <w:r>
        <w:rPr>
          <w:rFonts w:hint="default" w:ascii="Times New Roman" w:hAnsi="Times New Roman" w:cs="Times New Roman"/>
          <w:sz w:val="24"/>
          <w:lang w:val="en-US" w:eastAsia="zh-CN"/>
        </w:rPr>
        <w:tab/>
      </w:r>
      <w:r>
        <w:rPr>
          <w:rFonts w:hint="default" w:ascii="Times New Roman" w:hAnsi="Times New Roman" w:cs="Times New Roman"/>
          <w:sz w:val="24"/>
        </w:rPr>
        <w:t>4</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第二部分 2023年度单位决算情况说明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5</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5</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5</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6</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7</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7</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10</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10</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八、政府性基金预算支出决算情况说明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12</w:t>
      </w:r>
    </w:p>
    <w:p>
      <w:pPr>
        <w:pStyle w:val="13"/>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九、国有资本经营预算支出决算情况说明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12</w:t>
      </w:r>
    </w:p>
    <w:p>
      <w:pPr>
        <w:pStyle w:val="13"/>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十、其他重要事项的情况说明</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12</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第三部分 名词解释</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13</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第四部分 附件</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16</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第五部分 附表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一、收入支出决算总表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十三、财政拨款“三公”经费支出决算表</w:t>
      </w:r>
      <w:r>
        <w:rPr>
          <w:rFonts w:hint="default" w:ascii="Times New Roman" w:hAnsi="Times New Roman" w:cs="Times New Roman"/>
          <w:sz w:val="24"/>
          <w:lang w:val="en-US" w:eastAsia="zh-CN"/>
        </w:rPr>
        <w:tab/>
      </w:r>
      <w:r>
        <w:rPr>
          <w:rFonts w:hint="default" w:ascii="Times New Roman" w:hAnsi="Times New Roman" w:cs="Times New Roman"/>
          <w:sz w:val="24"/>
          <w:lang w:val="en-US" w:eastAsia="zh-CN"/>
        </w:rPr>
        <w:t>17</w:t>
      </w:r>
    </w:p>
    <w:p>
      <w:pPr>
        <w:pStyle w:val="2"/>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3"/>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黑体" w:cs="Times New Roman"/>
          <w:sz w:val="32"/>
          <w:szCs w:val="32"/>
        </w:rPr>
      </w:pPr>
      <w:bookmarkStart w:id="12" w:name="_Toc15377196"/>
      <w:bookmarkStart w:id="13" w:name="_Toc15396599"/>
      <w:r>
        <w:rPr>
          <w:rFonts w:hint="default" w:ascii="Times New Roman" w:hAnsi="Times New Roman" w:eastAsia="黑体" w:cs="Times New Roman"/>
          <w:b w:val="0"/>
        </w:rPr>
        <w:t>第一部分 单位</w:t>
      </w:r>
      <w:r>
        <w:rPr>
          <w:rStyle w:val="27"/>
          <w:rFonts w:hint="default" w:ascii="Times New Roman" w:hAnsi="Times New Roman" w:eastAsia="黑体" w:cs="Times New Roman"/>
          <w:b w:val="0"/>
          <w:bCs w:val="0"/>
        </w:rPr>
        <w:t>概况</w:t>
      </w:r>
      <w:bookmarkEnd w:id="12"/>
      <w:bookmarkEnd w:id="13"/>
    </w:p>
    <w:p>
      <w:pPr>
        <w:pStyle w:val="4"/>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Style w:val="28"/>
          <w:rFonts w:hint="default" w:ascii="Times New Roman" w:hAnsi="Times New Roman" w:eastAsia="黑体" w:cs="Times New Roman"/>
          <w:b/>
          <w:bCs/>
          <w:highlight w:val="none"/>
        </w:rPr>
      </w:pPr>
      <w:bookmarkStart w:id="14" w:name="_Toc15377197"/>
      <w:bookmarkStart w:id="15" w:name="_Toc15396600"/>
      <w:r>
        <w:rPr>
          <w:rStyle w:val="28"/>
          <w:rFonts w:hint="default" w:ascii="Times New Roman" w:hAnsi="Times New Roman" w:eastAsia="黑体" w:cs="Times New Roman"/>
          <w:b/>
          <w:bCs/>
          <w:highlight w:val="none"/>
        </w:rPr>
        <w:t>主要职责</w:t>
      </w:r>
    </w:p>
    <w:p>
      <w:pPr>
        <w:pStyle w:val="4"/>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color w:val="000000"/>
          <w:kern w:val="0"/>
          <w:sz w:val="32"/>
          <w:szCs w:val="32"/>
          <w:lang w:val="en-US" w:eastAsia="zh-CN" w:bidi="ar-SA"/>
        </w:rPr>
      </w:pPr>
      <w:r>
        <w:rPr>
          <w:rFonts w:hint="default" w:ascii="Times New Roman" w:hAnsi="Times New Roman" w:eastAsia="仿宋" w:cs="Times New Roman"/>
          <w:b w:val="0"/>
          <w:bCs/>
          <w:color w:val="000000"/>
          <w:kern w:val="0"/>
          <w:sz w:val="32"/>
          <w:szCs w:val="32"/>
          <w:lang w:val="en-US" w:eastAsia="zh-CN" w:bidi="ar-SA"/>
        </w:rPr>
        <w:t>贯彻执行党的卫生工作方针政策和国家卫生法律、法规，以公共卫生服务为主，面向社区和农村居民提供综合性卫生服务，为人民身体健康提供基本医疗与预防保健、对乡村医生的业务进行指导和培训、卫生监督与卫生信息管理。</w:t>
      </w:r>
    </w:p>
    <w:p>
      <w:pPr>
        <w:pStyle w:val="4"/>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highlight w:val="none"/>
        </w:rPr>
      </w:pPr>
      <w:r>
        <w:rPr>
          <w:rFonts w:hint="default" w:ascii="Times New Roman" w:hAnsi="Times New Roman" w:eastAsia="黑体" w:cs="Times New Roman"/>
          <w:b w:val="0"/>
          <w:highlight w:val="none"/>
        </w:rPr>
        <w:t>机构设置</w:t>
      </w:r>
    </w:p>
    <w:p>
      <w:pPr>
        <w:pStyle w:val="6"/>
        <w:pageBreakBefore w:val="0"/>
        <w:widowControl w:val="0"/>
        <w:numPr>
          <w:ilvl w:val="0"/>
          <w:numId w:val="0"/>
        </w:numPr>
        <w:kinsoku/>
        <w:wordWrap/>
        <w:overflowPunct/>
        <w:topLinePunct w:val="0"/>
        <w:autoSpaceDE/>
        <w:autoSpaceDN/>
        <w:bidi w:val="0"/>
        <w:adjustRightInd w:val="0"/>
        <w:snapToGrid w:val="0"/>
        <w:spacing w:before="93" w:line="600" w:lineRule="exact"/>
        <w:ind w:firstLine="640"/>
        <w:textAlignment w:val="auto"/>
        <w:outlineLvl w:val="2"/>
        <w:rPr>
          <w:rFonts w:hint="default" w:ascii="Times New Roman" w:hAnsi="Times New Roman" w:eastAsia="仿宋" w:cs="Times New Roman"/>
          <w:bCs/>
          <w:color w:val="000000"/>
          <w:sz w:val="32"/>
          <w:szCs w:val="32"/>
          <w:lang w:val="en-US" w:eastAsia="zh-CN"/>
        </w:rPr>
      </w:pPr>
      <w:r>
        <w:rPr>
          <w:rFonts w:hint="default" w:ascii="Times New Roman" w:hAnsi="Times New Roman" w:eastAsia="仿宋" w:cs="Times New Roman"/>
          <w:bCs/>
          <w:color w:val="000000"/>
          <w:sz w:val="32"/>
          <w:szCs w:val="32"/>
          <w:lang w:eastAsia="zh-CN"/>
        </w:rPr>
        <w:t>大竹县东柳中心卫生院下属二级预算单位</w:t>
      </w:r>
      <w:r>
        <w:rPr>
          <w:rFonts w:hint="default" w:ascii="Times New Roman" w:hAnsi="Times New Roman" w:eastAsia="仿宋" w:cs="Times New Roman"/>
          <w:bCs/>
          <w:color w:val="000000"/>
          <w:sz w:val="32"/>
          <w:szCs w:val="32"/>
          <w:lang w:val="en-US" w:eastAsia="zh-CN"/>
        </w:rPr>
        <w:t>0个，其中行政单位0个，参照公务员法管理的事业单位0个，其他事业单位0个。</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93" w:line="600" w:lineRule="exact"/>
        <w:ind w:firstLine="640"/>
        <w:textAlignment w:val="auto"/>
        <w:outlineLvl w:val="2"/>
        <w:rPr>
          <w:rFonts w:hint="default" w:ascii="Times New Roman" w:hAnsi="Times New Roman" w:eastAsia="仿宋" w:cs="Times New Roman"/>
          <w:bCs/>
          <w:color w:val="000000"/>
          <w:sz w:val="32"/>
          <w:szCs w:val="32"/>
          <w:lang w:val="en-US" w:eastAsia="zh-CN"/>
        </w:rPr>
      </w:pPr>
      <w:r>
        <w:rPr>
          <w:rFonts w:hint="default" w:ascii="Times New Roman" w:hAnsi="Times New Roman" w:eastAsia="仿宋" w:cs="Times New Roman"/>
          <w:bCs/>
          <w:color w:val="000000"/>
          <w:sz w:val="32"/>
          <w:szCs w:val="32"/>
          <w:lang w:val="en-US" w:eastAsia="zh-CN"/>
        </w:rPr>
        <w:t>纳入本单位2023年度部门决算编制范围的二级预算单位包括：无。</w:t>
      </w:r>
    </w:p>
    <w:p>
      <w:pPr>
        <w:keepNext w:val="0"/>
        <w:keepLines w:val="0"/>
        <w:pageBreakBefore w:val="0"/>
        <w:widowControl w:val="0"/>
        <w:numPr>
          <w:ilvl w:val="0"/>
          <w:numId w:val="0"/>
        </w:numPr>
        <w:kinsoku/>
        <w:wordWrap/>
        <w:overflowPunct/>
        <w:topLinePunct w:val="0"/>
        <w:autoSpaceDE/>
        <w:autoSpaceDN/>
        <w:bidi w:val="0"/>
        <w:spacing w:line="600" w:lineRule="exact"/>
        <w:ind w:leftChars="200"/>
        <w:textAlignment w:val="auto"/>
        <w:rPr>
          <w:rFonts w:hint="default" w:ascii="Times New Roman" w:hAnsi="Times New Roman" w:cs="Times New Roman"/>
        </w:rPr>
      </w:pPr>
    </w:p>
    <w:bookmarkEnd w:id="14"/>
    <w:bookmarkEnd w:id="15"/>
    <w:p>
      <w:pPr>
        <w:widowControl/>
        <w:jc w:val="left"/>
        <w:rPr>
          <w:rFonts w:hint="default" w:ascii="Times New Roman" w:hAnsi="Times New Roman" w:eastAsia="仿宋" w:cs="Times New Roman"/>
          <w:kern w:val="0"/>
          <w:sz w:val="32"/>
          <w:szCs w:val="32"/>
          <w:highlight w:val="yellow"/>
        </w:rPr>
      </w:pPr>
      <w:r>
        <w:rPr>
          <w:rFonts w:hint="default" w:ascii="Times New Roman" w:hAnsi="Times New Roman" w:eastAsia="仿宋" w:cs="Times New Roman"/>
          <w:sz w:val="32"/>
          <w:szCs w:val="32"/>
          <w:highlight w:val="yellow"/>
        </w:rPr>
        <w:br w:type="page"/>
      </w:r>
    </w:p>
    <w:p>
      <w:pPr>
        <w:pStyle w:val="3"/>
        <w:ind w:right="440"/>
        <w:jc w:val="center"/>
        <w:rPr>
          <w:rStyle w:val="27"/>
          <w:rFonts w:hint="default" w:ascii="Times New Roman" w:hAnsi="Times New Roman" w:eastAsia="黑体" w:cs="Times New Roman"/>
          <w:b w:val="0"/>
          <w:bCs/>
        </w:rPr>
      </w:pPr>
      <w:bookmarkStart w:id="16" w:name="_Toc15396602"/>
      <w:bookmarkStart w:id="17" w:name="_Toc15377204"/>
      <w:r>
        <w:rPr>
          <w:rFonts w:hint="default" w:ascii="Times New Roman" w:hAnsi="Times New Roman" w:eastAsia="黑体" w:cs="Times New Roman"/>
          <w:b w:val="0"/>
        </w:rPr>
        <w:t>第二部分 2023年度</w:t>
      </w:r>
      <w:r>
        <w:rPr>
          <w:rStyle w:val="27"/>
          <w:rFonts w:hint="default" w:ascii="Times New Roman" w:hAnsi="Times New Roman" w:eastAsia="黑体" w:cs="Times New Roman"/>
          <w:b w:val="0"/>
          <w:bCs/>
        </w:rPr>
        <w:t>单位决算情况说明</w:t>
      </w:r>
      <w:bookmarkEnd w:id="16"/>
      <w:bookmarkEnd w:id="17"/>
    </w:p>
    <w:p>
      <w:pPr>
        <w:rPr>
          <w:rFonts w:hint="default" w:ascii="Times New Roman" w:hAnsi="Times New Roman" w:cs="Times New Roman"/>
        </w:rPr>
      </w:pPr>
    </w:p>
    <w:p>
      <w:pPr>
        <w:pStyle w:val="26"/>
        <w:numPr>
          <w:ilvl w:val="0"/>
          <w:numId w:val="2"/>
        </w:numPr>
        <w:spacing w:line="600" w:lineRule="exact"/>
        <w:ind w:firstLineChars="0"/>
        <w:outlineLvl w:val="1"/>
        <w:rPr>
          <w:rStyle w:val="28"/>
          <w:rFonts w:hint="default" w:ascii="Times New Roman" w:hAnsi="Times New Roman" w:eastAsia="黑体" w:cs="Times New Roman"/>
          <w:b w:val="0"/>
        </w:rPr>
      </w:pPr>
      <w:bookmarkStart w:id="18" w:name="_Toc15396603"/>
      <w:bookmarkStart w:id="19" w:name="_Toc15377205"/>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rPr>
        <w:t>入支出决算总体情况说明</w:t>
      </w:r>
      <w:bookmarkEnd w:id="18"/>
      <w:bookmarkEnd w:id="19"/>
    </w:p>
    <w:p>
      <w:pPr>
        <w:spacing w:line="600" w:lineRule="exact"/>
        <w:ind w:firstLine="640" w:firstLineChars="200"/>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2023年度收、支总计均为1927.31万元。与2022年度相比，收、支总计各增加437.84万元，增长29.40%。主要变动原因是是财政拨款收入和业务收入增加。</w:t>
      </w:r>
    </w:p>
    <w:p>
      <w:pPr>
        <w:pStyle w:val="6"/>
        <w:rPr>
          <w:rFonts w:hint="default" w:ascii="Times New Roman" w:hAnsi="Times New Roman" w:cs="Times New Roman"/>
        </w:rPr>
      </w:pPr>
      <w:r>
        <w:rPr>
          <w:rFonts w:hint="default" w:ascii="Times New Roman" w:hAnsi="Times New Roman" w:cs="Times New Roman"/>
        </w:rPr>
        <w:drawing>
          <wp:inline distT="0" distB="0" distL="114300" distR="114300">
            <wp:extent cx="5271770" cy="2778760"/>
            <wp:effectExtent l="0" t="0" r="5080" b="25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a:stretch>
                      <a:fillRect/>
                    </a:stretch>
                  </pic:blipFill>
                  <pic:spPr>
                    <a:xfrm>
                      <a:off x="0" y="0"/>
                      <a:ext cx="5271770" cy="2778760"/>
                    </a:xfrm>
                    <a:prstGeom prst="rect">
                      <a:avLst/>
                    </a:prstGeom>
                    <a:noFill/>
                    <a:ln>
                      <a:noFill/>
                    </a:ln>
                  </pic:spPr>
                </pic:pic>
              </a:graphicData>
            </a:graphic>
          </wp:inline>
        </w:drawing>
      </w:r>
    </w:p>
    <w:p>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highlight w:val="none"/>
        </w:rPr>
        <w:t>（图1：收、支决算总计变动情况图）（柱状图）</w:t>
      </w:r>
    </w:p>
    <w:p>
      <w:pPr>
        <w:pStyle w:val="26"/>
        <w:numPr>
          <w:ilvl w:val="0"/>
          <w:numId w:val="2"/>
        </w:numPr>
        <w:spacing w:line="600" w:lineRule="exact"/>
        <w:ind w:firstLineChars="0"/>
        <w:outlineLvl w:val="1"/>
        <w:rPr>
          <w:rStyle w:val="28"/>
          <w:rFonts w:hint="default" w:ascii="Times New Roman" w:hAnsi="Times New Roman" w:eastAsia="黑体" w:cs="Times New Roman"/>
          <w:b w:val="0"/>
        </w:rPr>
      </w:pPr>
      <w:bookmarkStart w:id="20" w:name="_Toc15377206"/>
      <w:bookmarkStart w:id="21" w:name="_Toc15396604"/>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rPr>
        <w:t>入决算情况说明</w:t>
      </w:r>
      <w:bookmarkEnd w:id="20"/>
      <w:bookmarkEnd w:id="21"/>
    </w:p>
    <w:p>
      <w:pPr>
        <w:spacing w:line="600" w:lineRule="exact"/>
        <w:ind w:firstLine="640" w:firstLineChars="200"/>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2023年度本年收入合计1652.39万元，其中：一般公共预算财政拨款收入94.59万元，占5.72%；政府性基金预算财政拨款收入0万元，占0%；国有资本经营预算财政拨款收入0万元，占0%；上级补助收入0万元，占0%；事业收入1557.45万元，占94.26%；经营收入0万元，占0%；附属单位上缴收入0万元，占0%；其他收入0.35万元，占0.02%</w:t>
      </w:r>
      <w:r>
        <w:rPr>
          <w:rFonts w:hint="eastAsia" w:eastAsia="仿宋" w:cs="Times New Roman"/>
          <w:bCs/>
          <w:color w:val="000000"/>
          <w:kern w:val="0"/>
          <w:sz w:val="32"/>
          <w:szCs w:val="32"/>
          <w:lang w:val="en-US" w:eastAsia="zh-CN" w:bidi="ar-SA"/>
        </w:rPr>
        <w:t>。</w:t>
      </w:r>
    </w:p>
    <w:p>
      <w:pPr>
        <w:pStyle w:val="6"/>
        <w:jc w:val="center"/>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4324350" cy="2771775"/>
            <wp:effectExtent l="0" t="0" r="0" b="952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7"/>
                    <a:stretch>
                      <a:fillRect/>
                    </a:stretch>
                  </pic:blipFill>
                  <pic:spPr>
                    <a:xfrm>
                      <a:off x="0" y="0"/>
                      <a:ext cx="4324350" cy="2771775"/>
                    </a:xfrm>
                    <a:prstGeom prst="rect">
                      <a:avLst/>
                    </a:prstGeom>
                    <a:noFill/>
                    <a:ln>
                      <a:noFill/>
                    </a:ln>
                  </pic:spPr>
                </pic:pic>
              </a:graphicData>
            </a:graphic>
          </wp:inline>
        </w:drawing>
      </w:r>
    </w:p>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（图2：收入决算结构图）（饼状图）</w:t>
      </w:r>
      <w:bookmarkStart w:id="22" w:name="_Toc15396605"/>
      <w:bookmarkStart w:id="23" w:name="_Toc15377207"/>
    </w:p>
    <w:p>
      <w:pPr>
        <w:spacing w:line="600" w:lineRule="exact"/>
        <w:ind w:firstLine="640" w:firstLineChars="200"/>
        <w:rPr>
          <w:rFonts w:hint="default" w:ascii="Times New Roman" w:hAnsi="Times New Roman" w:eastAsia="仿宋" w:cs="Times New Roman"/>
          <w:sz w:val="32"/>
          <w:szCs w:val="32"/>
        </w:rPr>
      </w:pPr>
      <w:r>
        <w:rPr>
          <w:rFonts w:hint="eastAsia" w:eastAsia="黑体" w:cs="Times New Roman"/>
          <w:sz w:val="32"/>
          <w:szCs w:val="32"/>
          <w:lang w:val="en-US" w:eastAsia="zh-CN"/>
        </w:rPr>
        <w:t>三</w:t>
      </w:r>
      <w:r>
        <w:rPr>
          <w:rFonts w:hint="default" w:ascii="Times New Roman" w:hAnsi="Times New Roman" w:eastAsia="黑体" w:cs="Times New Roman"/>
          <w:sz w:val="32"/>
          <w:szCs w:val="32"/>
        </w:rPr>
        <w:t>、</w:t>
      </w:r>
      <w:r>
        <w:rPr>
          <w:rStyle w:val="28"/>
          <w:rFonts w:hint="default" w:ascii="Times New Roman" w:hAnsi="Times New Roman" w:eastAsia="黑体" w:cs="Times New Roman"/>
          <w:b w:val="0"/>
        </w:rPr>
        <w:t>支</w:t>
      </w:r>
      <w:r>
        <w:rPr>
          <w:rStyle w:val="28"/>
          <w:rFonts w:hint="default" w:ascii="Times New Roman" w:hAnsi="Times New Roman" w:eastAsia="黑体" w:cs="Times New Roman"/>
          <w:b w:val="0"/>
        </w:rPr>
        <w:t>出决算情况说明</w:t>
      </w:r>
      <w:bookmarkEnd w:id="22"/>
      <w:bookmarkEnd w:id="23"/>
    </w:p>
    <w:p>
      <w:pPr>
        <w:spacing w:line="600" w:lineRule="exact"/>
        <w:ind w:firstLine="640" w:firstLineChars="200"/>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2023年度本年支出合计1805.89万元，其中：基本支出1805.89万元，占100%；项目支出0万元，占0%；上缴上级支出0万元，占0%；经营支出0万元，占0%；对附属单位补助支出0万元，占0%。</w:t>
      </w:r>
    </w:p>
    <w:p>
      <w:pPr>
        <w:pStyle w:val="6"/>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495800" cy="2941320"/>
            <wp:effectExtent l="0" t="0" r="0"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495800" cy="2941320"/>
                    </a:xfrm>
                    <a:prstGeom prst="rect">
                      <a:avLst/>
                    </a:prstGeom>
                    <a:noFill/>
                    <a:ln>
                      <a:noFill/>
                    </a:ln>
                  </pic:spPr>
                </pic:pic>
              </a:graphicData>
            </a:graphic>
          </wp:inline>
        </w:drawing>
      </w:r>
    </w:p>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（图3：支出决算结构图）（饼状图）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8"/>
          <w:rFonts w:hint="default" w:ascii="Times New Roman" w:hAnsi="Times New Roman" w:eastAsia="黑体" w:cs="Times New Roman"/>
          <w:b w:val="0"/>
        </w:rPr>
      </w:pPr>
      <w:bookmarkStart w:id="24" w:name="_Toc15377208"/>
      <w:bookmarkStart w:id="25" w:name="_Toc15396606"/>
      <w:r>
        <w:rPr>
          <w:rFonts w:hint="default" w:ascii="Times New Roman" w:hAnsi="Times New Roman" w:eastAsia="黑体" w:cs="Times New Roman"/>
          <w:sz w:val="32"/>
          <w:szCs w:val="32"/>
        </w:rPr>
        <w:t>四、财</w:t>
      </w:r>
      <w:r>
        <w:rPr>
          <w:rStyle w:val="28"/>
          <w:rFonts w:hint="default" w:ascii="Times New Roman" w:hAnsi="Times New Roman" w:eastAsia="黑体" w:cs="Times New Roman"/>
          <w:b w:val="0"/>
        </w:rPr>
        <w:t>政拨款收入支出决算总体情况说明</w:t>
      </w:r>
      <w:bookmarkEnd w:id="24"/>
      <w:bookmarkEnd w:id="25"/>
    </w:p>
    <w:p>
      <w:pPr>
        <w:spacing w:line="600" w:lineRule="exact"/>
        <w:ind w:firstLine="640" w:firstLineChars="200"/>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2023年度财政拨款收、支总计均为94.59万元。与2022年度相比，财政拨款收、支总计各增加94.59万元，增长100%。主要变动原因是2022年财政拨款指标下达在卫健局，财政拨款支出由县卫健局代为列支，今年部分财政拨款指标直接下达到本单位。</w:t>
      </w:r>
    </w:p>
    <w:p>
      <w:pPr>
        <w:pStyle w:val="6"/>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5270500" cy="2753995"/>
            <wp:effectExtent l="0" t="0" r="6350" b="825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9"/>
                    <a:stretch>
                      <a:fillRect/>
                    </a:stretch>
                  </pic:blipFill>
                  <pic:spPr>
                    <a:xfrm>
                      <a:off x="0" y="0"/>
                      <a:ext cx="5270500" cy="2753995"/>
                    </a:xfrm>
                    <a:prstGeom prst="rect">
                      <a:avLst/>
                    </a:prstGeom>
                    <a:noFill/>
                    <a:ln>
                      <a:noFill/>
                    </a:ln>
                  </pic:spPr>
                </pic:pic>
              </a:graphicData>
            </a:graphic>
          </wp:inline>
        </w:drawing>
      </w:r>
    </w:p>
    <w:p>
      <w:pPr>
        <w:spacing w:line="600" w:lineRule="exact"/>
        <w:ind w:firstLine="640" w:firstLineChars="200"/>
        <w:rPr>
          <w:rFonts w:hint="default" w:ascii="Times New Roman" w:hAnsi="Times New Roman" w:eastAsia="仿宋" w:cs="Times New Roman"/>
          <w:b/>
          <w:sz w:val="32"/>
          <w:szCs w:val="32"/>
        </w:rPr>
      </w:pPr>
      <w:r>
        <w:rPr>
          <w:rFonts w:hint="default" w:ascii="Times New Roman" w:hAnsi="Times New Roman" w:eastAsia="仿宋" w:cs="Times New Roman"/>
          <w:sz w:val="32"/>
          <w:szCs w:val="32"/>
          <w:highlight w:val="none"/>
        </w:rPr>
        <w:t>（图4：财政拨款收、支决算总计变动情况）（柱状图）</w:t>
      </w:r>
    </w:p>
    <w:p>
      <w:pPr>
        <w:spacing w:line="600" w:lineRule="exact"/>
        <w:ind w:firstLine="640" w:firstLineChars="200"/>
        <w:outlineLvl w:val="1"/>
        <w:rPr>
          <w:rStyle w:val="28"/>
          <w:rFonts w:hint="default" w:ascii="Times New Roman" w:hAnsi="Times New Roman" w:eastAsia="黑体" w:cs="Times New Roman"/>
          <w:b w:val="0"/>
        </w:rPr>
      </w:pPr>
      <w:bookmarkStart w:id="26" w:name="_Toc15377209"/>
      <w:bookmarkStart w:id="27"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般公共预算财政拨款支出决算情况说明</w:t>
      </w:r>
      <w:bookmarkEnd w:id="26"/>
      <w:bookmarkEnd w:id="27"/>
    </w:p>
    <w:p>
      <w:pPr>
        <w:spacing w:line="600" w:lineRule="exact"/>
        <w:ind w:firstLine="643" w:firstLineChars="200"/>
        <w:outlineLvl w:val="2"/>
        <w:rPr>
          <w:rFonts w:hint="default" w:ascii="Times New Roman" w:hAnsi="Times New Roman" w:eastAsia="仿宋" w:cs="Times New Roman"/>
          <w:b/>
          <w:sz w:val="32"/>
          <w:szCs w:val="32"/>
        </w:rPr>
      </w:pPr>
      <w:bookmarkStart w:id="28" w:name="_Toc15377210"/>
      <w:r>
        <w:rPr>
          <w:rFonts w:hint="default" w:ascii="Times New Roman" w:hAnsi="Times New Roman" w:eastAsia="仿宋" w:cs="Times New Roman"/>
          <w:b/>
          <w:sz w:val="32"/>
          <w:szCs w:val="32"/>
        </w:rPr>
        <w:t>（一）一般公共预算财政拨款支出决算总体情况</w:t>
      </w:r>
      <w:bookmarkEnd w:id="28"/>
    </w:p>
    <w:p>
      <w:pPr>
        <w:spacing w:line="600" w:lineRule="exact"/>
        <w:ind w:firstLine="640" w:firstLineChars="200"/>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2023年度一般公共预算财政拨款支出94.59万元，占本年支出合计的5.24%。与2022年度相比，一般公共预算财政拨款支出增加94.59万元，增长100%。主要变动原因是2022年财政拨款指标下达在卫健局，财政拨款支出由县卫健局代为列支，今年部分财政拨款指标直接下达到本单位。</w:t>
      </w:r>
    </w:p>
    <w:p>
      <w:pPr>
        <w:pStyle w:val="6"/>
        <w:rPr>
          <w:rFonts w:hint="default" w:ascii="Times New Roman" w:hAnsi="Times New Roman" w:cs="Times New Roman"/>
        </w:rPr>
      </w:pPr>
      <w:r>
        <w:rPr>
          <w:rFonts w:hint="default" w:ascii="Times New Roman" w:hAnsi="Times New Roman" w:cs="Times New Roman"/>
        </w:rPr>
        <w:drawing>
          <wp:inline distT="0" distB="0" distL="114300" distR="114300">
            <wp:extent cx="4943475" cy="2771775"/>
            <wp:effectExtent l="0" t="0" r="9525" b="952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0"/>
                    <a:stretch>
                      <a:fillRect/>
                    </a:stretch>
                  </pic:blipFill>
                  <pic:spPr>
                    <a:xfrm>
                      <a:off x="0" y="0"/>
                      <a:ext cx="4943475" cy="2771775"/>
                    </a:xfrm>
                    <a:prstGeom prst="rect">
                      <a:avLst/>
                    </a:prstGeom>
                    <a:noFill/>
                    <a:ln>
                      <a:noFill/>
                    </a:ln>
                  </pic:spPr>
                </pic:pic>
              </a:graphicData>
            </a:graphic>
          </wp:inline>
        </w:drawing>
      </w:r>
    </w:p>
    <w:p>
      <w:pPr>
        <w:spacing w:line="60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（图5：一般公共预算财政拨款支出决算变动情况）（柱状图）</w:t>
      </w:r>
    </w:p>
    <w:p>
      <w:pPr>
        <w:spacing w:line="600" w:lineRule="exact"/>
        <w:ind w:firstLine="643" w:firstLineChars="200"/>
        <w:outlineLvl w:val="2"/>
        <w:rPr>
          <w:rFonts w:hint="default" w:ascii="Times New Roman" w:hAnsi="Times New Roman" w:eastAsia="仿宋" w:cs="Times New Roman"/>
          <w:sz w:val="32"/>
          <w:szCs w:val="32"/>
          <w:highlight w:val="none"/>
        </w:rPr>
      </w:pPr>
      <w:bookmarkStart w:id="29" w:name="_Toc15377211"/>
      <w:r>
        <w:rPr>
          <w:rFonts w:hint="default" w:ascii="Times New Roman" w:hAnsi="Times New Roman" w:eastAsia="仿宋" w:cs="Times New Roman"/>
          <w:b/>
          <w:sz w:val="32"/>
          <w:szCs w:val="32"/>
        </w:rPr>
        <w:t>（二）一般公共预算财政拨款支出决算结构情况</w:t>
      </w:r>
      <w:bookmarkEnd w:id="29"/>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2023年度一般公共预算财政拨款支出94.59万元，主要用于以下方面:一般公共</w:t>
      </w:r>
      <w:r>
        <w:rPr>
          <w:rStyle w:val="17"/>
          <w:rFonts w:hint="default" w:ascii="Times New Roman" w:hAnsi="Times New Roman" w:eastAsia="仿宋_GB2312" w:cs="Times New Roman"/>
          <w:b w:val="0"/>
          <w:color w:val="000000"/>
          <w:sz w:val="32"/>
          <w:szCs w:val="32"/>
          <w:highlight w:val="none"/>
          <w:lang w:val="en-US" w:eastAsia="zh-CN"/>
        </w:rPr>
        <w:t>服务</w:t>
      </w:r>
      <w:r>
        <w:rPr>
          <w:rFonts w:hint="default" w:ascii="Times New Roman" w:hAnsi="Times New Roman" w:eastAsia="仿宋" w:cs="Times New Roman"/>
          <w:color w:val="auto"/>
          <w:sz w:val="32"/>
          <w:szCs w:val="32"/>
          <w:highlight w:val="none"/>
          <w:lang w:val="en-US" w:eastAsia="zh-CN"/>
        </w:rPr>
        <w:t>支出0万元，占0%；教育支出0万元，占0%；科学技术支出0万元，占0%；文化旅游体育与传媒支出0万元，占0%；社会保障和就业支出17.53万元，占18.53%；卫生健康支出77.06万元，占81.47%；住房保障支出0万元，占0%。</w:t>
      </w:r>
    </w:p>
    <w:p>
      <w:pPr>
        <w:pStyle w:val="2"/>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943475" cy="2319655"/>
            <wp:effectExtent l="0" t="0" r="9525" b="444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1"/>
                    <a:stretch>
                      <a:fillRect/>
                    </a:stretch>
                  </pic:blipFill>
                  <pic:spPr>
                    <a:xfrm>
                      <a:off x="0" y="0"/>
                      <a:ext cx="4943475" cy="2319655"/>
                    </a:xfrm>
                    <a:prstGeom prst="rect">
                      <a:avLst/>
                    </a:prstGeom>
                    <a:noFill/>
                    <a:ln>
                      <a:noFill/>
                    </a:ln>
                  </pic:spPr>
                </pic:pic>
              </a:graphicData>
            </a:graphic>
          </wp:inline>
        </w:drawing>
      </w:r>
    </w:p>
    <w:p>
      <w:pPr>
        <w:rPr>
          <w:rFonts w:hint="default" w:ascii="Times New Roman" w:hAnsi="Times New Roman" w:cs="Times New Roman"/>
        </w:rPr>
      </w:pPr>
    </w:p>
    <w:p>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rPr>
        <w:t>（图6：一般公共预算财政拨款支出决算结构）（饼状图）</w:t>
      </w:r>
    </w:p>
    <w:p>
      <w:pPr>
        <w:spacing w:line="600" w:lineRule="exact"/>
        <w:ind w:firstLine="643" w:firstLineChars="200"/>
        <w:outlineLvl w:val="2"/>
        <w:rPr>
          <w:rFonts w:hint="default" w:ascii="Times New Roman" w:hAnsi="Times New Roman" w:eastAsia="仿宋" w:cs="Times New Roman"/>
          <w:b/>
          <w:sz w:val="32"/>
          <w:szCs w:val="32"/>
        </w:rPr>
      </w:pPr>
      <w:bookmarkStart w:id="30" w:name="_Toc15377212"/>
      <w:r>
        <w:rPr>
          <w:rFonts w:hint="default" w:ascii="Times New Roman" w:hAnsi="Times New Roman" w:eastAsia="仿宋" w:cs="Times New Roman"/>
          <w:b/>
          <w:sz w:val="32"/>
          <w:szCs w:val="32"/>
        </w:rPr>
        <w:t>（三）一般公共预算财政拨款支出决算具体情况</w:t>
      </w:r>
      <w:bookmarkEnd w:id="30"/>
    </w:p>
    <w:p>
      <w:pPr>
        <w:spacing w:line="600" w:lineRule="exact"/>
        <w:ind w:firstLine="640"/>
        <w:rPr>
          <w:rFonts w:hint="default" w:ascii="Times New Roman" w:hAnsi="Times New Roman" w:eastAsia="仿宋" w:cs="Times New Roman"/>
          <w:color w:val="auto"/>
          <w:sz w:val="32"/>
          <w:szCs w:val="32"/>
          <w:highlight w:val="none"/>
          <w:lang w:val="en-US" w:eastAsia="zh-CN"/>
        </w:rPr>
      </w:pPr>
      <w:bookmarkStart w:id="31" w:name="_Toc15377213"/>
      <w:bookmarkStart w:id="32" w:name="_Toc15378460"/>
      <w:bookmarkStart w:id="33" w:name="_Toc15377444"/>
      <w:r>
        <w:rPr>
          <w:rFonts w:hint="default" w:ascii="Times New Roman" w:hAnsi="Times New Roman" w:eastAsia="仿宋" w:cs="Times New Roman"/>
          <w:color w:val="auto"/>
          <w:sz w:val="32"/>
          <w:szCs w:val="32"/>
          <w:highlight w:val="none"/>
          <w:lang w:val="en-US" w:eastAsia="zh-CN"/>
        </w:rPr>
        <w:t>2023年度一般公共预算支出决算数为94.59万元，完成预算100%。其中：</w:t>
      </w:r>
      <w:bookmarkEnd w:id="31"/>
      <w:bookmarkEnd w:id="32"/>
      <w:bookmarkEnd w:id="33"/>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 社会保障和就业支出（208）行政事业单位养老支出（05）其他行政事业单位养老支出（99）: 支出决算为17.53万元，完成预算100%。</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 社会保障和就业支出（208）行政事业单位养老支出（05）机关事业单位职业年金缴费支出（06）: 支出决算为0万元，完成预算0%。</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3.卫生健康支出(210）卫生健康管理事务（01）其他卫生健康管理事务支出（99）：支出决算数为0万元，完成预算0%。</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4.卫生健康支出(210）基层医疗卫生机构（03）乡镇卫生院（02）：支出决算数为77.06万元，完成预算100%。</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5.卫生健康支出(210）基层医疗卫生机构（03）其他基层医疗卫生机构支出（99）：支出决算数为0万元，完成预算100%。</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6.卫生健康支出(210）公共卫生（04）基本公共卫生服务（08）：支出决算数为0万元，完成预算0%。</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7.卫生健康支出(210）中医药（06）其他中医药支出（99）：支出决算数为0万元，完成预算0%。</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8.卫生健康支出（210）其他卫生健康支出（99）其他卫生健康支出（01）：支出决算数为0万元，完成预算0%。</w:t>
      </w:r>
    </w:p>
    <w:p>
      <w:pPr>
        <w:tabs>
          <w:tab w:val="right" w:pos="8306"/>
        </w:tabs>
        <w:spacing w:line="600" w:lineRule="exact"/>
        <w:ind w:firstLine="640"/>
        <w:outlineLvl w:val="1"/>
        <w:rPr>
          <w:rStyle w:val="28"/>
          <w:rFonts w:hint="default" w:ascii="Times New Roman" w:hAnsi="Times New Roman"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般公共预算财政拨款基本支出决算情况说明</w:t>
      </w:r>
      <w:bookmarkEnd w:id="34"/>
      <w:bookmarkEnd w:id="35"/>
      <w:r>
        <w:rPr>
          <w:rStyle w:val="28"/>
          <w:rFonts w:hint="default" w:ascii="Times New Roman" w:hAnsi="Times New Roman" w:eastAsia="黑体" w:cs="Times New Roman"/>
          <w:b w:val="0"/>
        </w:rPr>
        <w:tab/>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2023年度一般公共预算财政拨款基本支出94.59万元，其中：</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人员经费94.59万元，主要包括：基本工资1万元、津贴补贴0万元、奖金0万元、伙食补助费0万元、绩效工资62.58万元、机关事业单位基本养老保险缴费0万元、职业年金缴费0万元、其他社会保障缴费0万元、其他工资福利支出13.48万元、离休费、退休费、抚恤金0万元、生活补助17.53万元、医疗费补助0万元、奖励金0万元、住房公积金0万元、其他对个人和家庭的补助支出0万元等。</w:t>
      </w:r>
      <w:r>
        <w:rPr>
          <w:rFonts w:hint="default" w:ascii="Times New Roman" w:hAnsi="Times New Roman" w:eastAsia="仿宋" w:cs="Times New Roman"/>
          <w:color w:val="auto"/>
          <w:sz w:val="32"/>
          <w:szCs w:val="32"/>
          <w:highlight w:val="none"/>
          <w:lang w:val="en-US" w:eastAsia="zh-CN"/>
        </w:rPr>
        <w:br w:type="textWrapping"/>
      </w:r>
      <w:r>
        <w:rPr>
          <w:rFonts w:hint="default" w:ascii="Times New Roman" w:hAnsi="Times New Roman" w:eastAsia="仿宋" w:cs="Times New Roman"/>
          <w:color w:val="auto"/>
          <w:sz w:val="32"/>
          <w:szCs w:val="32"/>
          <w:highlight w:val="none"/>
          <w:lang w:val="en-US" w:eastAsia="zh-CN"/>
        </w:rPr>
        <w:t>　　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hint="default" w:ascii="Times New Roman" w:hAnsi="Times New Roman" w:eastAsia="黑体" w:cs="Times New Roman"/>
          <w:b w:val="0"/>
        </w:rPr>
      </w:pPr>
      <w:bookmarkStart w:id="36" w:name="_Toc15377215"/>
      <w:bookmarkStart w:id="37" w:name="_Toc15396609"/>
      <w:r>
        <w:rPr>
          <w:rFonts w:hint="default" w:ascii="Times New Roman" w:hAnsi="Times New Roman" w:eastAsia="黑体" w:cs="Times New Roman"/>
          <w:sz w:val="32"/>
          <w:szCs w:val="32"/>
        </w:rPr>
        <w:t>七、</w:t>
      </w:r>
      <w:r>
        <w:rPr>
          <w:rStyle w:val="28"/>
          <w:rFonts w:hint="default" w:ascii="Times New Roman" w:hAnsi="Times New Roman" w:eastAsia="黑体" w:cs="Times New Roman"/>
          <w:b w:val="0"/>
        </w:rPr>
        <w:t>财政拨款</w:t>
      </w:r>
      <w:r>
        <w:rPr>
          <w:rStyle w:val="28"/>
          <w:rFonts w:hint="default" w:ascii="Times New Roman" w:hAnsi="Times New Roman" w:eastAsia="黑体" w:cs="Times New Roman"/>
        </w:rPr>
        <w:t>“</w:t>
      </w:r>
      <w:r>
        <w:rPr>
          <w:rStyle w:val="28"/>
          <w:rFonts w:hint="default" w:ascii="Times New Roman" w:hAnsi="Times New Roman" w:eastAsia="黑体" w:cs="Times New Roman"/>
          <w:b w:val="0"/>
        </w:rPr>
        <w:t>三公”经费支出决算情况说明</w:t>
      </w:r>
      <w:bookmarkEnd w:id="36"/>
      <w:bookmarkEnd w:id="37"/>
    </w:p>
    <w:p>
      <w:pPr>
        <w:spacing w:line="600" w:lineRule="exact"/>
        <w:ind w:firstLine="640"/>
        <w:outlineLvl w:val="2"/>
        <w:rPr>
          <w:rFonts w:hint="default" w:ascii="Times New Roman" w:hAnsi="Times New Roman" w:eastAsia="仿宋" w:cs="Times New Roman"/>
          <w:b/>
          <w:sz w:val="32"/>
          <w:szCs w:val="32"/>
        </w:rPr>
      </w:pPr>
      <w:bookmarkStart w:id="38" w:name="_Toc15377216"/>
      <w:r>
        <w:rPr>
          <w:rFonts w:hint="default" w:ascii="Times New Roman" w:hAnsi="Times New Roman" w:eastAsia="仿宋" w:cs="Times New Roman"/>
          <w:b/>
          <w:sz w:val="32"/>
          <w:szCs w:val="32"/>
        </w:rPr>
        <w:t>（一）“三公”经费财政拨款支出决算总体情况说明</w:t>
      </w:r>
      <w:bookmarkEnd w:id="38"/>
    </w:p>
    <w:p>
      <w:pPr>
        <w:spacing w:line="600" w:lineRule="exact"/>
        <w:ind w:firstLine="640"/>
        <w:rPr>
          <w:rFonts w:hint="default" w:ascii="Times New Roman" w:hAnsi="Times New Roman" w:eastAsia="仿宋" w:cs="Times New Roman"/>
          <w:b/>
          <w:sz w:val="32"/>
          <w:szCs w:val="32"/>
          <w:highlight w:val="none"/>
        </w:rPr>
      </w:pPr>
      <w:r>
        <w:rPr>
          <w:rFonts w:hint="default" w:ascii="Times New Roman" w:hAnsi="Times New Roman" w:eastAsia="仿宋" w:cs="Times New Roman"/>
          <w:sz w:val="32"/>
          <w:szCs w:val="32"/>
        </w:rPr>
        <w:t>2023年度“三公”经费财政拨款支出决算为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万元，完成预算</w:t>
      </w:r>
      <w:r>
        <w:rPr>
          <w:rFonts w:hint="default" w:ascii="Times New Roman" w:hAnsi="Times New Roman" w:eastAsia="仿宋" w:cs="Times New Roman"/>
          <w:b/>
          <w:sz w:val="32"/>
          <w:szCs w:val="32"/>
        </w:rPr>
        <w:t>100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highlight w:val="none"/>
          <w:lang w:val="en-US" w:eastAsia="zh-CN"/>
        </w:rPr>
        <w:t>与</w:t>
      </w:r>
      <w:r>
        <w:rPr>
          <w:rFonts w:hint="default" w:ascii="Times New Roman" w:hAnsi="Times New Roman" w:eastAsia="仿宋" w:cs="Times New Roman"/>
          <w:sz w:val="32"/>
          <w:szCs w:val="32"/>
          <w:highlight w:val="none"/>
        </w:rPr>
        <w:t>上年度持平</w:t>
      </w:r>
      <w:r>
        <w:rPr>
          <w:rFonts w:hint="default" w:ascii="Times New Roman" w:hAnsi="Times New Roman" w:eastAsia="仿宋" w:cs="Times New Roman"/>
          <w:sz w:val="32"/>
          <w:szCs w:val="32"/>
          <w:highlight w:val="none"/>
          <w:lang w:eastAsia="zh-CN"/>
        </w:rPr>
        <w:t>。</w:t>
      </w:r>
    </w:p>
    <w:p>
      <w:pPr>
        <w:spacing w:line="600" w:lineRule="exact"/>
        <w:ind w:firstLine="640"/>
        <w:outlineLvl w:val="2"/>
        <w:rPr>
          <w:rFonts w:hint="default" w:ascii="Times New Roman" w:hAnsi="Times New Roman" w:eastAsia="仿宋" w:cs="Times New Roman"/>
          <w:b/>
          <w:sz w:val="32"/>
          <w:szCs w:val="32"/>
        </w:rPr>
      </w:pPr>
      <w:bookmarkStart w:id="39" w:name="_Toc15377217"/>
      <w:r>
        <w:rPr>
          <w:rFonts w:hint="default" w:ascii="Times New Roman" w:hAnsi="Times New Roman" w:eastAsia="仿宋" w:cs="Times New Roman"/>
          <w:b/>
          <w:sz w:val="32"/>
          <w:szCs w:val="32"/>
        </w:rPr>
        <w:t>（二）“三公”经费财政拨款支出决算具体情况说明</w:t>
      </w:r>
      <w:bookmarkEnd w:id="39"/>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2023年度“三公”经费财政拨款支出决算中，因公出国（境）费支出决算0万元，占0%；公务用车购置及运行维护费支出决算0万元，占0%；公务接待费支出决算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%。具体情况如下：</w:t>
      </w:r>
    </w:p>
    <w:p>
      <w:pPr>
        <w:spacing w:line="600" w:lineRule="exact"/>
        <w:ind w:firstLine="640"/>
        <w:rPr>
          <w:rFonts w:hint="default" w:ascii="Times New Roman" w:hAnsi="Times New Roman" w:eastAsia="仿宋" w:cs="Times New Roman"/>
          <w:sz w:val="32"/>
          <w:szCs w:val="32"/>
        </w:rPr>
      </w:pPr>
      <w:bookmarkStart w:id="40" w:name="_Toc15377218"/>
      <w:bookmarkStart w:id="41" w:name="_Toc15396610"/>
      <w:r>
        <w:rPr>
          <w:rFonts w:hint="default" w:ascii="Times New Roman" w:hAnsi="Times New Roman" w:eastAsia="仿宋" w:cs="Times New Roman"/>
          <w:sz w:val="32"/>
          <w:szCs w:val="32"/>
        </w:rPr>
        <w:t>1.因公出国（境）经费支出0万元，完成预算0%。全年安排因公出国（境）团组0次，出国（境）0人。因公出国（境）支出决算比202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年增加/减少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万元，增长/下降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rPr>
        <w:t>。</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2.公务用车购置及运行维护费支出0万元,完成预算0%。公务用车购置及运行维护费支出决算比2022年度增加/减少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万元，增长/下降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rPr>
        <w:t>。</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其中：公务用车购置支出0万元。全年按规定更新购置公务用车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辆，其中：轿车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辆、金额</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万元，越野车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辆、金额</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万元，载客汽车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辆、金额</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万元，主要用于</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rPr>
        <w:t>。截至2023年12月31日，单位共有公务用车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辆，其中：轿车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辆、越野车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辆、载客汽车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公务用车运行维护费支出0万元。</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rPr>
        <w:t>公务用车燃料费、维修费、过路过桥费、保险费等支出。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3.公务接待费支出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万元，完成预算100%。公务接待费支出决算比2022年度增加/减少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万元，增长/下降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rPr>
        <w:t>。其中：</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国内公务接待支出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万元，主要用于执行公务、开展业务活动开支的交通费、住宿费、用餐费等。国内公务接待</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人次（不包括陪同人员），共计支出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万元，具体内容</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rPr>
        <w:t>。</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外事接待支出0万元，主要用于接待</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rPr>
        <w:t>。外事接待</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人次（不包括陪同人员），共计支出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p>
    <w:p>
      <w:pPr>
        <w:spacing w:line="600" w:lineRule="exact"/>
        <w:ind w:firstLine="640"/>
        <w:outlineLvl w:val="1"/>
        <w:rPr>
          <w:rStyle w:val="28"/>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8"/>
          <w:rFonts w:hint="default" w:ascii="Times New Roman" w:hAnsi="Times New Roman" w:eastAsia="黑体" w:cs="Times New Roman"/>
          <w:b w:val="0"/>
        </w:rPr>
        <w:t>政府性基金预算支出决算情况说明</w:t>
      </w:r>
      <w:bookmarkEnd w:id="40"/>
      <w:bookmarkEnd w:id="41"/>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2023年度政府性基金预算财政拨款支出0万元。</w:t>
      </w:r>
    </w:p>
    <w:p>
      <w:pPr>
        <w:numPr>
          <w:ilvl w:val="0"/>
          <w:numId w:val="3"/>
        </w:numPr>
        <w:spacing w:line="600" w:lineRule="exact"/>
        <w:ind w:firstLine="640"/>
        <w:outlineLvl w:val="1"/>
        <w:rPr>
          <w:rStyle w:val="28"/>
          <w:rFonts w:hint="default" w:ascii="Times New Roman" w:hAnsi="Times New Roman" w:eastAsia="黑体" w:cs="Times New Roman"/>
          <w:b w:val="0"/>
        </w:rPr>
      </w:pPr>
      <w:bookmarkStart w:id="42" w:name="_Toc15396611"/>
      <w:bookmarkStart w:id="43" w:name="_Toc15377219"/>
      <w:r>
        <w:rPr>
          <w:rStyle w:val="28"/>
          <w:rFonts w:hint="default" w:ascii="Times New Roman" w:hAnsi="Times New Roman" w:eastAsia="黑体" w:cs="Times New Roman"/>
          <w:b w:val="0"/>
        </w:rPr>
        <w:t>国有资本经营预算支出决算情况说明</w:t>
      </w:r>
      <w:bookmarkEnd w:id="42"/>
      <w:bookmarkEnd w:id="43"/>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2023年度国有资本经营预算财政拨款支出0万元。</w:t>
      </w:r>
    </w:p>
    <w:p>
      <w:pPr>
        <w:numPr>
          <w:ilvl w:val="0"/>
          <w:numId w:val="3"/>
        </w:numPr>
        <w:spacing w:line="600" w:lineRule="exact"/>
        <w:ind w:firstLine="640"/>
        <w:outlineLvl w:val="1"/>
        <w:rPr>
          <w:rStyle w:val="28"/>
          <w:rFonts w:hint="default" w:ascii="Times New Roman" w:hAnsi="Times New Roman" w:eastAsia="黑体" w:cs="Times New Roman"/>
          <w:b w:val="0"/>
        </w:rPr>
      </w:pPr>
      <w:bookmarkStart w:id="44" w:name="_Toc15377221"/>
      <w:bookmarkStart w:id="45" w:name="_Toc15396612"/>
      <w:r>
        <w:rPr>
          <w:rStyle w:val="28"/>
          <w:rFonts w:hint="default" w:ascii="Times New Roman" w:hAnsi="Times New Roman" w:eastAsia="黑体" w:cs="Times New Roman"/>
          <w:b w:val="0"/>
        </w:rPr>
        <w:t>其他重要事项的情况说明</w:t>
      </w:r>
      <w:bookmarkEnd w:id="44"/>
      <w:bookmarkEnd w:id="45"/>
    </w:p>
    <w:p>
      <w:pPr>
        <w:spacing w:line="600" w:lineRule="exact"/>
        <w:ind w:firstLine="643" w:firstLineChars="200"/>
        <w:outlineLvl w:val="2"/>
        <w:rPr>
          <w:rFonts w:hint="default" w:ascii="Times New Roman" w:hAnsi="Times New Roman" w:eastAsia="仿宋" w:cs="Times New Roman"/>
          <w:sz w:val="32"/>
          <w:szCs w:val="32"/>
        </w:rPr>
      </w:pPr>
      <w:bookmarkStart w:id="46" w:name="_Toc15377222"/>
      <w:r>
        <w:rPr>
          <w:rFonts w:hint="default" w:ascii="Times New Roman" w:hAnsi="Times New Roman" w:eastAsia="仿宋" w:cs="Times New Roman"/>
          <w:b/>
          <w:sz w:val="32"/>
          <w:szCs w:val="32"/>
        </w:rPr>
        <w:t>（一）机关运行经费支出情况</w:t>
      </w:r>
      <w:bookmarkEnd w:id="46"/>
    </w:p>
    <w:p>
      <w:pPr>
        <w:spacing w:line="600" w:lineRule="exact"/>
        <w:ind w:firstLine="64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2023年度，</w:t>
      </w:r>
      <w:r>
        <w:rPr>
          <w:rFonts w:hint="default" w:ascii="Times New Roman" w:hAnsi="Times New Roman" w:eastAsia="仿宋" w:cs="Times New Roman"/>
          <w:sz w:val="32"/>
          <w:szCs w:val="32"/>
          <w:lang w:eastAsia="zh-CN"/>
        </w:rPr>
        <w:t>东柳中心卫生院</w:t>
      </w:r>
      <w:r>
        <w:rPr>
          <w:rFonts w:hint="default" w:ascii="Times New Roman" w:hAnsi="Times New Roman" w:eastAsia="仿宋" w:cs="Times New Roman"/>
          <w:sz w:val="32"/>
          <w:szCs w:val="32"/>
        </w:rPr>
        <w:t>机关运行经费支出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万元，比2022年度增加/减少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万元，增长/下降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highlight w:val="none"/>
        </w:rPr>
      </w:pPr>
      <w:bookmarkStart w:id="47" w:name="_Toc15377223"/>
      <w:r>
        <w:rPr>
          <w:rFonts w:hint="default" w:ascii="Times New Roman" w:hAnsi="Times New Roman" w:eastAsia="仿宋" w:cs="Times New Roman"/>
          <w:b/>
          <w:sz w:val="32"/>
          <w:szCs w:val="32"/>
          <w:highlight w:val="none"/>
        </w:rPr>
        <w:t>（二）政府采购支出情况</w:t>
      </w:r>
      <w:bookmarkEnd w:id="4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w:t>
      </w:r>
      <w:r>
        <w:rPr>
          <w:rFonts w:hint="default" w:ascii="Times New Roman" w:hAnsi="Times New Roman" w:eastAsia="仿宋" w:cs="Times New Roman"/>
          <w:sz w:val="32"/>
          <w:szCs w:val="32"/>
          <w:lang w:eastAsia="zh-CN"/>
        </w:rPr>
        <w:t>东柳中心卫生院</w:t>
      </w:r>
      <w:r>
        <w:rPr>
          <w:rFonts w:hint="default" w:ascii="Times New Roman" w:hAnsi="Times New Roman" w:eastAsia="仿宋" w:cs="Times New Roman"/>
          <w:sz w:val="32"/>
          <w:szCs w:val="32"/>
        </w:rPr>
        <w:t>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highlight w:val="none"/>
        </w:rPr>
      </w:pPr>
      <w:bookmarkStart w:id="48" w:name="_Toc15377224"/>
      <w:r>
        <w:rPr>
          <w:rFonts w:hint="default" w:ascii="Times New Roman" w:hAnsi="Times New Roman" w:eastAsia="仿宋" w:cs="Times New Roman"/>
          <w:b/>
          <w:sz w:val="32"/>
          <w:szCs w:val="32"/>
          <w:highlight w:val="none"/>
        </w:rPr>
        <w:t>（三）国有资产占有使用情况</w:t>
      </w:r>
      <w:bookmarkEnd w:id="48"/>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截至2023年12月31日，</w:t>
      </w:r>
      <w:r>
        <w:rPr>
          <w:rFonts w:hint="default" w:ascii="Times New Roman" w:hAnsi="Times New Roman" w:eastAsia="仿宋" w:cs="Times New Roman"/>
          <w:sz w:val="32"/>
          <w:szCs w:val="32"/>
          <w:lang w:eastAsia="zh-CN"/>
        </w:rPr>
        <w:t>东柳中心卫生院</w:t>
      </w:r>
      <w:r>
        <w:rPr>
          <w:rFonts w:hint="default" w:ascii="Times New Roman" w:hAnsi="Times New Roman" w:eastAsia="仿宋" w:cs="Times New Roman"/>
          <w:sz w:val="32"/>
          <w:szCs w:val="32"/>
        </w:rPr>
        <w:t>共有车辆</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辆，其中：主要领导干部用车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辆、机要通信用车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辆、应急保障用车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辆、其他用车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辆，其他用车主要是用于</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rPr>
        <w:t>。单价100万元以上设备（不含车辆）</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台（套）。</w:t>
      </w:r>
    </w:p>
    <w:p>
      <w:pPr>
        <w:numPr>
          <w:ilvl w:val="0"/>
          <w:numId w:val="4"/>
        </w:numPr>
        <w:spacing w:line="600" w:lineRule="exact"/>
        <w:ind w:firstLine="660" w:firstLineChars="150"/>
        <w:jc w:val="center"/>
        <w:outlineLvl w:val="0"/>
        <w:rPr>
          <w:rStyle w:val="27"/>
          <w:rFonts w:hint="default" w:ascii="Times New Roman" w:hAnsi="Times New Roman" w:eastAsia="黑体" w:cs="Times New Roman"/>
          <w:b w:val="0"/>
        </w:rPr>
      </w:pPr>
      <w:bookmarkStart w:id="49" w:name="_Toc15377225"/>
      <w:bookmarkStart w:id="50" w:name="_Toc15396613"/>
      <w:r>
        <w:rPr>
          <w:rFonts w:hint="default" w:ascii="Times New Roman" w:hAnsi="Times New Roman" w:eastAsia="黑体" w:cs="Times New Roman"/>
          <w:sz w:val="44"/>
          <w:szCs w:val="44"/>
        </w:rPr>
        <w:t>名</w:t>
      </w:r>
      <w:r>
        <w:rPr>
          <w:rStyle w:val="27"/>
          <w:rFonts w:hint="default" w:ascii="Times New Roman" w:hAnsi="Times New Roman" w:eastAsia="黑体" w:cs="Times New Roman"/>
          <w:b w:val="0"/>
        </w:rPr>
        <w:t>词解释</w:t>
      </w:r>
      <w:bookmarkEnd w:id="49"/>
      <w:bookmarkEnd w:id="50"/>
    </w:p>
    <w:p>
      <w:pPr>
        <w:spacing w:line="600" w:lineRule="exact"/>
        <w:jc w:val="left"/>
        <w:rPr>
          <w:rFonts w:hint="default" w:ascii="Times New Roman" w:hAnsi="Times New Roman" w:cs="Times New Roman"/>
          <w:b/>
          <w:sz w:val="44"/>
          <w:szCs w:val="44"/>
        </w:rPr>
      </w:pPr>
    </w:p>
    <w:p>
      <w:pPr>
        <w:spacing w:line="600" w:lineRule="exact"/>
        <w:ind w:firstLine="640"/>
        <w:rPr>
          <w:rFonts w:hint="default" w:ascii="Times New Roman" w:hAnsi="Times New Roman" w:eastAsia="仿宋" w:cs="Times New Roman"/>
          <w:sz w:val="32"/>
          <w:szCs w:val="32"/>
        </w:rPr>
      </w:pPr>
      <w:bookmarkStart w:id="51" w:name="_Toc15396614"/>
      <w:bookmarkStart w:id="52" w:name="_Toc15377226"/>
      <w:r>
        <w:rPr>
          <w:rFonts w:hint="default" w:ascii="Times New Roman" w:hAnsi="Times New Roman" w:eastAsia="仿宋" w:cs="Times New Roman"/>
          <w:sz w:val="32"/>
          <w:szCs w:val="32"/>
        </w:rPr>
        <w:t>1.财政拨款收入：指单位从同级财政部门取得的财政预算资金。</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2.事业收入：指事业单位开展专业业务活动及辅助活动取得的收入。</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3.其他收入：指单位取得的除上述收入以外的各项收入。 </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5.年初结转和结余：指以前年度尚未完成、结转到本年按有关规定继续使用的资金。 </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6.结余分配：指事业单位按照事业单位会计制度的规定从非财政补助结余中分配的事业基金和职工福利基金等。</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7、年末结转和结余：指单位按有关规定结转到下年或以后年度继续使用的资金。</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8. 医疗卫生与计划生育（210）基层医疗卫生机构（03）乡镇卫生院（02）：指反映用于乡镇卫生院的支出。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9. 医疗卫生与计划生育（210）基层医疗卫生机构（03）其他基层医疗卫生机构支出（99）：指反映除上述项目以外的其他用于基层医疗卫生机构的支出。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10. 医疗卫生与计划生育（210）公共卫生（04）基本公共卫生服务（08）：指反映基本公共卫生服务支出。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11.医疗卫生与计划生育（210）中医药（06）其他中医药支出（99）：指反映中医药项目的支出。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12. 医疗卫生与计划生育（210）公共卫生（04）其他公共卫生支出（99）：指反映除上述项目以外的其他用于公共卫生方面的支出。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13. 医疗卫生与计划生育（210）其他医疗卫生与计划生育支出（99）其他医疗卫生与计划生育支出（01）：指反映除上述项目以外其他用于医疗卫生与计划生育管理事务方面的支出。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14. 农林水支出（213）扶贫（05）社会发展（09）：指反映用于农村贫困地区中小学教育、文化、广播、电视、医疗、卫生等方面的项目支出。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15.住房保障（221）住房改革支出（02）住房公积金（01）：指反映行政事业单位按人力资源和社会保障部、财政部规定的基本工资和津贴补贴以及规定比例为职工缴纳的住房公积金。</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16.其他支出（229）其他支出（99）其他支出（01）：指反映除上述项目以外其他不能划分到具体功能科目中的支出项目。</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17.基本支出：指为保障机构正常运转、完成日常工作任务而发生的人员支出和公用支出。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18.项目支出：指在基本支出之外为完成特定行政任务和事业发展目标所发生的支出。 </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Style w:val="27"/>
          <w:rFonts w:hint="default" w:ascii="Times New Roman" w:hAnsi="Times New Roman" w:eastAsia="黑体" w:cs="Times New Roman"/>
          <w:b w:val="0"/>
        </w:rPr>
      </w:pPr>
      <w:r>
        <w:rPr>
          <w:rFonts w:hint="default" w:ascii="Times New Roman" w:hAnsi="Times New Roman" w:eastAsia="黑体" w:cs="Times New Roman"/>
          <w:sz w:val="44"/>
          <w:szCs w:val="44"/>
        </w:rPr>
        <w:t>第</w:t>
      </w:r>
      <w:r>
        <w:rPr>
          <w:rStyle w:val="27"/>
          <w:rFonts w:hint="default" w:ascii="Times New Roman" w:hAnsi="Times New Roman" w:eastAsia="黑体" w:cs="Times New Roman"/>
          <w:b w:val="0"/>
        </w:rPr>
        <w:t>四部分 附件</w:t>
      </w:r>
      <w:bookmarkEnd w:id="51"/>
    </w:p>
    <w:p>
      <w:pPr>
        <w:spacing w:line="572" w:lineRule="exact"/>
        <w:jc w:val="left"/>
        <w:outlineLvl w:val="0"/>
        <w:rPr>
          <w:rFonts w:hint="default" w:ascii="Times New Roman" w:hAnsi="Times New Roman" w:eastAsia="仿宋_GB2312" w:cs="Times New Roman"/>
          <w:sz w:val="32"/>
          <w:szCs w:val="32"/>
        </w:rPr>
      </w:pPr>
    </w:p>
    <w:p>
      <w:pPr>
        <w:pStyle w:val="6"/>
        <w:spacing w:before="93"/>
        <w:rPr>
          <w:rFonts w:hint="default" w:ascii="Times New Roman" w:hAnsi="Times New Roman" w:cs="Times New Roman"/>
          <w:sz w:val="32"/>
          <w:szCs w:val="32"/>
        </w:rPr>
      </w:pPr>
      <w:bookmarkStart w:id="53" w:name="_Toc15396618"/>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spacing w:line="600" w:lineRule="exact"/>
        <w:jc w:val="center"/>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7"/>
          <w:rFonts w:hint="default" w:ascii="Times New Roman" w:hAnsi="Times New Roman" w:eastAsia="黑体" w:cs="Times New Roman"/>
          <w:b w:val="0"/>
        </w:rPr>
        <w:t>五部分 附表</w:t>
      </w:r>
      <w:bookmarkEnd w:id="52"/>
      <w:bookmarkEnd w:id="53"/>
      <w:bookmarkStart w:id="54"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28"/>
          <w:rFonts w:hint="default" w:ascii="Times New Roman" w:hAnsi="Times New Roman" w:eastAsia="仿宋" w:cs="Times New Roman"/>
          <w:b w:val="0"/>
          <w:bCs w:val="0"/>
        </w:rPr>
        <w:t>入支出决算总表</w:t>
      </w:r>
      <w:bookmarkEnd w:id="54"/>
    </w:p>
    <w:p>
      <w:pPr>
        <w:pStyle w:val="4"/>
        <w:rPr>
          <w:rFonts w:hint="default" w:ascii="Times New Roman" w:hAnsi="Times New Roman" w:eastAsia="仿宋" w:cs="Times New Roman"/>
        </w:rPr>
      </w:pPr>
      <w:bookmarkStart w:id="55" w:name="_Toc15396620"/>
      <w:r>
        <w:rPr>
          <w:rFonts w:hint="default" w:ascii="Times New Roman" w:hAnsi="Times New Roman" w:eastAsia="仿宋" w:cs="Times New Roman"/>
          <w:b w:val="0"/>
        </w:rPr>
        <w:t>二、收</w:t>
      </w:r>
      <w:r>
        <w:rPr>
          <w:rStyle w:val="28"/>
          <w:rFonts w:hint="default" w:ascii="Times New Roman" w:hAnsi="Times New Roman" w:eastAsia="仿宋" w:cs="Times New Roman"/>
          <w:b w:val="0"/>
          <w:bCs w:val="0"/>
        </w:rPr>
        <w:t>入决算表</w:t>
      </w:r>
      <w:bookmarkEnd w:id="55"/>
    </w:p>
    <w:p>
      <w:pPr>
        <w:pStyle w:val="4"/>
        <w:rPr>
          <w:rFonts w:hint="default" w:ascii="Times New Roman" w:hAnsi="Times New Roman" w:eastAsia="仿宋" w:cs="Times New Roman"/>
        </w:rPr>
      </w:pPr>
      <w:bookmarkStart w:id="56" w:name="_Toc15396621"/>
      <w:r>
        <w:rPr>
          <w:rStyle w:val="28"/>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8"/>
          <w:rFonts w:hint="default" w:ascii="Times New Roman" w:hAnsi="Times New Roman" w:eastAsia="仿宋" w:cs="Times New Roman"/>
          <w:b w:val="0"/>
          <w:bCs w:val="0"/>
        </w:rPr>
        <w:t>出决算表</w:t>
      </w:r>
      <w:bookmarkEnd w:id="56"/>
    </w:p>
    <w:p>
      <w:pPr>
        <w:pStyle w:val="4"/>
        <w:rPr>
          <w:rFonts w:hint="default" w:ascii="Times New Roman" w:hAnsi="Times New Roman" w:eastAsia="仿宋" w:cs="Times New Roman"/>
          <w:b w:val="0"/>
        </w:rPr>
      </w:pPr>
      <w:bookmarkStart w:id="57" w:name="_Toc15396622"/>
      <w:r>
        <w:rPr>
          <w:rStyle w:val="28"/>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8"/>
          <w:rFonts w:hint="default" w:ascii="Times New Roman" w:hAnsi="Times New Roman" w:eastAsia="仿宋" w:cs="Times New Roman"/>
          <w:b w:val="0"/>
          <w:bCs w:val="0"/>
        </w:rPr>
        <w:t>政拨款收入支出决算总表</w:t>
      </w:r>
      <w:bookmarkEnd w:id="57"/>
    </w:p>
    <w:p>
      <w:pPr>
        <w:pStyle w:val="4"/>
        <w:rPr>
          <w:rStyle w:val="28"/>
          <w:rFonts w:hint="default" w:ascii="Times New Roman" w:hAnsi="Times New Roman" w:eastAsia="仿宋" w:cs="Times New Roman"/>
          <w:b w:val="0"/>
          <w:bCs w:val="0"/>
        </w:rPr>
      </w:pPr>
      <w:bookmarkStart w:id="58" w:name="_Toc15396623"/>
      <w:r>
        <w:rPr>
          <w:rStyle w:val="28"/>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8"/>
          <w:rFonts w:hint="default" w:ascii="Times New Roman" w:hAnsi="Times New Roman" w:eastAsia="仿宋" w:cs="Times New Roman"/>
          <w:b w:val="0"/>
          <w:bCs w:val="0"/>
        </w:rPr>
        <w:t>政拨款支出决算明细表</w:t>
      </w:r>
      <w:bookmarkEnd w:id="58"/>
      <w:bookmarkStart w:id="59" w:name="_Toc15396624"/>
    </w:p>
    <w:p>
      <w:pPr>
        <w:pStyle w:val="4"/>
        <w:rPr>
          <w:rFonts w:hint="default" w:ascii="Times New Roman" w:hAnsi="Times New Roman" w:eastAsia="仿宋" w:cs="Times New Roman"/>
        </w:rPr>
      </w:pPr>
      <w:r>
        <w:rPr>
          <w:rStyle w:val="28"/>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般公共预算财政拨款支出决算表</w:t>
      </w:r>
      <w:bookmarkEnd w:id="59"/>
    </w:p>
    <w:p>
      <w:pPr>
        <w:pStyle w:val="4"/>
        <w:rPr>
          <w:rFonts w:hint="default" w:ascii="Times New Roman" w:hAnsi="Times New Roman" w:eastAsia="仿宋" w:cs="Times New Roman"/>
        </w:rPr>
      </w:pPr>
      <w:bookmarkStart w:id="60" w:name="_Toc15396625"/>
      <w:r>
        <w:rPr>
          <w:rStyle w:val="28"/>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般公共预算财政拨款支出决算明细表</w:t>
      </w:r>
      <w:bookmarkEnd w:id="60"/>
    </w:p>
    <w:p>
      <w:pPr>
        <w:pStyle w:val="4"/>
        <w:rPr>
          <w:rFonts w:hint="default" w:ascii="Times New Roman" w:hAnsi="Times New Roman" w:eastAsia="仿宋" w:cs="Times New Roman"/>
        </w:rPr>
      </w:pPr>
      <w:bookmarkStart w:id="61" w:name="_Toc15396626"/>
      <w:r>
        <w:rPr>
          <w:rStyle w:val="28"/>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般公共预算财政拨款基本支出决算表</w:t>
      </w:r>
      <w:bookmarkEnd w:id="61"/>
    </w:p>
    <w:p>
      <w:pPr>
        <w:pStyle w:val="4"/>
        <w:rPr>
          <w:rFonts w:hint="default" w:ascii="Times New Roman" w:hAnsi="Times New Roman" w:eastAsia="仿宋" w:cs="Times New Roman"/>
        </w:rPr>
      </w:pPr>
      <w:bookmarkStart w:id="62" w:name="_Toc15396627"/>
      <w:r>
        <w:rPr>
          <w:rStyle w:val="28"/>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般公共预算财政拨款项目支出决算表</w:t>
      </w:r>
      <w:bookmarkEnd w:id="62"/>
    </w:p>
    <w:p>
      <w:pPr>
        <w:pStyle w:val="4"/>
        <w:rPr>
          <w:rFonts w:hint="default" w:ascii="Times New Roman" w:hAnsi="Times New Roman" w:eastAsia="仿宋" w:cs="Times New Roman"/>
        </w:rPr>
      </w:pPr>
      <w:bookmarkStart w:id="63" w:name="_Toc15396628"/>
      <w:r>
        <w:rPr>
          <w:rStyle w:val="28"/>
          <w:rFonts w:hint="default" w:ascii="Times New Roman" w:hAnsi="Times New Roman" w:eastAsia="仿宋" w:cs="Times New Roman"/>
          <w:b w:val="0"/>
          <w:bCs w:val="0"/>
        </w:rPr>
        <w:t>十、</w:t>
      </w:r>
      <w:bookmarkEnd w:id="63"/>
      <w:r>
        <w:rPr>
          <w:rFonts w:hint="default" w:ascii="Times New Roman" w:hAnsi="Times New Roman" w:eastAsia="仿宋" w:cs="Times New Roman"/>
          <w:b w:val="0"/>
        </w:rPr>
        <w:t>政</w:t>
      </w:r>
      <w:r>
        <w:rPr>
          <w:rStyle w:val="28"/>
          <w:rFonts w:hint="default" w:ascii="Times New Roman" w:hAnsi="Times New Roman" w:eastAsia="仿宋" w:cs="Times New Roman"/>
          <w:b w:val="0"/>
          <w:bCs w:val="0"/>
        </w:rPr>
        <w:t>府性基金预算财政拨款收入支出决算表</w:t>
      </w:r>
    </w:p>
    <w:p>
      <w:pPr>
        <w:pStyle w:val="4"/>
        <w:rPr>
          <w:rFonts w:hint="default" w:ascii="Times New Roman" w:hAnsi="Times New Roman" w:eastAsia="仿宋" w:cs="Times New Roman"/>
        </w:rPr>
      </w:pPr>
      <w:bookmarkStart w:id="64" w:name="_Toc15396629"/>
      <w:r>
        <w:rPr>
          <w:rStyle w:val="28"/>
          <w:rFonts w:hint="default" w:ascii="Times New Roman" w:hAnsi="Times New Roman" w:eastAsia="仿宋" w:cs="Times New Roman"/>
          <w:b w:val="0"/>
          <w:bCs w:val="0"/>
        </w:rPr>
        <w:t>十一、</w:t>
      </w:r>
      <w:bookmarkEnd w:id="64"/>
      <w:r>
        <w:rPr>
          <w:rFonts w:hint="default" w:ascii="Times New Roman" w:hAnsi="Times New Roman" w:eastAsia="仿宋" w:cs="Times New Roman"/>
          <w:b w:val="0"/>
        </w:rPr>
        <w:t>国</w:t>
      </w:r>
      <w:r>
        <w:rPr>
          <w:rStyle w:val="28"/>
          <w:rFonts w:hint="default" w:ascii="Times New Roman" w:hAnsi="Times New Roman" w:eastAsia="仿宋" w:cs="Times New Roman"/>
          <w:b w:val="0"/>
          <w:bCs w:val="0"/>
        </w:rPr>
        <w:t>有资本经营预算财政拨款收入支出决算表</w:t>
      </w:r>
    </w:p>
    <w:p>
      <w:pPr>
        <w:pStyle w:val="4"/>
        <w:rPr>
          <w:rFonts w:hint="default" w:ascii="Times New Roman" w:hAnsi="Times New Roman" w:eastAsia="仿宋" w:cs="Times New Roman"/>
        </w:rPr>
      </w:pPr>
      <w:bookmarkStart w:id="65" w:name="_Toc15396630"/>
      <w:r>
        <w:rPr>
          <w:rStyle w:val="28"/>
          <w:rFonts w:hint="default" w:ascii="Times New Roman" w:hAnsi="Times New Roman" w:eastAsia="仿宋" w:cs="Times New Roman"/>
          <w:b w:val="0"/>
          <w:bCs w:val="0"/>
        </w:rPr>
        <w:t>十二、</w:t>
      </w:r>
      <w:bookmarkEnd w:id="65"/>
      <w:r>
        <w:rPr>
          <w:rStyle w:val="28"/>
          <w:rFonts w:hint="default" w:ascii="Times New Roman" w:hAnsi="Times New Roman" w:eastAsia="仿宋" w:cs="Times New Roman"/>
          <w:b w:val="0"/>
          <w:bCs w:val="0"/>
        </w:rPr>
        <w:t>国有资本经营预算财政拨款支出决算表</w:t>
      </w:r>
    </w:p>
    <w:p>
      <w:pPr>
        <w:pStyle w:val="4"/>
        <w:rPr>
          <w:rFonts w:hint="default" w:ascii="Times New Roman" w:hAnsi="Times New Roman" w:eastAsia="仿宋" w:cs="Times New Roman"/>
        </w:rPr>
      </w:pPr>
      <w:bookmarkStart w:id="66" w:name="_Toc15396631"/>
      <w:r>
        <w:rPr>
          <w:rStyle w:val="28"/>
          <w:rFonts w:hint="default" w:ascii="Times New Roman" w:hAnsi="Times New Roman" w:eastAsia="仿宋" w:cs="Times New Roman"/>
          <w:b w:val="0"/>
          <w:bCs w:val="0"/>
        </w:rPr>
        <w:t>十三、</w:t>
      </w:r>
      <w:bookmarkEnd w:id="66"/>
      <w:r>
        <w:rPr>
          <w:rStyle w:val="28"/>
          <w:rFonts w:hint="default" w:ascii="Times New Roman" w:hAnsi="Times New Roman" w:eastAsia="仿宋" w:cs="Times New Roman"/>
          <w:b w:val="0"/>
          <w:bCs w:val="0"/>
        </w:rPr>
        <w:t>财政拨款“三公”经费</w:t>
      </w:r>
      <w:bookmarkStart w:id="67" w:name="_GoBack"/>
      <w:bookmarkEnd w:id="67"/>
      <w:r>
        <w:rPr>
          <w:rStyle w:val="28"/>
          <w:rFonts w:hint="default" w:ascii="Times New Roman" w:hAnsi="Times New Roman" w:eastAsia="仿宋" w:cs="Times New Roman"/>
          <w:b w:val="0"/>
          <w:bCs w:val="0"/>
        </w:rPr>
        <w:t>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TdjNzM3OTQzZGJiMjdlOGM4ZDA4NjFlYzM2Z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95FEF"/>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8728C"/>
    <w:rsid w:val="02121FCC"/>
    <w:rsid w:val="021E57E1"/>
    <w:rsid w:val="03DC2831"/>
    <w:rsid w:val="04B26C26"/>
    <w:rsid w:val="07DE1DA9"/>
    <w:rsid w:val="081B5E94"/>
    <w:rsid w:val="0A2032A3"/>
    <w:rsid w:val="0B8A37D8"/>
    <w:rsid w:val="0F546FA9"/>
    <w:rsid w:val="0F5FFB2F"/>
    <w:rsid w:val="0FFFCF60"/>
    <w:rsid w:val="10C055FF"/>
    <w:rsid w:val="10F1657C"/>
    <w:rsid w:val="114552FA"/>
    <w:rsid w:val="118107EC"/>
    <w:rsid w:val="11DD6519"/>
    <w:rsid w:val="14C1414A"/>
    <w:rsid w:val="14F55C84"/>
    <w:rsid w:val="16BB723D"/>
    <w:rsid w:val="17E42975"/>
    <w:rsid w:val="18015F3F"/>
    <w:rsid w:val="182F59F3"/>
    <w:rsid w:val="19575BB0"/>
    <w:rsid w:val="1B8665C4"/>
    <w:rsid w:val="1B9578C5"/>
    <w:rsid w:val="1BE8440E"/>
    <w:rsid w:val="1D155CEE"/>
    <w:rsid w:val="1E305863"/>
    <w:rsid w:val="1FDBBF84"/>
    <w:rsid w:val="20F57F95"/>
    <w:rsid w:val="229167BA"/>
    <w:rsid w:val="240371BF"/>
    <w:rsid w:val="24304F19"/>
    <w:rsid w:val="24C90DD2"/>
    <w:rsid w:val="25711CC6"/>
    <w:rsid w:val="25C741E6"/>
    <w:rsid w:val="26104D42"/>
    <w:rsid w:val="265A69BB"/>
    <w:rsid w:val="274014F7"/>
    <w:rsid w:val="276F80C0"/>
    <w:rsid w:val="27842671"/>
    <w:rsid w:val="29FD04D3"/>
    <w:rsid w:val="2ABE7A3E"/>
    <w:rsid w:val="2AFF09B6"/>
    <w:rsid w:val="2CA234A8"/>
    <w:rsid w:val="2DF25970"/>
    <w:rsid w:val="2EFA178C"/>
    <w:rsid w:val="2EFDF86C"/>
    <w:rsid w:val="2F9D17E1"/>
    <w:rsid w:val="30B46D73"/>
    <w:rsid w:val="319F7F4E"/>
    <w:rsid w:val="33FF379C"/>
    <w:rsid w:val="356A28F1"/>
    <w:rsid w:val="356B4D4D"/>
    <w:rsid w:val="357C035A"/>
    <w:rsid w:val="36887D33"/>
    <w:rsid w:val="368E000D"/>
    <w:rsid w:val="37EA427C"/>
    <w:rsid w:val="383D272C"/>
    <w:rsid w:val="390C2095"/>
    <w:rsid w:val="39675A41"/>
    <w:rsid w:val="39AE70AB"/>
    <w:rsid w:val="3A4DCE41"/>
    <w:rsid w:val="3B3C16B3"/>
    <w:rsid w:val="3BCB56FA"/>
    <w:rsid w:val="3C0C0783"/>
    <w:rsid w:val="3C243560"/>
    <w:rsid w:val="3EC37728"/>
    <w:rsid w:val="3EE7C2F4"/>
    <w:rsid w:val="3F371B56"/>
    <w:rsid w:val="3F792ED8"/>
    <w:rsid w:val="3F9F3A96"/>
    <w:rsid w:val="3FECA4B2"/>
    <w:rsid w:val="3FF58C48"/>
    <w:rsid w:val="413F3958"/>
    <w:rsid w:val="418113E8"/>
    <w:rsid w:val="42FF6694"/>
    <w:rsid w:val="43343EBD"/>
    <w:rsid w:val="442B20E3"/>
    <w:rsid w:val="44F81B39"/>
    <w:rsid w:val="48A01660"/>
    <w:rsid w:val="48BF60AB"/>
    <w:rsid w:val="493C27E9"/>
    <w:rsid w:val="496F39ED"/>
    <w:rsid w:val="49A8161E"/>
    <w:rsid w:val="49FF41D3"/>
    <w:rsid w:val="4B3C43CF"/>
    <w:rsid w:val="4BE068DB"/>
    <w:rsid w:val="4BF6002B"/>
    <w:rsid w:val="4BFFC6BE"/>
    <w:rsid w:val="4CD25B42"/>
    <w:rsid w:val="4ECB3389"/>
    <w:rsid w:val="4ECE2238"/>
    <w:rsid w:val="4F99473C"/>
    <w:rsid w:val="510A338F"/>
    <w:rsid w:val="512A0294"/>
    <w:rsid w:val="51DB4B86"/>
    <w:rsid w:val="51F64DB0"/>
    <w:rsid w:val="53D821AC"/>
    <w:rsid w:val="55333C3E"/>
    <w:rsid w:val="55FE2E12"/>
    <w:rsid w:val="569128C2"/>
    <w:rsid w:val="56AC6679"/>
    <w:rsid w:val="573576BD"/>
    <w:rsid w:val="573F3833"/>
    <w:rsid w:val="58CB06F6"/>
    <w:rsid w:val="59B56881"/>
    <w:rsid w:val="5ABA7571"/>
    <w:rsid w:val="5E527F8C"/>
    <w:rsid w:val="5F67802D"/>
    <w:rsid w:val="5F7DC4F2"/>
    <w:rsid w:val="5F8A77C0"/>
    <w:rsid w:val="5FB36814"/>
    <w:rsid w:val="5FBB8E56"/>
    <w:rsid w:val="5FFB5535"/>
    <w:rsid w:val="60061A72"/>
    <w:rsid w:val="606705B3"/>
    <w:rsid w:val="607E34AE"/>
    <w:rsid w:val="62135734"/>
    <w:rsid w:val="636B455D"/>
    <w:rsid w:val="63E346D8"/>
    <w:rsid w:val="64CA39A1"/>
    <w:rsid w:val="68265497"/>
    <w:rsid w:val="69630ADE"/>
    <w:rsid w:val="69BD5F13"/>
    <w:rsid w:val="69FB0B4B"/>
    <w:rsid w:val="6AF83D04"/>
    <w:rsid w:val="6BFFE1FB"/>
    <w:rsid w:val="6C4A05C8"/>
    <w:rsid w:val="6CF107AE"/>
    <w:rsid w:val="6D3B1A89"/>
    <w:rsid w:val="6DB7D8A3"/>
    <w:rsid w:val="6EC78701"/>
    <w:rsid w:val="6F7A5481"/>
    <w:rsid w:val="6FFE07A9"/>
    <w:rsid w:val="71BF4EC2"/>
    <w:rsid w:val="72734D90"/>
    <w:rsid w:val="72FF7924"/>
    <w:rsid w:val="73E75B71"/>
    <w:rsid w:val="7412278C"/>
    <w:rsid w:val="75DDCDA9"/>
    <w:rsid w:val="75FF44B1"/>
    <w:rsid w:val="77652993"/>
    <w:rsid w:val="77670518"/>
    <w:rsid w:val="777FA627"/>
    <w:rsid w:val="77DD2C9E"/>
    <w:rsid w:val="77DF1B5F"/>
    <w:rsid w:val="77EF2D9D"/>
    <w:rsid w:val="79E7B28D"/>
    <w:rsid w:val="7AB73201"/>
    <w:rsid w:val="7ACFF0C2"/>
    <w:rsid w:val="7AFB9108"/>
    <w:rsid w:val="7BD5340C"/>
    <w:rsid w:val="7BFB19D2"/>
    <w:rsid w:val="7BFD1750"/>
    <w:rsid w:val="7BFDAA1B"/>
    <w:rsid w:val="7C827379"/>
    <w:rsid w:val="7CA306A4"/>
    <w:rsid w:val="7CDF9A82"/>
    <w:rsid w:val="7CFFA1BD"/>
    <w:rsid w:val="7D2E3F7A"/>
    <w:rsid w:val="7D42478C"/>
    <w:rsid w:val="7DED9490"/>
    <w:rsid w:val="7DFF4872"/>
    <w:rsid w:val="7E7487E6"/>
    <w:rsid w:val="7E7C2A54"/>
    <w:rsid w:val="7E8B2490"/>
    <w:rsid w:val="7EEEFD72"/>
    <w:rsid w:val="7F1D517C"/>
    <w:rsid w:val="7F5DA057"/>
    <w:rsid w:val="7F6C2237"/>
    <w:rsid w:val="7F7F319B"/>
    <w:rsid w:val="7F823CDE"/>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8</TotalTime>
  <ScaleCrop>false</ScaleCrop>
  <LinksUpToDate>false</LinksUpToDate>
  <CharactersWithSpaces>7641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2024-10-24T02:37:37Z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7119FCBC50254B0C9488BA92EA54B57E_13</vt:lpwstr>
  </property>
</Properties>
</file>